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96DD" w14:textId="77777777" w:rsidR="0023228A" w:rsidRPr="00EC0E1E" w:rsidRDefault="009C26B7" w:rsidP="00EC0E1E">
      <w:pPr>
        <w:spacing w:after="200" w:line="276" w:lineRule="auto"/>
        <w:jc w:val="center"/>
        <w:rPr>
          <w:rFonts w:cstheme="minorHAnsi"/>
          <w:b/>
          <w:bCs/>
          <w:caps/>
        </w:rPr>
      </w:pPr>
      <w:r w:rsidRPr="00EC0E1E">
        <w:rPr>
          <w:rFonts w:cstheme="minorHAnsi"/>
          <w:b/>
          <w:bCs/>
          <w:caps/>
        </w:rPr>
        <w:t>SMLOUVA O poskytování Právních služeb</w:t>
      </w:r>
    </w:p>
    <w:p w14:paraId="24AC73F2" w14:textId="77777777" w:rsidR="0023228A" w:rsidRDefault="0023228A" w:rsidP="00EC0E1E">
      <w:pPr>
        <w:spacing w:after="200" w:line="276" w:lineRule="auto"/>
        <w:jc w:val="center"/>
        <w:rPr>
          <w:rFonts w:cstheme="minorHAnsi"/>
        </w:rPr>
      </w:pPr>
      <w:r w:rsidRPr="00EC0E1E">
        <w:rPr>
          <w:rFonts w:cstheme="minorHAnsi"/>
        </w:rPr>
        <w:t xml:space="preserve">(dále </w:t>
      </w:r>
      <w:r w:rsidR="002923EF" w:rsidRPr="00EC0E1E">
        <w:rPr>
          <w:rFonts w:cstheme="minorHAnsi"/>
        </w:rPr>
        <w:t xml:space="preserve">i </w:t>
      </w:r>
      <w:r w:rsidRPr="00EC0E1E">
        <w:rPr>
          <w:rFonts w:cstheme="minorHAnsi"/>
        </w:rPr>
        <w:t>jen „</w:t>
      </w:r>
      <w:r w:rsidRPr="00EC0E1E">
        <w:rPr>
          <w:rFonts w:cstheme="minorHAnsi"/>
          <w:b/>
          <w:bCs/>
        </w:rPr>
        <w:t>Smlouva</w:t>
      </w:r>
      <w:r w:rsidRPr="00EC0E1E">
        <w:rPr>
          <w:rFonts w:cstheme="minorHAnsi"/>
        </w:rPr>
        <w:t>“)</w:t>
      </w:r>
    </w:p>
    <w:p w14:paraId="4EFCDE8F" w14:textId="77777777" w:rsidR="00761208" w:rsidRPr="00EC0E1E" w:rsidRDefault="00761208" w:rsidP="00EC0E1E">
      <w:pPr>
        <w:spacing w:after="200" w:line="276" w:lineRule="auto"/>
        <w:jc w:val="center"/>
        <w:rPr>
          <w:rFonts w:cstheme="minorHAnsi"/>
        </w:rPr>
      </w:pPr>
    </w:p>
    <w:p w14:paraId="06E8BFE4" w14:textId="77777777" w:rsidR="0023228A" w:rsidRPr="00EC0E1E" w:rsidRDefault="0023228A" w:rsidP="00EC0E1E">
      <w:pPr>
        <w:spacing w:after="200" w:line="276" w:lineRule="auto"/>
        <w:jc w:val="both"/>
        <w:rPr>
          <w:rFonts w:cstheme="minorHAnsi"/>
          <w:b/>
          <w:bCs/>
          <w:caps/>
        </w:rPr>
      </w:pPr>
      <w:r w:rsidRPr="00EC0E1E">
        <w:rPr>
          <w:rFonts w:cstheme="minorHAnsi"/>
          <w:b/>
          <w:bCs/>
          <w:caps/>
        </w:rPr>
        <w:t xml:space="preserve">Uzavřená mezi: </w:t>
      </w:r>
    </w:p>
    <w:p w14:paraId="2A16516A" w14:textId="77777777" w:rsidR="0023228A" w:rsidRPr="00EC0E1E" w:rsidRDefault="0023228A" w:rsidP="00EC0E1E">
      <w:pPr>
        <w:spacing w:after="200" w:line="276" w:lineRule="auto"/>
        <w:ind w:left="709" w:hanging="709"/>
        <w:jc w:val="both"/>
        <w:rPr>
          <w:rFonts w:cstheme="minorHAnsi"/>
          <w:b/>
          <w:bCs/>
        </w:rPr>
      </w:pPr>
      <w:r w:rsidRPr="00EC0E1E">
        <w:rPr>
          <w:rFonts w:cstheme="minorHAnsi"/>
        </w:rPr>
        <w:t>[1]</w:t>
      </w:r>
      <w:r w:rsidRPr="00EC0E1E">
        <w:rPr>
          <w:rFonts w:cstheme="minorHAnsi"/>
        </w:rPr>
        <w:tab/>
      </w:r>
      <w:r w:rsidRPr="00EC0E1E">
        <w:rPr>
          <w:rFonts w:cstheme="minorHAnsi"/>
          <w:b/>
          <w:bCs/>
        </w:rPr>
        <w:t>Sokol, Novák, Trojan, Doleček a partneři, advokátní kancelář s.r.o.</w:t>
      </w:r>
    </w:p>
    <w:p w14:paraId="353E2334" w14:textId="77777777" w:rsidR="0023228A" w:rsidRPr="00EC0E1E" w:rsidRDefault="0023228A" w:rsidP="00EC0E1E">
      <w:pPr>
        <w:spacing w:after="0" w:line="276" w:lineRule="auto"/>
        <w:ind w:left="709"/>
        <w:jc w:val="both"/>
        <w:rPr>
          <w:rFonts w:cstheme="minorHAnsi"/>
        </w:rPr>
      </w:pPr>
      <w:r w:rsidRPr="00EC0E1E">
        <w:rPr>
          <w:rFonts w:cstheme="minorHAnsi"/>
        </w:rPr>
        <w:t>se sídlem Na strži 2102/</w:t>
      </w:r>
      <w:proofErr w:type="gramStart"/>
      <w:r w:rsidRPr="00EC0E1E">
        <w:rPr>
          <w:rFonts w:cstheme="minorHAnsi"/>
        </w:rPr>
        <w:t>61a</w:t>
      </w:r>
      <w:proofErr w:type="gramEnd"/>
      <w:r w:rsidRPr="00EC0E1E">
        <w:rPr>
          <w:rFonts w:cstheme="minorHAnsi"/>
        </w:rPr>
        <w:t>, Krč, 140 00 Praha 4</w:t>
      </w:r>
    </w:p>
    <w:p w14:paraId="2BD9579C" w14:textId="77777777" w:rsidR="0023228A" w:rsidRPr="00EC0E1E" w:rsidRDefault="0023228A" w:rsidP="00EC0E1E">
      <w:pPr>
        <w:spacing w:after="0" w:line="276" w:lineRule="auto"/>
        <w:ind w:left="709"/>
        <w:jc w:val="both"/>
        <w:rPr>
          <w:rFonts w:cstheme="minorHAnsi"/>
        </w:rPr>
      </w:pPr>
      <w:r w:rsidRPr="00EC0E1E">
        <w:rPr>
          <w:rFonts w:cstheme="minorHAnsi"/>
        </w:rPr>
        <w:t>IČO: 241 96 509</w:t>
      </w:r>
    </w:p>
    <w:p w14:paraId="4C02CDB8" w14:textId="77777777" w:rsidR="0023228A" w:rsidRPr="00EC0E1E" w:rsidRDefault="0023228A" w:rsidP="00EC0E1E">
      <w:pPr>
        <w:spacing w:after="0" w:line="276" w:lineRule="auto"/>
        <w:ind w:left="709"/>
        <w:jc w:val="both"/>
        <w:rPr>
          <w:rFonts w:eastAsia="Calibri" w:cstheme="minorHAnsi"/>
        </w:rPr>
      </w:pPr>
      <w:r w:rsidRPr="00EC0E1E">
        <w:rPr>
          <w:rFonts w:cstheme="minorHAnsi"/>
        </w:rPr>
        <w:t xml:space="preserve">DIČ: </w:t>
      </w:r>
      <w:r w:rsidRPr="00EC0E1E">
        <w:rPr>
          <w:rFonts w:eastAsia="Calibri" w:cstheme="minorHAnsi"/>
        </w:rPr>
        <w:t>CZ24196509</w:t>
      </w:r>
    </w:p>
    <w:p w14:paraId="229AE1B7" w14:textId="77777777" w:rsidR="0023228A" w:rsidRPr="00EC0E1E" w:rsidRDefault="0023228A" w:rsidP="00EC0E1E">
      <w:pPr>
        <w:spacing w:after="0" w:line="276" w:lineRule="auto"/>
        <w:ind w:left="709"/>
        <w:jc w:val="both"/>
        <w:rPr>
          <w:rFonts w:cstheme="minorHAnsi"/>
        </w:rPr>
      </w:pPr>
      <w:r w:rsidRPr="00EC0E1E">
        <w:rPr>
          <w:rFonts w:cstheme="minorHAnsi"/>
        </w:rPr>
        <w:t>společnost</w:t>
      </w:r>
      <w:r w:rsidR="00DB0D0B" w:rsidRPr="00EC0E1E">
        <w:rPr>
          <w:rFonts w:cstheme="minorHAnsi"/>
        </w:rPr>
        <w:t>í</w:t>
      </w:r>
      <w:r w:rsidRPr="00EC0E1E">
        <w:rPr>
          <w:rFonts w:cstheme="minorHAnsi"/>
        </w:rPr>
        <w:t xml:space="preserve"> zapsan</w:t>
      </w:r>
      <w:r w:rsidR="00DB0D0B" w:rsidRPr="00EC0E1E">
        <w:rPr>
          <w:rFonts w:cstheme="minorHAnsi"/>
        </w:rPr>
        <w:t>ou</w:t>
      </w:r>
      <w:r w:rsidRPr="00EC0E1E">
        <w:rPr>
          <w:rFonts w:cstheme="minorHAnsi"/>
        </w:rPr>
        <w:t xml:space="preserve"> v obchodním rejstříku vedeném Městským soudem v Praze, spisová značka: C 187692</w:t>
      </w:r>
    </w:p>
    <w:p w14:paraId="51022A12" w14:textId="7B2F8284" w:rsidR="00481315" w:rsidRDefault="00305B24" w:rsidP="00EC0E1E">
      <w:pPr>
        <w:spacing w:after="0" w:line="276" w:lineRule="auto"/>
        <w:ind w:left="709"/>
        <w:jc w:val="both"/>
        <w:rPr>
          <w:rFonts w:cstheme="minorHAnsi"/>
        </w:rPr>
      </w:pPr>
      <w:r w:rsidRPr="00EC0E1E">
        <w:rPr>
          <w:rFonts w:cstheme="minorHAnsi"/>
        </w:rPr>
        <w:t>e</w:t>
      </w:r>
      <w:r w:rsidR="00481315" w:rsidRPr="00EC0E1E">
        <w:rPr>
          <w:rFonts w:cstheme="minorHAnsi"/>
        </w:rPr>
        <w:t xml:space="preserve">-mail: </w:t>
      </w:r>
      <w:proofErr w:type="spellStart"/>
      <w:r w:rsidR="00E837B3" w:rsidRPr="00E837B3">
        <w:rPr>
          <w:rFonts w:cstheme="minorHAnsi"/>
          <w:highlight w:val="black"/>
        </w:rPr>
        <w:t>xxxxxxxxx</w:t>
      </w:r>
      <w:proofErr w:type="spellEnd"/>
    </w:p>
    <w:p w14:paraId="481068EF" w14:textId="77777777" w:rsidR="00650D19" w:rsidRPr="00EC0E1E" w:rsidRDefault="00650D19" w:rsidP="00EC0E1E">
      <w:pPr>
        <w:spacing w:after="0" w:line="276" w:lineRule="auto"/>
        <w:ind w:left="709"/>
        <w:jc w:val="both"/>
        <w:rPr>
          <w:rFonts w:cstheme="minorHAnsi"/>
        </w:rPr>
      </w:pPr>
    </w:p>
    <w:p w14:paraId="4946A503" w14:textId="77777777" w:rsidR="0023228A" w:rsidRPr="00EC0E1E" w:rsidRDefault="0023228A" w:rsidP="00EC0E1E">
      <w:pPr>
        <w:spacing w:after="200" w:line="276" w:lineRule="auto"/>
        <w:ind w:left="709"/>
        <w:jc w:val="both"/>
        <w:rPr>
          <w:rFonts w:cstheme="minorHAnsi"/>
        </w:rPr>
      </w:pPr>
      <w:r w:rsidRPr="00EC0E1E">
        <w:rPr>
          <w:rFonts w:cstheme="minorHAnsi"/>
        </w:rPr>
        <w:t xml:space="preserve">jako </w:t>
      </w:r>
      <w:r w:rsidR="003F0CBF" w:rsidRPr="00EC0E1E">
        <w:rPr>
          <w:rFonts w:cstheme="minorHAnsi"/>
        </w:rPr>
        <w:t xml:space="preserve">advokátní kanceláří </w:t>
      </w:r>
      <w:r w:rsidRPr="00EC0E1E">
        <w:rPr>
          <w:rFonts w:cstheme="minorHAnsi"/>
        </w:rPr>
        <w:t>na straně jedné (dále</w:t>
      </w:r>
      <w:r w:rsidR="002923EF" w:rsidRPr="00EC0E1E">
        <w:rPr>
          <w:rFonts w:cstheme="minorHAnsi"/>
        </w:rPr>
        <w:t xml:space="preserve"> i</w:t>
      </w:r>
      <w:r w:rsidRPr="00EC0E1E">
        <w:rPr>
          <w:rFonts w:cstheme="minorHAnsi"/>
        </w:rPr>
        <w:t xml:space="preserve"> jen „</w:t>
      </w:r>
      <w:r w:rsidR="003F0CBF" w:rsidRPr="00EC0E1E">
        <w:rPr>
          <w:rFonts w:cstheme="minorHAnsi"/>
          <w:b/>
          <w:bCs/>
        </w:rPr>
        <w:t>Advokátní kancelář</w:t>
      </w:r>
      <w:r w:rsidRPr="00EC0E1E">
        <w:rPr>
          <w:rFonts w:cstheme="minorHAnsi"/>
        </w:rPr>
        <w:t>“)</w:t>
      </w:r>
    </w:p>
    <w:p w14:paraId="363541FA" w14:textId="77777777" w:rsidR="0023228A" w:rsidRPr="00EC0E1E" w:rsidRDefault="0023228A" w:rsidP="00EC0E1E">
      <w:pPr>
        <w:spacing w:after="200" w:line="276" w:lineRule="auto"/>
        <w:ind w:left="426"/>
        <w:jc w:val="both"/>
        <w:rPr>
          <w:rFonts w:cstheme="minorHAnsi"/>
        </w:rPr>
      </w:pPr>
      <w:r w:rsidRPr="00EC0E1E">
        <w:rPr>
          <w:rFonts w:cstheme="minorHAnsi"/>
        </w:rPr>
        <w:t>a</w:t>
      </w:r>
    </w:p>
    <w:p w14:paraId="3430DE26" w14:textId="252F7947" w:rsidR="0023228A" w:rsidRPr="00EC0E1E" w:rsidRDefault="0023228A" w:rsidP="008B2554">
      <w:pPr>
        <w:spacing w:after="200" w:line="276" w:lineRule="auto"/>
        <w:ind w:left="709" w:hanging="709"/>
        <w:jc w:val="both"/>
        <w:rPr>
          <w:rFonts w:cstheme="minorHAnsi"/>
          <w:b/>
          <w:bCs/>
        </w:rPr>
      </w:pPr>
      <w:r w:rsidRPr="00EC0E1E">
        <w:rPr>
          <w:rFonts w:cstheme="minorHAnsi"/>
        </w:rPr>
        <w:t>[2]</w:t>
      </w:r>
      <w:r w:rsidRPr="00EC0E1E">
        <w:rPr>
          <w:rFonts w:cstheme="minorHAnsi"/>
        </w:rPr>
        <w:tab/>
      </w:r>
      <w:r w:rsidR="00B70406">
        <w:rPr>
          <w:rFonts w:cstheme="minorHAnsi"/>
          <w:b/>
          <w:bCs/>
        </w:rPr>
        <w:t>RBP, zdravotní pojišťovna</w:t>
      </w:r>
    </w:p>
    <w:p w14:paraId="44F004A5" w14:textId="68543DA0" w:rsidR="00761208" w:rsidRDefault="0023228A" w:rsidP="00761208">
      <w:pPr>
        <w:spacing w:after="0" w:line="276" w:lineRule="auto"/>
        <w:ind w:left="709"/>
        <w:jc w:val="both"/>
        <w:rPr>
          <w:rFonts w:cstheme="minorHAnsi"/>
        </w:rPr>
      </w:pPr>
      <w:r w:rsidRPr="00EC0E1E">
        <w:rPr>
          <w:rFonts w:cstheme="minorHAnsi"/>
        </w:rPr>
        <w:t xml:space="preserve">se sídlem </w:t>
      </w:r>
      <w:r w:rsidR="00B70406">
        <w:rPr>
          <w:rFonts w:cstheme="minorHAnsi"/>
        </w:rPr>
        <w:t xml:space="preserve">Michálkovická 967/108, Slezská Ostrava, 710 00 Ostrava </w:t>
      </w:r>
    </w:p>
    <w:p w14:paraId="62DC4C32" w14:textId="1E7F8543" w:rsidR="0023228A" w:rsidRPr="00840832" w:rsidRDefault="0023228A" w:rsidP="00761208">
      <w:pPr>
        <w:spacing w:after="0" w:line="276" w:lineRule="auto"/>
        <w:ind w:left="709"/>
        <w:jc w:val="both"/>
        <w:rPr>
          <w:rFonts w:cstheme="minorHAnsi"/>
        </w:rPr>
      </w:pPr>
      <w:r w:rsidRPr="00840832">
        <w:rPr>
          <w:rFonts w:cstheme="minorHAnsi"/>
        </w:rPr>
        <w:t xml:space="preserve">IČO: </w:t>
      </w:r>
      <w:r w:rsidR="00B70406">
        <w:rPr>
          <w:rFonts w:cstheme="minorHAnsi"/>
        </w:rPr>
        <w:t>476 73 036</w:t>
      </w:r>
    </w:p>
    <w:p w14:paraId="7A72F764" w14:textId="2F883C8D" w:rsidR="00650D19" w:rsidRDefault="0023228A" w:rsidP="00B70406">
      <w:pPr>
        <w:spacing w:after="0" w:line="276" w:lineRule="auto"/>
        <w:ind w:left="709"/>
        <w:jc w:val="both"/>
        <w:rPr>
          <w:rFonts w:cstheme="minorHAnsi"/>
        </w:rPr>
      </w:pPr>
      <w:r w:rsidRPr="00840832">
        <w:rPr>
          <w:rFonts w:cstheme="minorHAnsi"/>
        </w:rPr>
        <w:t xml:space="preserve">DIČ: </w:t>
      </w:r>
      <w:r w:rsidR="008B2554">
        <w:rPr>
          <w:rFonts w:cstheme="minorHAnsi"/>
        </w:rPr>
        <w:t>CZ</w:t>
      </w:r>
      <w:r w:rsidR="00B70406">
        <w:rPr>
          <w:rFonts w:cstheme="minorHAnsi"/>
        </w:rPr>
        <w:t>47673036</w:t>
      </w:r>
    </w:p>
    <w:p w14:paraId="139C3CF3" w14:textId="6212D17F" w:rsidR="009470F9" w:rsidRDefault="009470F9" w:rsidP="00B70406">
      <w:p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zastoupená Ing. Antonínem Klimšou, MBA, výkonný ředitelem</w:t>
      </w:r>
    </w:p>
    <w:p w14:paraId="641C482C" w14:textId="29419A82" w:rsidR="009470F9" w:rsidRDefault="009470F9" w:rsidP="00B70406">
      <w:p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kontaktní osoba: </w:t>
      </w:r>
      <w:proofErr w:type="spellStart"/>
      <w:r w:rsidR="00E837B3" w:rsidRPr="00E837B3">
        <w:rPr>
          <w:rFonts w:cstheme="minorHAnsi"/>
          <w:highlight w:val="black"/>
        </w:rPr>
        <w:t>xxxxxxxxx</w:t>
      </w:r>
      <w:proofErr w:type="spellEnd"/>
    </w:p>
    <w:p w14:paraId="6828B85E" w14:textId="7A21DA0B" w:rsidR="009470F9" w:rsidRDefault="009470F9" w:rsidP="00B70406">
      <w:p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email: </w:t>
      </w:r>
      <w:proofErr w:type="spellStart"/>
      <w:r w:rsidR="00E837B3" w:rsidRPr="00E837B3">
        <w:rPr>
          <w:rFonts w:cstheme="minorHAnsi"/>
          <w:highlight w:val="black"/>
        </w:rPr>
        <w:t>xxxxxxxxx</w:t>
      </w:r>
      <w:proofErr w:type="spellEnd"/>
    </w:p>
    <w:p w14:paraId="08A2B99B" w14:textId="77777777" w:rsidR="009470F9" w:rsidRPr="00840832" w:rsidRDefault="009470F9" w:rsidP="00B70406">
      <w:pPr>
        <w:spacing w:after="0" w:line="276" w:lineRule="auto"/>
        <w:ind w:left="709"/>
        <w:jc w:val="both"/>
        <w:rPr>
          <w:rFonts w:cstheme="minorHAnsi"/>
        </w:rPr>
      </w:pPr>
    </w:p>
    <w:p w14:paraId="6F20E00E" w14:textId="77777777" w:rsidR="00174607" w:rsidRPr="00EC0E1E" w:rsidRDefault="0023228A" w:rsidP="00EC0E1E">
      <w:pPr>
        <w:spacing w:after="200" w:line="276" w:lineRule="auto"/>
        <w:ind w:left="709"/>
        <w:jc w:val="both"/>
        <w:rPr>
          <w:rFonts w:cstheme="minorHAnsi"/>
        </w:rPr>
      </w:pPr>
      <w:r w:rsidRPr="00EC0E1E">
        <w:rPr>
          <w:rFonts w:cstheme="minorHAnsi"/>
        </w:rPr>
        <w:t xml:space="preserve">jako </w:t>
      </w:r>
      <w:r w:rsidR="003F0CBF" w:rsidRPr="00EC0E1E">
        <w:rPr>
          <w:rFonts w:cstheme="minorHAnsi"/>
        </w:rPr>
        <w:t xml:space="preserve">klientem </w:t>
      </w:r>
      <w:r w:rsidRPr="00EC0E1E">
        <w:rPr>
          <w:rFonts w:cstheme="minorHAnsi"/>
        </w:rPr>
        <w:t xml:space="preserve">na straně druhé (dále </w:t>
      </w:r>
      <w:r w:rsidR="00F922D2" w:rsidRPr="00EC0E1E">
        <w:rPr>
          <w:rFonts w:cstheme="minorHAnsi"/>
        </w:rPr>
        <w:t xml:space="preserve">i </w:t>
      </w:r>
      <w:r w:rsidRPr="00EC0E1E">
        <w:rPr>
          <w:rFonts w:cstheme="minorHAnsi"/>
        </w:rPr>
        <w:t>jen „</w:t>
      </w:r>
      <w:r w:rsidR="003F0CBF" w:rsidRPr="00EC0E1E">
        <w:rPr>
          <w:rFonts w:cstheme="minorHAnsi"/>
          <w:b/>
          <w:bCs/>
        </w:rPr>
        <w:t>Klient</w:t>
      </w:r>
      <w:r w:rsidRPr="00EC0E1E">
        <w:rPr>
          <w:rFonts w:cstheme="minorHAnsi"/>
        </w:rPr>
        <w:t>“</w:t>
      </w:r>
      <w:r w:rsidR="00174607" w:rsidRPr="00EC0E1E">
        <w:rPr>
          <w:rFonts w:cstheme="minorHAnsi"/>
        </w:rPr>
        <w:t>)</w:t>
      </w:r>
    </w:p>
    <w:p w14:paraId="5B406D73" w14:textId="77777777" w:rsidR="0023228A" w:rsidRDefault="00174607" w:rsidP="00EC0E1E">
      <w:pPr>
        <w:spacing w:after="200" w:line="276" w:lineRule="auto"/>
        <w:ind w:left="709"/>
        <w:jc w:val="both"/>
        <w:rPr>
          <w:rFonts w:cstheme="minorHAnsi"/>
        </w:rPr>
      </w:pPr>
      <w:r w:rsidRPr="00EC0E1E">
        <w:rPr>
          <w:rFonts w:cstheme="minorHAnsi"/>
        </w:rPr>
        <w:t>(</w:t>
      </w:r>
      <w:r w:rsidR="003F0CBF" w:rsidRPr="00EC0E1E">
        <w:rPr>
          <w:rFonts w:cstheme="minorHAnsi"/>
        </w:rPr>
        <w:t xml:space="preserve">Advokátní kancelář </w:t>
      </w:r>
      <w:r w:rsidR="0023228A" w:rsidRPr="00EC0E1E">
        <w:rPr>
          <w:rFonts w:cstheme="minorHAnsi"/>
        </w:rPr>
        <w:t xml:space="preserve">a </w:t>
      </w:r>
      <w:r w:rsidR="003F0CBF" w:rsidRPr="00EC0E1E">
        <w:rPr>
          <w:rFonts w:cstheme="minorHAnsi"/>
        </w:rPr>
        <w:t xml:space="preserve">Klient </w:t>
      </w:r>
      <w:r w:rsidR="0023228A" w:rsidRPr="00EC0E1E">
        <w:rPr>
          <w:rFonts w:cstheme="minorHAnsi"/>
        </w:rPr>
        <w:t>dále společně i jen jako „</w:t>
      </w:r>
      <w:r w:rsidR="0023228A" w:rsidRPr="00EC0E1E">
        <w:rPr>
          <w:rFonts w:cstheme="minorHAnsi"/>
          <w:b/>
          <w:bCs/>
        </w:rPr>
        <w:t>Smluvní strany</w:t>
      </w:r>
      <w:r w:rsidR="0023228A" w:rsidRPr="00EC0E1E">
        <w:rPr>
          <w:rFonts w:cstheme="minorHAnsi"/>
        </w:rPr>
        <w:t xml:space="preserve">“ a </w:t>
      </w:r>
      <w:r w:rsidR="00D816CB" w:rsidRPr="00EC0E1E">
        <w:rPr>
          <w:rFonts w:cstheme="minorHAnsi"/>
        </w:rPr>
        <w:t>jednotlivě i jen jako „</w:t>
      </w:r>
      <w:r w:rsidR="00D816CB" w:rsidRPr="00EC0E1E">
        <w:rPr>
          <w:rFonts w:cstheme="minorHAnsi"/>
          <w:b/>
          <w:bCs/>
        </w:rPr>
        <w:t>Smluvní strana</w:t>
      </w:r>
      <w:r w:rsidR="00D816CB" w:rsidRPr="00EC0E1E">
        <w:rPr>
          <w:rFonts w:cstheme="minorHAnsi"/>
        </w:rPr>
        <w:t>“</w:t>
      </w:r>
      <w:r w:rsidR="0023228A" w:rsidRPr="00EC0E1E">
        <w:rPr>
          <w:rFonts w:cstheme="minorHAnsi"/>
        </w:rPr>
        <w:t>)</w:t>
      </w:r>
      <w:r w:rsidR="00D816CB" w:rsidRPr="00EC0E1E">
        <w:rPr>
          <w:rFonts w:cstheme="minorHAnsi"/>
        </w:rPr>
        <w:t>.</w:t>
      </w:r>
    </w:p>
    <w:p w14:paraId="404F413A" w14:textId="77777777" w:rsidR="00761208" w:rsidRPr="00EC0E1E" w:rsidRDefault="00761208" w:rsidP="00EC0E1E">
      <w:pPr>
        <w:spacing w:after="200" w:line="276" w:lineRule="auto"/>
        <w:ind w:left="709"/>
        <w:jc w:val="both"/>
        <w:rPr>
          <w:rFonts w:cstheme="minorHAnsi"/>
        </w:rPr>
      </w:pPr>
    </w:p>
    <w:p w14:paraId="51B3B210" w14:textId="77777777" w:rsidR="00D816CB" w:rsidRPr="00EC0E1E" w:rsidRDefault="00D816CB" w:rsidP="00EC0E1E">
      <w:pPr>
        <w:spacing w:after="200" w:line="276" w:lineRule="auto"/>
        <w:jc w:val="both"/>
        <w:rPr>
          <w:rFonts w:cstheme="minorHAnsi"/>
          <w:b/>
          <w:bCs/>
          <w:caps/>
        </w:rPr>
      </w:pPr>
      <w:r w:rsidRPr="00EC0E1E">
        <w:rPr>
          <w:rFonts w:cstheme="minorHAnsi"/>
          <w:b/>
          <w:bCs/>
          <w:caps/>
        </w:rPr>
        <w:t>vzhledem k tomu, že:</w:t>
      </w:r>
    </w:p>
    <w:p w14:paraId="75C2EF1E" w14:textId="77777777" w:rsidR="00D816CB" w:rsidRPr="00EC0E1E" w:rsidRDefault="003F0CBF" w:rsidP="00EC0E1E">
      <w:pPr>
        <w:pStyle w:val="Odstavecseseznamem"/>
        <w:numPr>
          <w:ilvl w:val="0"/>
          <w:numId w:val="1"/>
        </w:numPr>
        <w:spacing w:after="200" w:line="276" w:lineRule="auto"/>
        <w:ind w:hanging="720"/>
        <w:contextualSpacing w:val="0"/>
        <w:jc w:val="both"/>
        <w:rPr>
          <w:rFonts w:cstheme="minorHAnsi"/>
        </w:rPr>
      </w:pPr>
      <w:r w:rsidRPr="00EC0E1E">
        <w:rPr>
          <w:rFonts w:cstheme="minorHAnsi"/>
        </w:rPr>
        <w:t xml:space="preserve">Advokátní kancelář </w:t>
      </w:r>
      <w:r w:rsidR="00D816CB" w:rsidRPr="00EC0E1E">
        <w:rPr>
          <w:rFonts w:cstheme="minorHAnsi"/>
        </w:rPr>
        <w:t xml:space="preserve">je společností s ručením omezeným, jejímž předmětem podnikání je výkon advokacie ve smyslu zákona č. 85/1996 Sb., o advokacii, ve znění pozdějších právních předpisů (dále </w:t>
      </w:r>
      <w:r w:rsidR="002923EF" w:rsidRPr="00EC0E1E">
        <w:rPr>
          <w:rFonts w:cstheme="minorHAnsi"/>
        </w:rPr>
        <w:t xml:space="preserve">i </w:t>
      </w:r>
      <w:r w:rsidR="00D816CB" w:rsidRPr="00EC0E1E">
        <w:rPr>
          <w:rFonts w:cstheme="minorHAnsi"/>
        </w:rPr>
        <w:t>jen „</w:t>
      </w:r>
      <w:r w:rsidR="00D816CB" w:rsidRPr="00EC0E1E">
        <w:rPr>
          <w:rFonts w:cstheme="minorHAnsi"/>
          <w:b/>
        </w:rPr>
        <w:t>Zákon o advokacii</w:t>
      </w:r>
      <w:r w:rsidR="00D816CB" w:rsidRPr="00EC0E1E">
        <w:rPr>
          <w:rFonts w:cstheme="minorHAnsi"/>
        </w:rPr>
        <w:t>“), a je tak oprávněna k poskytování právních služeb; a</w:t>
      </w:r>
    </w:p>
    <w:p w14:paraId="525C53E6" w14:textId="77777777" w:rsidR="00D816CB" w:rsidRDefault="003F0CBF" w:rsidP="00EC0E1E">
      <w:pPr>
        <w:pStyle w:val="Odstavecseseznamem"/>
        <w:numPr>
          <w:ilvl w:val="0"/>
          <w:numId w:val="1"/>
        </w:numPr>
        <w:spacing w:after="200" w:line="276" w:lineRule="auto"/>
        <w:ind w:hanging="720"/>
        <w:contextualSpacing w:val="0"/>
        <w:jc w:val="both"/>
        <w:rPr>
          <w:rFonts w:cstheme="minorHAnsi"/>
        </w:rPr>
      </w:pPr>
      <w:r w:rsidRPr="00EC0E1E">
        <w:rPr>
          <w:rFonts w:cstheme="minorHAnsi"/>
        </w:rPr>
        <w:t xml:space="preserve">Klient </w:t>
      </w:r>
      <w:r w:rsidR="00D816CB" w:rsidRPr="00EC0E1E">
        <w:rPr>
          <w:rFonts w:cstheme="minorHAnsi"/>
        </w:rPr>
        <w:t xml:space="preserve">má zájem o poskytování právních služeb </w:t>
      </w:r>
      <w:r w:rsidRPr="00EC0E1E">
        <w:rPr>
          <w:rFonts w:cstheme="minorHAnsi"/>
        </w:rPr>
        <w:t xml:space="preserve">ze strany Advokátní kanceláře </w:t>
      </w:r>
      <w:r w:rsidR="00174607" w:rsidRPr="00EC0E1E">
        <w:rPr>
          <w:rFonts w:cstheme="minorHAnsi"/>
        </w:rPr>
        <w:t xml:space="preserve">a </w:t>
      </w:r>
      <w:r w:rsidRPr="00EC0E1E">
        <w:rPr>
          <w:rFonts w:cstheme="minorHAnsi"/>
        </w:rPr>
        <w:t xml:space="preserve">Advokátní kancelář </w:t>
      </w:r>
      <w:r w:rsidR="00174607" w:rsidRPr="00EC0E1E">
        <w:rPr>
          <w:rFonts w:cstheme="minorHAnsi"/>
        </w:rPr>
        <w:t xml:space="preserve">má zájem právní služby </w:t>
      </w:r>
      <w:r w:rsidRPr="00EC0E1E">
        <w:rPr>
          <w:rFonts w:cstheme="minorHAnsi"/>
        </w:rPr>
        <w:t xml:space="preserve">Klientovi </w:t>
      </w:r>
      <w:r w:rsidR="00174607" w:rsidRPr="00EC0E1E">
        <w:rPr>
          <w:rFonts w:cstheme="minorHAnsi"/>
        </w:rPr>
        <w:t>poskytovat</w:t>
      </w:r>
      <w:r w:rsidR="00D816CB" w:rsidRPr="00EC0E1E">
        <w:rPr>
          <w:rFonts w:cstheme="minorHAnsi"/>
        </w:rPr>
        <w:t>,</w:t>
      </w:r>
    </w:p>
    <w:p w14:paraId="3B0B7E17" w14:textId="77777777" w:rsidR="00A8725F" w:rsidRDefault="00A8725F" w:rsidP="00EC0E1E">
      <w:pPr>
        <w:spacing w:after="200" w:line="276" w:lineRule="auto"/>
        <w:jc w:val="both"/>
        <w:rPr>
          <w:rFonts w:cstheme="minorHAnsi"/>
          <w:b/>
          <w:bCs/>
          <w:caps/>
        </w:rPr>
        <w:sectPr w:rsidR="00A8725F" w:rsidSect="008408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0" w:gutter="0"/>
          <w:cols w:space="708"/>
          <w:titlePg/>
          <w:docGrid w:linePitch="360"/>
        </w:sectPr>
      </w:pPr>
    </w:p>
    <w:p w14:paraId="42F10289" w14:textId="77777777" w:rsidR="00D816CB" w:rsidRPr="00EC0E1E" w:rsidRDefault="00D816CB" w:rsidP="00EC0E1E">
      <w:pPr>
        <w:spacing w:after="200" w:line="276" w:lineRule="auto"/>
        <w:jc w:val="both"/>
        <w:rPr>
          <w:rFonts w:cstheme="minorHAnsi"/>
          <w:b/>
          <w:bCs/>
          <w:caps/>
        </w:rPr>
      </w:pPr>
      <w:r w:rsidRPr="00EC0E1E">
        <w:rPr>
          <w:rFonts w:cstheme="minorHAnsi"/>
          <w:b/>
          <w:bCs/>
          <w:caps/>
        </w:rPr>
        <w:lastRenderedPageBreak/>
        <w:t>Bylo ujednáno následující:</w:t>
      </w:r>
    </w:p>
    <w:p w14:paraId="32FB14DE" w14:textId="77777777" w:rsidR="00D816CB" w:rsidRPr="00EC0E1E" w:rsidRDefault="00D816CB" w:rsidP="00EC0E1E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709" w:hanging="709"/>
        <w:contextualSpacing w:val="0"/>
        <w:jc w:val="both"/>
        <w:textAlignment w:val="baseline"/>
        <w:rPr>
          <w:rStyle w:val="FontStyle28"/>
          <w:rFonts w:asciiTheme="minorHAnsi" w:hAnsiTheme="minorHAnsi" w:cstheme="minorHAnsi"/>
          <w:b/>
          <w:caps/>
          <w:sz w:val="22"/>
          <w:szCs w:val="22"/>
        </w:rPr>
      </w:pPr>
      <w:r w:rsidRPr="00EC0E1E">
        <w:rPr>
          <w:rStyle w:val="FontStyle28"/>
          <w:rFonts w:asciiTheme="minorHAnsi" w:hAnsiTheme="minorHAnsi" w:cstheme="minorHAnsi"/>
          <w:b/>
          <w:caps/>
          <w:sz w:val="22"/>
          <w:szCs w:val="22"/>
        </w:rPr>
        <w:t>p</w:t>
      </w:r>
      <w:r w:rsidR="0023228A" w:rsidRPr="00EC0E1E">
        <w:rPr>
          <w:rStyle w:val="FontStyle28"/>
          <w:rFonts w:asciiTheme="minorHAnsi" w:hAnsiTheme="minorHAnsi" w:cstheme="minorHAnsi"/>
          <w:b/>
          <w:caps/>
          <w:sz w:val="22"/>
          <w:szCs w:val="22"/>
        </w:rPr>
        <w:t>ředmět smlouvy</w:t>
      </w:r>
    </w:p>
    <w:p w14:paraId="655C4CFB" w14:textId="77777777" w:rsidR="00D816CB" w:rsidRDefault="00D816CB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EC0E1E">
        <w:rPr>
          <w:rStyle w:val="FontStyle28"/>
          <w:rFonts w:asciiTheme="minorHAnsi" w:hAnsiTheme="minorHAnsi" w:cstheme="minorHAnsi"/>
          <w:sz w:val="22"/>
          <w:szCs w:val="22"/>
        </w:rPr>
        <w:t xml:space="preserve">Předmětem této Smlouvy je úprava podmínek poskytování právních služeb </w:t>
      </w:r>
      <w:r w:rsidR="003F0CBF" w:rsidRPr="00EC0E1E">
        <w:rPr>
          <w:rStyle w:val="FontStyle28"/>
          <w:rFonts w:asciiTheme="minorHAnsi" w:hAnsiTheme="minorHAnsi" w:cstheme="minorHAnsi"/>
          <w:sz w:val="22"/>
          <w:szCs w:val="22"/>
        </w:rPr>
        <w:t xml:space="preserve">Advokátní kanceláří (jako příkazníkem) Klientovi (jako příkazci) </w:t>
      </w:r>
      <w:r w:rsidRPr="00EC0E1E">
        <w:rPr>
          <w:rStyle w:val="FontStyle28"/>
          <w:rFonts w:asciiTheme="minorHAnsi" w:hAnsiTheme="minorHAnsi" w:cstheme="minorHAnsi"/>
          <w:sz w:val="22"/>
          <w:szCs w:val="22"/>
        </w:rPr>
        <w:t xml:space="preserve">a úprava </w:t>
      </w:r>
      <w:r w:rsidR="00174607" w:rsidRPr="00EC0E1E">
        <w:rPr>
          <w:rStyle w:val="FontStyle28"/>
          <w:rFonts w:asciiTheme="minorHAnsi" w:hAnsiTheme="minorHAnsi" w:cstheme="minorHAnsi"/>
          <w:sz w:val="22"/>
          <w:szCs w:val="22"/>
        </w:rPr>
        <w:t xml:space="preserve">dalších </w:t>
      </w:r>
      <w:r w:rsidRPr="00EC0E1E">
        <w:rPr>
          <w:rStyle w:val="FontStyle28"/>
          <w:rFonts w:asciiTheme="minorHAnsi" w:hAnsiTheme="minorHAnsi" w:cstheme="minorHAnsi"/>
          <w:sz w:val="22"/>
          <w:szCs w:val="22"/>
        </w:rPr>
        <w:t>s tím souvisejících práv a povinností Smluvních stran.</w:t>
      </w:r>
    </w:p>
    <w:p w14:paraId="78F25A79" w14:textId="4C439B22" w:rsidR="006F252A" w:rsidRPr="00EC0E1E" w:rsidRDefault="006F252A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Provedení předmětu smlouvy je </w:t>
      </w:r>
      <w:r w:rsidRPr="006F252A">
        <w:rPr>
          <w:rStyle w:val="FontStyle28"/>
          <w:rFonts w:asciiTheme="minorHAnsi" w:hAnsiTheme="minorHAnsi" w:cstheme="minorHAnsi"/>
          <w:sz w:val="22"/>
          <w:szCs w:val="22"/>
        </w:rPr>
        <w:t xml:space="preserve">výsledkem Rozhodnutí o výběru nejvýhodnější nabídky </w:t>
      </w:r>
      <w:r>
        <w:rPr>
          <w:rStyle w:val="FontStyle28"/>
          <w:rFonts w:asciiTheme="minorHAnsi" w:hAnsiTheme="minorHAnsi" w:cstheme="minorHAnsi"/>
          <w:sz w:val="22"/>
          <w:szCs w:val="22"/>
        </w:rPr>
        <w:t>Klienta</w:t>
      </w:r>
      <w:r w:rsidRPr="006F252A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="006C10A5">
        <w:rPr>
          <w:rStyle w:val="FontStyle28"/>
          <w:rFonts w:asciiTheme="minorHAnsi" w:hAnsiTheme="minorHAnsi" w:cstheme="minorHAnsi"/>
          <w:sz w:val="22"/>
          <w:szCs w:val="22"/>
        </w:rPr>
        <w:t xml:space="preserve">jako zadavatele </w:t>
      </w:r>
      <w:r w:rsidRPr="006F252A">
        <w:rPr>
          <w:rStyle w:val="FontStyle28"/>
          <w:rFonts w:asciiTheme="minorHAnsi" w:hAnsiTheme="minorHAnsi" w:cstheme="minorHAnsi"/>
          <w:sz w:val="22"/>
          <w:szCs w:val="22"/>
        </w:rPr>
        <w:t>ze dne 1.</w:t>
      </w:r>
      <w:r>
        <w:rPr>
          <w:rStyle w:val="FontStyle28"/>
          <w:rFonts w:asciiTheme="minorHAnsi" w:hAnsiTheme="minorHAnsi" w:cstheme="minorHAnsi"/>
          <w:sz w:val="22"/>
          <w:szCs w:val="22"/>
        </w:rPr>
        <w:t>8</w:t>
      </w:r>
      <w:r w:rsidRPr="006F252A">
        <w:rPr>
          <w:rStyle w:val="FontStyle28"/>
          <w:rFonts w:asciiTheme="minorHAnsi" w:hAnsiTheme="minorHAnsi" w:cstheme="minorHAnsi"/>
          <w:sz w:val="22"/>
          <w:szCs w:val="22"/>
        </w:rPr>
        <w:t>.2023 v rámci veřejné zakázky s názvem „</w:t>
      </w:r>
      <w:r w:rsidR="00FD2614">
        <w:rPr>
          <w:rStyle w:val="FontStyle28"/>
          <w:rFonts w:asciiTheme="minorHAnsi" w:hAnsiTheme="minorHAnsi" w:cstheme="minorHAnsi"/>
          <w:sz w:val="22"/>
          <w:szCs w:val="22"/>
        </w:rPr>
        <w:t>Posouzení výhodnosti smírného vyřešení soudního sporu</w:t>
      </w:r>
      <w:r w:rsidR="000B1365">
        <w:rPr>
          <w:rStyle w:val="FontStyle28"/>
          <w:rFonts w:asciiTheme="minorHAnsi" w:hAnsiTheme="minorHAnsi" w:cstheme="minorHAnsi"/>
          <w:sz w:val="22"/>
          <w:szCs w:val="22"/>
        </w:rPr>
        <w:t>“</w:t>
      </w:r>
      <w:r w:rsidRPr="006F252A">
        <w:rPr>
          <w:rStyle w:val="FontStyle28"/>
          <w:rFonts w:asciiTheme="minorHAnsi" w:hAnsiTheme="minorHAnsi" w:cstheme="minorHAnsi"/>
          <w:sz w:val="22"/>
          <w:szCs w:val="22"/>
        </w:rPr>
        <w:t>.</w:t>
      </w:r>
      <w:r w:rsidR="000F0293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="00095F89" w:rsidRPr="00095F89">
        <w:rPr>
          <w:rStyle w:val="FontStyle28"/>
          <w:rFonts w:asciiTheme="minorHAnsi" w:hAnsiTheme="minorHAnsi" w:cstheme="minorHAnsi"/>
          <w:sz w:val="22"/>
          <w:szCs w:val="22"/>
        </w:rPr>
        <w:t xml:space="preserve">V rámci výběrového řízení byla </w:t>
      </w:r>
      <w:r w:rsidR="00095F89">
        <w:rPr>
          <w:rStyle w:val="FontStyle28"/>
          <w:rFonts w:asciiTheme="minorHAnsi" w:hAnsiTheme="minorHAnsi" w:cstheme="minorHAnsi"/>
          <w:sz w:val="22"/>
          <w:szCs w:val="22"/>
        </w:rPr>
        <w:t>Advokátní kanceláří</w:t>
      </w:r>
      <w:r w:rsidR="00095F89" w:rsidRPr="00095F89">
        <w:rPr>
          <w:rStyle w:val="FontStyle28"/>
          <w:rFonts w:asciiTheme="minorHAnsi" w:hAnsiTheme="minorHAnsi" w:cstheme="minorHAnsi"/>
          <w:sz w:val="22"/>
          <w:szCs w:val="22"/>
        </w:rPr>
        <w:t xml:space="preserve"> předložena nabídka na služby dle požadavků </w:t>
      </w:r>
      <w:r w:rsidR="002214EB">
        <w:rPr>
          <w:rStyle w:val="FontStyle28"/>
          <w:rFonts w:asciiTheme="minorHAnsi" w:hAnsiTheme="minorHAnsi" w:cstheme="minorHAnsi"/>
          <w:sz w:val="22"/>
          <w:szCs w:val="22"/>
        </w:rPr>
        <w:t>Klienta</w:t>
      </w:r>
      <w:r w:rsidR="00095F89" w:rsidRPr="00095F89">
        <w:rPr>
          <w:rStyle w:val="FontStyle28"/>
          <w:rFonts w:asciiTheme="minorHAnsi" w:hAnsiTheme="minorHAnsi" w:cstheme="minorHAnsi"/>
          <w:sz w:val="22"/>
          <w:szCs w:val="22"/>
        </w:rPr>
        <w:t>.</w:t>
      </w:r>
    </w:p>
    <w:p w14:paraId="21022C33" w14:textId="77777777" w:rsidR="00D816CB" w:rsidRPr="00EC0E1E" w:rsidRDefault="00D816CB" w:rsidP="00EC0E1E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709" w:hanging="709"/>
        <w:contextualSpacing w:val="0"/>
        <w:jc w:val="both"/>
        <w:textAlignment w:val="baseline"/>
        <w:rPr>
          <w:rStyle w:val="FontStyle28"/>
          <w:rFonts w:asciiTheme="minorHAnsi" w:hAnsiTheme="minorHAnsi" w:cstheme="minorHAnsi"/>
          <w:b/>
          <w:caps/>
          <w:sz w:val="22"/>
          <w:szCs w:val="22"/>
        </w:rPr>
      </w:pPr>
      <w:r w:rsidRPr="00EC0E1E">
        <w:rPr>
          <w:rStyle w:val="FontStyle28"/>
          <w:rFonts w:asciiTheme="minorHAnsi" w:hAnsiTheme="minorHAnsi" w:cstheme="minorHAnsi"/>
          <w:b/>
          <w:caps/>
          <w:sz w:val="22"/>
          <w:szCs w:val="22"/>
        </w:rPr>
        <w:t>právní služby</w:t>
      </w:r>
    </w:p>
    <w:p w14:paraId="3C9212B7" w14:textId="60F42400" w:rsidR="00CF1795" w:rsidRPr="00B70406" w:rsidRDefault="002923EF" w:rsidP="00FB4E52">
      <w:pPr>
        <w:pStyle w:val="Odstavecseseznamem"/>
        <w:numPr>
          <w:ilvl w:val="1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B70406">
        <w:rPr>
          <w:rFonts w:cstheme="minorHAnsi"/>
        </w:rPr>
        <w:t xml:space="preserve">Advokátní kancelář </w:t>
      </w:r>
      <w:r w:rsidR="00B70406" w:rsidRPr="00B70406">
        <w:rPr>
          <w:rFonts w:cstheme="minorHAnsi"/>
        </w:rPr>
        <w:t>n</w:t>
      </w:r>
      <w:r w:rsidR="0023228A" w:rsidRPr="00B70406">
        <w:rPr>
          <w:rFonts w:cstheme="minorHAnsi"/>
        </w:rPr>
        <w:t xml:space="preserve">a základě této </w:t>
      </w:r>
      <w:r w:rsidR="00D816CB" w:rsidRPr="00B70406">
        <w:rPr>
          <w:rFonts w:cstheme="minorHAnsi"/>
        </w:rPr>
        <w:t>S</w:t>
      </w:r>
      <w:r w:rsidR="0023228A" w:rsidRPr="00B70406">
        <w:rPr>
          <w:rFonts w:cstheme="minorHAnsi"/>
        </w:rPr>
        <w:t>mlouvy poskyt</w:t>
      </w:r>
      <w:r w:rsidR="00B70406" w:rsidRPr="00B70406">
        <w:rPr>
          <w:rFonts w:cstheme="minorHAnsi"/>
        </w:rPr>
        <w:t>ne</w:t>
      </w:r>
      <w:r w:rsidR="0023228A" w:rsidRPr="00B70406">
        <w:rPr>
          <w:rFonts w:cstheme="minorHAnsi"/>
        </w:rPr>
        <w:t xml:space="preserve"> </w:t>
      </w:r>
      <w:r w:rsidRPr="00B70406">
        <w:rPr>
          <w:rFonts w:cstheme="minorHAnsi"/>
        </w:rPr>
        <w:t>Klientovi</w:t>
      </w:r>
      <w:r w:rsidR="00F3563C" w:rsidRPr="00B70406">
        <w:rPr>
          <w:rFonts w:cstheme="minorHAnsi"/>
        </w:rPr>
        <w:t xml:space="preserve"> </w:t>
      </w:r>
      <w:r w:rsidR="0023228A" w:rsidRPr="00B70406">
        <w:rPr>
          <w:rFonts w:cstheme="minorHAnsi"/>
        </w:rPr>
        <w:t xml:space="preserve">právní </w:t>
      </w:r>
      <w:r w:rsidR="00D25379" w:rsidRPr="00B70406">
        <w:rPr>
          <w:rFonts w:cstheme="minorHAnsi"/>
        </w:rPr>
        <w:t>služby</w:t>
      </w:r>
      <w:r w:rsidR="00B70406" w:rsidRPr="00B70406">
        <w:rPr>
          <w:rFonts w:cstheme="minorHAnsi"/>
        </w:rPr>
        <w:t xml:space="preserve"> spočívající ve vypracování právního stanoviska k otázce výhodnosti uzavření soudního smíru se společností </w:t>
      </w:r>
      <w:proofErr w:type="spellStart"/>
      <w:r w:rsidR="00B70406" w:rsidRPr="00B70406">
        <w:rPr>
          <w:rFonts w:cstheme="minorHAnsi"/>
        </w:rPr>
        <w:t>Asseco</w:t>
      </w:r>
      <w:proofErr w:type="spellEnd"/>
      <w:r w:rsidR="00B70406" w:rsidRPr="00B70406">
        <w:rPr>
          <w:rFonts w:cstheme="minorHAnsi"/>
        </w:rPr>
        <w:t xml:space="preserve"> </w:t>
      </w:r>
      <w:proofErr w:type="spellStart"/>
      <w:r w:rsidR="00B70406" w:rsidRPr="00B70406">
        <w:rPr>
          <w:rFonts w:cstheme="minorHAnsi"/>
        </w:rPr>
        <w:t>Central</w:t>
      </w:r>
      <w:proofErr w:type="spellEnd"/>
      <w:r w:rsidR="00B70406" w:rsidRPr="00B70406">
        <w:rPr>
          <w:rFonts w:cstheme="minorHAnsi"/>
        </w:rPr>
        <w:t xml:space="preserve"> </w:t>
      </w:r>
      <w:proofErr w:type="spellStart"/>
      <w:r w:rsidR="00B70406" w:rsidRPr="00B70406">
        <w:rPr>
          <w:rFonts w:cstheme="minorHAnsi"/>
        </w:rPr>
        <w:t>Europe</w:t>
      </w:r>
      <w:proofErr w:type="spellEnd"/>
      <w:r w:rsidR="00B70406" w:rsidRPr="00B70406">
        <w:rPr>
          <w:rFonts w:cstheme="minorHAnsi"/>
        </w:rPr>
        <w:t xml:space="preserve">, a.s., se kterou Klient vede soudní spor. Bližší specifikace zadání je obsažena v příloze č. 1 této smlouvy </w:t>
      </w:r>
      <w:r w:rsidR="00F86B6D" w:rsidRPr="00B70406">
        <w:rPr>
          <w:rFonts w:cstheme="minorHAnsi"/>
        </w:rPr>
        <w:t>(dále i jen „</w:t>
      </w:r>
      <w:r w:rsidR="00F86B6D" w:rsidRPr="00B70406">
        <w:rPr>
          <w:rFonts w:cstheme="minorHAnsi"/>
          <w:b/>
          <w:bCs/>
        </w:rPr>
        <w:t>Právní služby</w:t>
      </w:r>
      <w:r w:rsidR="00F86B6D" w:rsidRPr="00B70406">
        <w:rPr>
          <w:rFonts w:cstheme="minorHAnsi"/>
        </w:rPr>
        <w:t>“)</w:t>
      </w:r>
      <w:r w:rsidR="0023228A" w:rsidRPr="00B70406">
        <w:rPr>
          <w:rFonts w:cstheme="minorHAnsi"/>
        </w:rPr>
        <w:t>.</w:t>
      </w:r>
      <w:r w:rsidR="00CF1795" w:rsidRPr="00B70406">
        <w:rPr>
          <w:rFonts w:cstheme="minorHAnsi"/>
        </w:rPr>
        <w:t xml:space="preserve"> </w:t>
      </w:r>
      <w:r w:rsidR="00B80697">
        <w:rPr>
          <w:rFonts w:cstheme="minorHAnsi"/>
        </w:rPr>
        <w:t xml:space="preserve">Návrh stanoviska </w:t>
      </w:r>
      <w:proofErr w:type="gramStart"/>
      <w:r w:rsidR="00B80697">
        <w:rPr>
          <w:rFonts w:cstheme="minorHAnsi"/>
        </w:rPr>
        <w:t>předloží</w:t>
      </w:r>
      <w:proofErr w:type="gramEnd"/>
      <w:r w:rsidR="00B80697">
        <w:rPr>
          <w:rFonts w:cstheme="minorHAnsi"/>
        </w:rPr>
        <w:t xml:space="preserve"> Advokátní kancelář Klientovi nejpozději do 30.8. 2023 s tím, že finální znění stanoviska musí být Klientovi předáno do </w:t>
      </w:r>
      <w:r w:rsidR="009470F9">
        <w:rPr>
          <w:rFonts w:cstheme="minorHAnsi"/>
        </w:rPr>
        <w:t>10</w:t>
      </w:r>
      <w:r w:rsidR="00B80697">
        <w:rPr>
          <w:rFonts w:cstheme="minorHAnsi"/>
        </w:rPr>
        <w:t>. 9. 2023.</w:t>
      </w:r>
    </w:p>
    <w:p w14:paraId="14606249" w14:textId="77777777" w:rsidR="001B5A41" w:rsidRPr="00EC0E1E" w:rsidRDefault="001B5A41" w:rsidP="001B5A41">
      <w:pPr>
        <w:pStyle w:val="Odstavecseseznamem"/>
        <w:spacing w:after="0" w:line="276" w:lineRule="auto"/>
        <w:ind w:left="710"/>
        <w:contextualSpacing w:val="0"/>
        <w:jc w:val="both"/>
        <w:rPr>
          <w:rFonts w:cstheme="minorHAnsi"/>
        </w:rPr>
      </w:pPr>
    </w:p>
    <w:p w14:paraId="5C928E71" w14:textId="77777777" w:rsidR="0023228A" w:rsidRPr="00EC0E1E" w:rsidRDefault="0023228A" w:rsidP="00EC0E1E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709" w:hanging="709"/>
        <w:contextualSpacing w:val="0"/>
        <w:jc w:val="both"/>
        <w:textAlignment w:val="baseline"/>
        <w:rPr>
          <w:rStyle w:val="FontStyle28"/>
          <w:rFonts w:asciiTheme="minorHAnsi" w:hAnsiTheme="minorHAnsi" w:cstheme="minorHAnsi"/>
          <w:b/>
          <w:caps/>
          <w:sz w:val="22"/>
          <w:szCs w:val="22"/>
        </w:rPr>
      </w:pPr>
      <w:r w:rsidRPr="00EC0E1E">
        <w:rPr>
          <w:rStyle w:val="FontStyle28"/>
          <w:rFonts w:asciiTheme="minorHAnsi" w:hAnsiTheme="minorHAnsi" w:cstheme="minorHAnsi"/>
          <w:b/>
          <w:caps/>
          <w:sz w:val="22"/>
          <w:szCs w:val="22"/>
        </w:rPr>
        <w:t xml:space="preserve">Povinnosti </w:t>
      </w:r>
      <w:r w:rsidR="002D097D" w:rsidRPr="00EC0E1E">
        <w:rPr>
          <w:rStyle w:val="FontStyle28"/>
          <w:rFonts w:asciiTheme="minorHAnsi" w:hAnsiTheme="minorHAnsi" w:cstheme="minorHAnsi"/>
          <w:b/>
          <w:caps/>
          <w:sz w:val="22"/>
          <w:szCs w:val="22"/>
        </w:rPr>
        <w:t>advokátní kaceláře</w:t>
      </w:r>
    </w:p>
    <w:p w14:paraId="7D6F6D93" w14:textId="77777777" w:rsidR="0023228A" w:rsidRPr="00EC0E1E" w:rsidRDefault="002D097D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bookmarkStart w:id="0" w:name="_Hlk126657479"/>
      <w:r w:rsidRPr="00EC0E1E">
        <w:rPr>
          <w:rFonts w:cstheme="minorHAnsi"/>
        </w:rPr>
        <w:t xml:space="preserve">Advokátní kancelář </w:t>
      </w:r>
      <w:r w:rsidR="0023228A" w:rsidRPr="00EC0E1E">
        <w:rPr>
          <w:rFonts w:cstheme="minorHAnsi"/>
        </w:rPr>
        <w:t>je v souladu s</w:t>
      </w:r>
      <w:r w:rsidR="00D816CB" w:rsidRPr="00EC0E1E">
        <w:rPr>
          <w:rFonts w:cstheme="minorHAnsi"/>
        </w:rPr>
        <w:t> </w:t>
      </w:r>
      <w:proofErr w:type="spellStart"/>
      <w:r w:rsidR="00D816CB" w:rsidRPr="00EC0E1E">
        <w:rPr>
          <w:rFonts w:cstheme="minorHAnsi"/>
        </w:rPr>
        <w:t>ust</w:t>
      </w:r>
      <w:proofErr w:type="spellEnd"/>
      <w:r w:rsidR="00D816CB" w:rsidRPr="00EC0E1E">
        <w:rPr>
          <w:rFonts w:cstheme="minorHAnsi"/>
        </w:rPr>
        <w:t xml:space="preserve">. </w:t>
      </w:r>
      <w:r w:rsidR="0023228A" w:rsidRPr="00EC0E1E">
        <w:rPr>
          <w:rFonts w:cstheme="minorHAnsi"/>
        </w:rPr>
        <w:t xml:space="preserve">§ 26 odst. 1 a 2 </w:t>
      </w:r>
      <w:r w:rsidR="004262C5" w:rsidRPr="00EC0E1E">
        <w:rPr>
          <w:rFonts w:cstheme="minorHAnsi"/>
        </w:rPr>
        <w:t>Z</w:t>
      </w:r>
      <w:r w:rsidR="0023228A" w:rsidRPr="00EC0E1E">
        <w:rPr>
          <w:rFonts w:cstheme="minorHAnsi"/>
        </w:rPr>
        <w:t xml:space="preserve">ákona </w:t>
      </w:r>
      <w:r w:rsidR="004262C5" w:rsidRPr="00EC0E1E">
        <w:rPr>
          <w:rFonts w:cstheme="minorHAnsi"/>
        </w:rPr>
        <w:t xml:space="preserve">o advokacii </w:t>
      </w:r>
      <w:r w:rsidRPr="00EC0E1E">
        <w:rPr>
          <w:rFonts w:cstheme="minorHAnsi"/>
        </w:rPr>
        <w:t xml:space="preserve">povinna </w:t>
      </w:r>
      <w:r w:rsidR="0023228A" w:rsidRPr="00EC0E1E">
        <w:rPr>
          <w:rFonts w:cstheme="minorHAnsi"/>
        </w:rPr>
        <w:t xml:space="preserve">jednat v zastoupení </w:t>
      </w:r>
      <w:r w:rsidRPr="00EC0E1E">
        <w:rPr>
          <w:rFonts w:cstheme="minorHAnsi"/>
        </w:rPr>
        <w:t xml:space="preserve">Klienta </w:t>
      </w:r>
      <w:r w:rsidR="0023228A" w:rsidRPr="00EC0E1E">
        <w:rPr>
          <w:rFonts w:cstheme="minorHAnsi"/>
        </w:rPr>
        <w:t xml:space="preserve">osobně nebo prostřednictvím jiného advokáta </w:t>
      </w:r>
      <w:r w:rsidR="00DB0D0B" w:rsidRPr="00EC0E1E">
        <w:rPr>
          <w:rFonts w:cstheme="minorHAnsi"/>
        </w:rPr>
        <w:t xml:space="preserve">či </w:t>
      </w:r>
      <w:r w:rsidR="0023228A" w:rsidRPr="00EC0E1E">
        <w:rPr>
          <w:rFonts w:cstheme="minorHAnsi"/>
        </w:rPr>
        <w:t>advokátního koncipienta</w:t>
      </w:r>
      <w:r w:rsidR="004262C5" w:rsidRPr="00EC0E1E">
        <w:rPr>
          <w:rFonts w:cstheme="minorHAnsi"/>
        </w:rPr>
        <w:t>. P</w:t>
      </w:r>
      <w:r w:rsidR="0023228A" w:rsidRPr="00EC0E1E">
        <w:rPr>
          <w:rFonts w:cstheme="minorHAnsi"/>
        </w:rPr>
        <w:t xml:space="preserve">oužít k plnění povinností vyplývajících z této </w:t>
      </w:r>
      <w:r w:rsidR="004262C5" w:rsidRPr="00EC0E1E">
        <w:rPr>
          <w:rFonts w:cstheme="minorHAnsi"/>
        </w:rPr>
        <w:t>S</w:t>
      </w:r>
      <w:r w:rsidR="0023228A" w:rsidRPr="00EC0E1E">
        <w:rPr>
          <w:rFonts w:cstheme="minorHAnsi"/>
        </w:rPr>
        <w:t xml:space="preserve">mlouvy jiných osob je </w:t>
      </w:r>
      <w:r w:rsidRPr="00EC0E1E">
        <w:rPr>
          <w:rFonts w:cstheme="minorHAnsi"/>
        </w:rPr>
        <w:t xml:space="preserve">Advokátní kancelář </w:t>
      </w:r>
      <w:r w:rsidR="0023228A" w:rsidRPr="00EC0E1E">
        <w:rPr>
          <w:rFonts w:cstheme="minorHAnsi"/>
        </w:rPr>
        <w:t>oprávněn</w:t>
      </w:r>
      <w:r w:rsidRPr="00EC0E1E">
        <w:rPr>
          <w:rFonts w:cstheme="minorHAnsi"/>
        </w:rPr>
        <w:t>a</w:t>
      </w:r>
      <w:r w:rsidR="00F86B6D" w:rsidRPr="00EC0E1E">
        <w:rPr>
          <w:rFonts w:cstheme="minorHAnsi"/>
        </w:rPr>
        <w:t>, pokud to povaha takového jednání umožňuje.</w:t>
      </w:r>
      <w:bookmarkEnd w:id="0"/>
    </w:p>
    <w:p w14:paraId="36CB8927" w14:textId="77777777" w:rsidR="0023228A" w:rsidRPr="00EC0E1E" w:rsidRDefault="00DB0D0B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 w:rsidRPr="00EC0E1E">
        <w:rPr>
          <w:rFonts w:cstheme="minorHAnsi"/>
        </w:rPr>
        <w:t>Advokátní kancelář je povinna chránit a prosazovat práva a oprávněné zájmy Klienta</w:t>
      </w:r>
      <w:r w:rsidR="0023228A" w:rsidRPr="00EC0E1E">
        <w:rPr>
          <w:rFonts w:cstheme="minorHAnsi"/>
        </w:rPr>
        <w:t>.</w:t>
      </w:r>
    </w:p>
    <w:p w14:paraId="37DB5D8A" w14:textId="77777777" w:rsidR="0023228A" w:rsidRPr="00EC0E1E" w:rsidRDefault="002D097D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bookmarkStart w:id="1" w:name="_Hlk126657526"/>
      <w:r w:rsidRPr="00EC0E1E">
        <w:rPr>
          <w:rFonts w:cstheme="minorHAnsi"/>
        </w:rPr>
        <w:t>Celková výše škody</w:t>
      </w:r>
      <w:r w:rsidR="00DB0D0B" w:rsidRPr="00EC0E1E">
        <w:rPr>
          <w:rFonts w:cstheme="minorHAnsi"/>
        </w:rPr>
        <w:t xml:space="preserve"> (újmy)</w:t>
      </w:r>
      <w:r w:rsidRPr="00EC0E1E">
        <w:rPr>
          <w:rFonts w:cstheme="minorHAnsi"/>
        </w:rPr>
        <w:t xml:space="preserve">, za kterou může být Advokátní kancelář na základě poskytování Právních služeb dle této Smlouvy odpovědná, je omezena částkou </w:t>
      </w:r>
      <w:proofErr w:type="gramStart"/>
      <w:r w:rsidRPr="00EC0E1E">
        <w:rPr>
          <w:rFonts w:cstheme="minorHAnsi"/>
        </w:rPr>
        <w:t>350.000.000,-</w:t>
      </w:r>
      <w:proofErr w:type="gramEnd"/>
      <w:r w:rsidRPr="00EC0E1E">
        <w:rPr>
          <w:rFonts w:cstheme="minorHAnsi"/>
        </w:rPr>
        <w:t xml:space="preserve"> Kč (slovy: tři sta padesát milionů korun českých) s tím, že bude </w:t>
      </w:r>
      <w:r w:rsidR="00DB0D0B" w:rsidRPr="00EC0E1E">
        <w:rPr>
          <w:rFonts w:cstheme="minorHAnsi"/>
        </w:rPr>
        <w:t xml:space="preserve">vždy </w:t>
      </w:r>
      <w:r w:rsidRPr="00EC0E1E">
        <w:rPr>
          <w:rFonts w:cstheme="minorHAnsi"/>
        </w:rPr>
        <w:t>vypořádána jako pojistná událost a Klient při jejím vypořádání poskytne Advokátní kanceláři veškerou součinnost, kterou po něm lze spravedlivě požadovat.</w:t>
      </w:r>
      <w:r w:rsidR="00E45381" w:rsidRPr="00EC0E1E">
        <w:rPr>
          <w:rFonts w:cstheme="minorHAnsi"/>
        </w:rPr>
        <w:t xml:space="preserve"> </w:t>
      </w:r>
      <w:r w:rsidR="006667D3" w:rsidRPr="00EC0E1E">
        <w:rPr>
          <w:rFonts w:cstheme="minorHAnsi"/>
        </w:rPr>
        <w:t xml:space="preserve">Klient se tímto vzdává vůči Advokátní kanceláři veškerých případných nároků na náhradu jakýchkoliv škod způsobených Klientovi v souvislosti s poskytováních Právních služeb dle této Smlouvy přesahujících výše uvedený limit </w:t>
      </w:r>
      <w:bookmarkStart w:id="2" w:name="_Hlk122529041"/>
      <w:proofErr w:type="gramStart"/>
      <w:r w:rsidR="006667D3" w:rsidRPr="00EC0E1E">
        <w:rPr>
          <w:rFonts w:cstheme="minorHAnsi"/>
        </w:rPr>
        <w:t>350.000.000,-</w:t>
      </w:r>
      <w:proofErr w:type="gramEnd"/>
      <w:r w:rsidR="006667D3" w:rsidRPr="00EC0E1E">
        <w:rPr>
          <w:rFonts w:cstheme="minorHAnsi"/>
        </w:rPr>
        <w:t xml:space="preserve"> Kč (slovy: tři sta padesát milionů korun českých)</w:t>
      </w:r>
      <w:bookmarkEnd w:id="2"/>
      <w:r w:rsidR="006667D3" w:rsidRPr="00EC0E1E">
        <w:rPr>
          <w:rFonts w:cstheme="minorHAnsi"/>
        </w:rPr>
        <w:t>.</w:t>
      </w:r>
      <w:bookmarkEnd w:id="1"/>
    </w:p>
    <w:p w14:paraId="75A03AF1" w14:textId="77777777" w:rsidR="00DB0D0B" w:rsidRPr="00EC0E1E" w:rsidRDefault="00DB0D0B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bookmarkStart w:id="3" w:name="_Hlk126657548"/>
      <w:r w:rsidRPr="00EC0E1E">
        <w:rPr>
          <w:rFonts w:cstheme="minorHAnsi"/>
        </w:rPr>
        <w:t xml:space="preserve">Advokátní kancelář, resp. společníci </w:t>
      </w:r>
      <w:r w:rsidR="006667D3" w:rsidRPr="00EC0E1E">
        <w:rPr>
          <w:rFonts w:cstheme="minorHAnsi"/>
        </w:rPr>
        <w:t xml:space="preserve">Advokátní kanceláře, </w:t>
      </w:r>
      <w:r w:rsidR="006667D3" w:rsidRPr="00EC0E1E">
        <w:rPr>
          <w:rFonts w:eastAsia="Calibri" w:cstheme="minorHAnsi"/>
        </w:rPr>
        <w:t xml:space="preserve">advokáti, advokátní koncipienti, jakož i </w:t>
      </w:r>
      <w:r w:rsidR="00104D3B" w:rsidRPr="00EC0E1E">
        <w:rPr>
          <w:rFonts w:eastAsia="Calibri" w:cstheme="minorHAnsi"/>
        </w:rPr>
        <w:t>zaměstnanci</w:t>
      </w:r>
      <w:r w:rsidR="00104D3B" w:rsidRPr="00EC0E1E" w:rsidDel="00104D3B">
        <w:rPr>
          <w:rFonts w:cstheme="minorHAnsi"/>
        </w:rPr>
        <w:t xml:space="preserve"> </w:t>
      </w:r>
      <w:r w:rsidR="006667D3" w:rsidRPr="00EC0E1E">
        <w:rPr>
          <w:rFonts w:cstheme="minorHAnsi"/>
        </w:rPr>
        <w:t xml:space="preserve">Advokátní kanceláře </w:t>
      </w:r>
      <w:r w:rsidR="0023228A" w:rsidRPr="00EC0E1E">
        <w:rPr>
          <w:rFonts w:cstheme="minorHAnsi"/>
        </w:rPr>
        <w:t>j</w:t>
      </w:r>
      <w:r w:rsidR="00104D3B" w:rsidRPr="00EC0E1E">
        <w:rPr>
          <w:rFonts w:cstheme="minorHAnsi"/>
        </w:rPr>
        <w:t>sou</w:t>
      </w:r>
      <w:r w:rsidR="0023228A" w:rsidRPr="00EC0E1E">
        <w:rPr>
          <w:rFonts w:cstheme="minorHAnsi"/>
        </w:rPr>
        <w:t xml:space="preserve"> </w:t>
      </w:r>
      <w:r w:rsidR="00104D3B" w:rsidRPr="00EC0E1E">
        <w:rPr>
          <w:rFonts w:cstheme="minorHAnsi"/>
        </w:rPr>
        <w:t>povinni</w:t>
      </w:r>
      <w:r w:rsidR="001F1A88" w:rsidRPr="00EC0E1E">
        <w:rPr>
          <w:rFonts w:cstheme="minorHAnsi"/>
        </w:rPr>
        <w:t xml:space="preserve"> </w:t>
      </w:r>
      <w:r w:rsidR="0023228A" w:rsidRPr="00EC0E1E">
        <w:rPr>
          <w:rFonts w:cstheme="minorHAnsi"/>
        </w:rPr>
        <w:t xml:space="preserve">zachovat mlčenlivost o všech skutečnostech, které se v souvislosti s </w:t>
      </w:r>
      <w:r w:rsidRPr="00EC0E1E">
        <w:rPr>
          <w:rFonts w:cstheme="minorHAnsi"/>
        </w:rPr>
        <w:t xml:space="preserve">poskytováním Právních služeb a plněním </w:t>
      </w:r>
      <w:r w:rsidR="0023228A" w:rsidRPr="00EC0E1E">
        <w:rPr>
          <w:rFonts w:cstheme="minorHAnsi"/>
        </w:rPr>
        <w:t xml:space="preserve">této </w:t>
      </w:r>
      <w:r w:rsidR="004262C5" w:rsidRPr="00EC0E1E">
        <w:rPr>
          <w:rFonts w:cstheme="minorHAnsi"/>
        </w:rPr>
        <w:t>Smlouv</w:t>
      </w:r>
      <w:r w:rsidR="0023228A" w:rsidRPr="00EC0E1E">
        <w:rPr>
          <w:rFonts w:cstheme="minorHAnsi"/>
        </w:rPr>
        <w:t xml:space="preserve">y dozví, a to i po ukončení </w:t>
      </w:r>
      <w:r w:rsidR="004262C5" w:rsidRPr="00EC0E1E">
        <w:rPr>
          <w:rFonts w:cstheme="minorHAnsi"/>
        </w:rPr>
        <w:t>Smlouv</w:t>
      </w:r>
      <w:r w:rsidR="0023228A" w:rsidRPr="00EC0E1E">
        <w:rPr>
          <w:rFonts w:cstheme="minorHAnsi"/>
        </w:rPr>
        <w:t>y.</w:t>
      </w:r>
      <w:r w:rsidR="00E45381" w:rsidRPr="00EC0E1E">
        <w:rPr>
          <w:rFonts w:cstheme="minorHAnsi"/>
        </w:rPr>
        <w:t xml:space="preserve"> </w:t>
      </w:r>
      <w:bookmarkEnd w:id="3"/>
    </w:p>
    <w:p w14:paraId="1F021827" w14:textId="77777777" w:rsidR="00B46A73" w:rsidRPr="00EC0E1E" w:rsidRDefault="00B46A73" w:rsidP="00EC0E1E">
      <w:pPr>
        <w:pStyle w:val="Odstavecseseznamem"/>
        <w:spacing w:after="200" w:line="276" w:lineRule="auto"/>
        <w:ind w:left="710"/>
        <w:contextualSpacing w:val="0"/>
        <w:jc w:val="both"/>
        <w:rPr>
          <w:rFonts w:cstheme="minorHAnsi"/>
          <w:highlight w:val="lightGray"/>
        </w:rPr>
      </w:pPr>
      <w:bookmarkStart w:id="4" w:name="_Hlk126659389"/>
      <w:r w:rsidRPr="00EC0E1E">
        <w:rPr>
          <w:rFonts w:cstheme="minorHAnsi"/>
        </w:rPr>
        <w:t xml:space="preserve">Klient podpisem této Smlouvy zprošťuje advokáty Advokátní kanceláře po dobu od uzavření této Smlouvy do doby úhrady pohledávek Advokátní kanceláře vůči Klientovi dle této Smlouvy, jejich povinnosti mlčenlivosti v rozsahu nezbytném pro případné vymáhání pohledávek </w:t>
      </w:r>
      <w:r w:rsidRPr="00EC0E1E">
        <w:rPr>
          <w:rFonts w:cstheme="minorHAnsi"/>
        </w:rPr>
        <w:lastRenderedPageBreak/>
        <w:t>Advokátní kanceláře vůči Klientovi, které vzniknou na základě této Smlouvy, a to i pro případ, že takové pohledávky budou postoupeny na třetí osobu a Advokátní kancelář bude tedy oprávněna sdělit takové třetí osobě informace nezbytné pro vymáhání postoupené pohledávky u příslušného soudu.</w:t>
      </w:r>
    </w:p>
    <w:bookmarkEnd w:id="4"/>
    <w:p w14:paraId="4ACACEA7" w14:textId="77777777" w:rsidR="0023228A" w:rsidRPr="00EC0E1E" w:rsidRDefault="0023228A" w:rsidP="00EC0E1E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709" w:hanging="709"/>
        <w:contextualSpacing w:val="0"/>
        <w:jc w:val="both"/>
        <w:textAlignment w:val="baseline"/>
        <w:rPr>
          <w:rStyle w:val="FontStyle28"/>
          <w:rFonts w:asciiTheme="minorHAnsi" w:hAnsiTheme="minorHAnsi" w:cstheme="minorHAnsi"/>
          <w:b/>
          <w:caps/>
          <w:sz w:val="22"/>
          <w:szCs w:val="22"/>
        </w:rPr>
      </w:pPr>
      <w:r w:rsidRPr="00EC0E1E">
        <w:rPr>
          <w:rStyle w:val="FontStyle28"/>
          <w:rFonts w:asciiTheme="minorHAnsi" w:hAnsiTheme="minorHAnsi" w:cstheme="minorHAnsi"/>
          <w:b/>
          <w:caps/>
          <w:sz w:val="22"/>
          <w:szCs w:val="22"/>
        </w:rPr>
        <w:t xml:space="preserve">Odměna </w:t>
      </w:r>
      <w:r w:rsidR="00B84331" w:rsidRPr="00EC0E1E">
        <w:rPr>
          <w:rStyle w:val="FontStyle28"/>
          <w:rFonts w:asciiTheme="minorHAnsi" w:hAnsiTheme="minorHAnsi" w:cstheme="minorHAnsi"/>
          <w:b/>
          <w:caps/>
          <w:sz w:val="22"/>
          <w:szCs w:val="22"/>
        </w:rPr>
        <w:t xml:space="preserve">advokátní kanceláře </w:t>
      </w:r>
      <w:r w:rsidRPr="00EC0E1E">
        <w:rPr>
          <w:rStyle w:val="FontStyle28"/>
          <w:rFonts w:asciiTheme="minorHAnsi" w:hAnsiTheme="minorHAnsi" w:cstheme="minorHAnsi"/>
          <w:b/>
          <w:caps/>
          <w:sz w:val="22"/>
          <w:szCs w:val="22"/>
        </w:rPr>
        <w:t>a náhrada nákladů</w:t>
      </w:r>
    </w:p>
    <w:p w14:paraId="1C8C9996" w14:textId="255C7314" w:rsidR="0003178F" w:rsidRPr="00EC0E1E" w:rsidRDefault="00B84331" w:rsidP="00C178E9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 w:rsidRPr="00EC0E1E">
        <w:rPr>
          <w:rFonts w:cstheme="minorHAnsi"/>
        </w:rPr>
        <w:t xml:space="preserve">Klient </w:t>
      </w:r>
      <w:r w:rsidR="00C178E9">
        <w:rPr>
          <w:rFonts w:cstheme="minorHAnsi"/>
        </w:rPr>
        <w:t>u</w:t>
      </w:r>
      <w:r w:rsidR="00481315" w:rsidRPr="00EC0E1E">
        <w:rPr>
          <w:rFonts w:cstheme="minorHAnsi"/>
        </w:rPr>
        <w:t xml:space="preserve">hradí </w:t>
      </w:r>
      <w:r w:rsidRPr="00EC0E1E">
        <w:rPr>
          <w:rFonts w:cstheme="minorHAnsi"/>
        </w:rPr>
        <w:t xml:space="preserve">Advokátní kanceláři </w:t>
      </w:r>
      <w:r w:rsidR="0023228A" w:rsidRPr="00EC0E1E">
        <w:rPr>
          <w:rFonts w:cstheme="minorHAnsi"/>
        </w:rPr>
        <w:t xml:space="preserve">za poskytnuté </w:t>
      </w:r>
      <w:r w:rsidR="00481315" w:rsidRPr="00EC0E1E">
        <w:rPr>
          <w:rFonts w:cstheme="minorHAnsi"/>
        </w:rPr>
        <w:t xml:space="preserve">Právní </w:t>
      </w:r>
      <w:r w:rsidR="0023228A" w:rsidRPr="00EC0E1E">
        <w:rPr>
          <w:rFonts w:cstheme="minorHAnsi"/>
        </w:rPr>
        <w:t xml:space="preserve">služby </w:t>
      </w:r>
      <w:r w:rsidR="00CF1795">
        <w:rPr>
          <w:rFonts w:cstheme="minorHAnsi"/>
        </w:rPr>
        <w:t xml:space="preserve">odměnu </w:t>
      </w:r>
      <w:r w:rsidR="00B70406">
        <w:rPr>
          <w:rFonts w:cstheme="minorHAnsi"/>
        </w:rPr>
        <w:t>ve výši 2.900,- Kč +</w:t>
      </w:r>
      <w:r w:rsidR="00CF1795">
        <w:rPr>
          <w:rFonts w:cstheme="minorHAnsi"/>
        </w:rPr>
        <w:t xml:space="preserve"> DPH</w:t>
      </w:r>
      <w:r w:rsidR="00B70406">
        <w:rPr>
          <w:rFonts w:cstheme="minorHAnsi"/>
        </w:rPr>
        <w:t xml:space="preserve"> s tím, že smluvní strany sjednávají limitaci maximální výše odměny částkou </w:t>
      </w:r>
      <w:proofErr w:type="gramStart"/>
      <w:r w:rsidR="00B70406">
        <w:rPr>
          <w:rFonts w:cstheme="minorHAnsi"/>
        </w:rPr>
        <w:t>250.000,-</w:t>
      </w:r>
      <w:proofErr w:type="gramEnd"/>
      <w:r w:rsidR="00B70406">
        <w:rPr>
          <w:rFonts w:cstheme="minorHAnsi"/>
        </w:rPr>
        <w:t xml:space="preserve"> Kč + DPH</w:t>
      </w:r>
      <w:r w:rsidR="00C178E9">
        <w:rPr>
          <w:rFonts w:cstheme="minorHAnsi"/>
        </w:rPr>
        <w:t>.</w:t>
      </w:r>
    </w:p>
    <w:p w14:paraId="08C9D4C3" w14:textId="4D853BF0" w:rsidR="000025DD" w:rsidRPr="001B5A41" w:rsidRDefault="000025DD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 w:rsidRPr="001B5A41">
        <w:rPr>
          <w:rFonts w:cstheme="minorHAnsi"/>
        </w:rPr>
        <w:t>Odměna Advokátní kanceláře nezahrnuje účelně vynaložené náklady Advokátní kanceláře, zejména</w:t>
      </w:r>
      <w:r w:rsidR="00C178E9" w:rsidRPr="001B5A41">
        <w:rPr>
          <w:rFonts w:cstheme="minorHAnsi"/>
        </w:rPr>
        <w:t xml:space="preserve"> </w:t>
      </w:r>
      <w:r w:rsidR="00B70406">
        <w:rPr>
          <w:rFonts w:cstheme="minorHAnsi"/>
        </w:rPr>
        <w:t xml:space="preserve">cestovné do sídla </w:t>
      </w:r>
      <w:r w:rsidR="00B80697">
        <w:rPr>
          <w:rFonts w:cstheme="minorHAnsi"/>
        </w:rPr>
        <w:t>Klienta</w:t>
      </w:r>
      <w:r w:rsidRPr="001B5A41">
        <w:rPr>
          <w:rFonts w:cstheme="minorHAnsi"/>
        </w:rPr>
        <w:t>. Takto Advokátní kanceláří vynaložené náklady proplatí Klient Advokátní kanceláři ve skutečně vynaložené výši</w:t>
      </w:r>
      <w:r w:rsidR="00C46271" w:rsidRPr="001B5A41">
        <w:rPr>
          <w:rFonts w:cstheme="minorHAnsi"/>
        </w:rPr>
        <w:t xml:space="preserve"> n</w:t>
      </w:r>
      <w:r w:rsidRPr="001B5A41">
        <w:rPr>
          <w:rFonts w:cstheme="minorHAnsi"/>
        </w:rPr>
        <w:t>a výzvu Advokátní kanceláře</w:t>
      </w:r>
      <w:r w:rsidR="00C46271" w:rsidRPr="001B5A41">
        <w:rPr>
          <w:rFonts w:cstheme="minorHAnsi"/>
        </w:rPr>
        <w:t>.</w:t>
      </w:r>
      <w:r w:rsidRPr="001B5A41">
        <w:rPr>
          <w:rFonts w:cstheme="minorHAnsi"/>
        </w:rPr>
        <w:t xml:space="preserve"> </w:t>
      </w:r>
    </w:p>
    <w:p w14:paraId="243BF364" w14:textId="77777777" w:rsidR="0023228A" w:rsidRPr="00EC0E1E" w:rsidRDefault="0023228A" w:rsidP="00EC0E1E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709" w:hanging="709"/>
        <w:contextualSpacing w:val="0"/>
        <w:jc w:val="both"/>
        <w:textAlignment w:val="baseline"/>
        <w:rPr>
          <w:rStyle w:val="FontStyle28"/>
          <w:rFonts w:asciiTheme="minorHAnsi" w:hAnsiTheme="minorHAnsi" w:cstheme="minorHAnsi"/>
          <w:b/>
          <w:caps/>
          <w:sz w:val="22"/>
          <w:szCs w:val="22"/>
        </w:rPr>
      </w:pPr>
      <w:r w:rsidRPr="00EC0E1E">
        <w:rPr>
          <w:rStyle w:val="FontStyle28"/>
          <w:rFonts w:asciiTheme="minorHAnsi" w:hAnsiTheme="minorHAnsi" w:cstheme="minorHAnsi"/>
          <w:b/>
          <w:caps/>
          <w:sz w:val="22"/>
          <w:szCs w:val="22"/>
        </w:rPr>
        <w:t>Platební podmínky</w:t>
      </w:r>
    </w:p>
    <w:p w14:paraId="2AF50F15" w14:textId="4F1F443A" w:rsidR="00A04F43" w:rsidRPr="00EC0E1E" w:rsidRDefault="0023228A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 w:rsidRPr="00EC0E1E">
        <w:rPr>
          <w:rFonts w:cstheme="minorHAnsi"/>
        </w:rPr>
        <w:t xml:space="preserve">Podkladem pro zaplacení poskytnuté právní služby je </w:t>
      </w:r>
      <w:r w:rsidR="000025DD" w:rsidRPr="00EC0E1E">
        <w:rPr>
          <w:rFonts w:cstheme="minorHAnsi"/>
        </w:rPr>
        <w:t xml:space="preserve">daňový doklad (faktura) vystavený </w:t>
      </w:r>
      <w:r w:rsidR="00957CF4" w:rsidRPr="00EC0E1E">
        <w:rPr>
          <w:rFonts w:cstheme="minorHAnsi"/>
        </w:rPr>
        <w:t>Advokátní kanceláří</w:t>
      </w:r>
      <w:r w:rsidRPr="00EC0E1E">
        <w:rPr>
          <w:rFonts w:cstheme="minorHAnsi"/>
        </w:rPr>
        <w:t xml:space="preserve">. </w:t>
      </w:r>
      <w:r w:rsidR="00A04F43" w:rsidRPr="00EC0E1E">
        <w:rPr>
          <w:rFonts w:cstheme="minorHAnsi"/>
        </w:rPr>
        <w:t xml:space="preserve">Daňový doklad musí obsahovat náležitosti daňového dokladu stanovené </w:t>
      </w:r>
      <w:r w:rsidR="000025DD" w:rsidRPr="00EC0E1E">
        <w:rPr>
          <w:rFonts w:cstheme="minorHAnsi"/>
        </w:rPr>
        <w:t>v </w:t>
      </w:r>
      <w:proofErr w:type="spellStart"/>
      <w:r w:rsidR="000025DD" w:rsidRPr="00EC0E1E">
        <w:rPr>
          <w:rFonts w:cstheme="minorHAnsi"/>
        </w:rPr>
        <w:t>ust</w:t>
      </w:r>
      <w:proofErr w:type="spellEnd"/>
      <w:r w:rsidR="000025DD" w:rsidRPr="00EC0E1E">
        <w:rPr>
          <w:rFonts w:cstheme="minorHAnsi"/>
        </w:rPr>
        <w:t xml:space="preserve">. </w:t>
      </w:r>
      <w:r w:rsidR="00A04F43" w:rsidRPr="00EC0E1E">
        <w:rPr>
          <w:rFonts w:cstheme="minorHAnsi"/>
        </w:rPr>
        <w:t xml:space="preserve">§ 29 zákona 235/2004 Sb., o dani z přidané hodnoty, ve znění pozdějších právních předpisů. </w:t>
      </w:r>
      <w:r w:rsidR="001B5A41">
        <w:rPr>
          <w:rFonts w:cstheme="minorHAnsi"/>
        </w:rPr>
        <w:t xml:space="preserve">Advokátní kancelář je oprávněna vystavit fakturu nejdříve </w:t>
      </w:r>
      <w:r w:rsidR="00B80697">
        <w:rPr>
          <w:rFonts w:cstheme="minorHAnsi"/>
        </w:rPr>
        <w:t xml:space="preserve">po podpisu předání stanoviska a jeho akceptaci Klientem. </w:t>
      </w:r>
    </w:p>
    <w:p w14:paraId="25306F31" w14:textId="77777777" w:rsidR="0023228A" w:rsidRPr="00EC0E1E" w:rsidRDefault="00A04F43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 w:rsidRPr="00EC0E1E">
        <w:rPr>
          <w:rFonts w:cstheme="minorHAnsi"/>
        </w:rPr>
        <w:t xml:space="preserve">Daňový doklad bude mít </w:t>
      </w:r>
      <w:r w:rsidR="0023228A" w:rsidRPr="00EC0E1E">
        <w:rPr>
          <w:rFonts w:cstheme="minorHAnsi"/>
        </w:rPr>
        <w:t xml:space="preserve">splatnost </w:t>
      </w:r>
      <w:r w:rsidRPr="00EC0E1E">
        <w:rPr>
          <w:rFonts w:cstheme="minorHAnsi"/>
        </w:rPr>
        <w:t xml:space="preserve">patnáct (15) </w:t>
      </w:r>
      <w:r w:rsidR="0023228A" w:rsidRPr="00EC0E1E">
        <w:rPr>
          <w:rFonts w:cstheme="minorHAnsi"/>
        </w:rPr>
        <w:t>kalendářních dnů od</w:t>
      </w:r>
      <w:r w:rsidR="000025DD" w:rsidRPr="00EC0E1E">
        <w:rPr>
          <w:rFonts w:cstheme="minorHAnsi"/>
        </w:rPr>
        <w:t xml:space="preserve">e dne </w:t>
      </w:r>
      <w:r w:rsidR="0023228A" w:rsidRPr="00EC0E1E">
        <w:rPr>
          <w:rFonts w:cstheme="minorHAnsi"/>
        </w:rPr>
        <w:t>doručení</w:t>
      </w:r>
      <w:r w:rsidRPr="00EC0E1E">
        <w:rPr>
          <w:rFonts w:cstheme="minorHAnsi"/>
        </w:rPr>
        <w:t xml:space="preserve"> daňového dokladu Klientovi</w:t>
      </w:r>
      <w:r w:rsidR="0023228A" w:rsidRPr="00EC0E1E">
        <w:rPr>
          <w:rFonts w:cstheme="minorHAnsi"/>
        </w:rPr>
        <w:t>.</w:t>
      </w:r>
    </w:p>
    <w:p w14:paraId="46B1FF89" w14:textId="10776DD8" w:rsidR="00EC0373" w:rsidRPr="00753E41" w:rsidRDefault="00EC0373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Klient</w:t>
      </w:r>
      <w:r w:rsidRPr="00EC0373">
        <w:rPr>
          <w:rFonts w:cstheme="minorHAnsi"/>
        </w:rPr>
        <w:t xml:space="preserve"> si vyhrazuje právo vrátit fakturu, která je chybná, nebo nemá veškeré náležitosti daňového dokladu. Vrácením faktury přestane běžet původní doba splatnosti. Po opravě faktury </w:t>
      </w:r>
      <w:r>
        <w:rPr>
          <w:rFonts w:cstheme="minorHAnsi"/>
        </w:rPr>
        <w:t>Advoká</w:t>
      </w:r>
      <w:r w:rsidR="008E6DC9">
        <w:rPr>
          <w:rFonts w:cstheme="minorHAnsi"/>
        </w:rPr>
        <w:t>tní kanceláří</w:t>
      </w:r>
      <w:r w:rsidRPr="00EC0373">
        <w:rPr>
          <w:rFonts w:cstheme="minorHAnsi"/>
        </w:rPr>
        <w:t xml:space="preserve"> </w:t>
      </w:r>
      <w:proofErr w:type="gramStart"/>
      <w:r w:rsidRPr="00EC0373">
        <w:rPr>
          <w:rFonts w:cstheme="minorHAnsi"/>
        </w:rPr>
        <w:t>běží</w:t>
      </w:r>
      <w:proofErr w:type="gramEnd"/>
      <w:r w:rsidRPr="00EC0373">
        <w:rPr>
          <w:rFonts w:cstheme="minorHAnsi"/>
        </w:rPr>
        <w:t xml:space="preserve"> nová lhůta splatnosti ode dne doručení opravené, nebo nově vyhotovené faktury.</w:t>
      </w:r>
    </w:p>
    <w:p w14:paraId="35EF426F" w14:textId="72BC8E74" w:rsidR="008203BD" w:rsidRPr="00EC0E1E" w:rsidRDefault="008203BD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 w:rsidRPr="00EC0E1E">
        <w:rPr>
          <w:rFonts w:eastAsia="Calibri" w:cstheme="minorHAnsi"/>
        </w:rPr>
        <w:t>V daňových dokladech bude k</w:t>
      </w:r>
      <w:r w:rsidR="008972C7" w:rsidRPr="00EC0E1E">
        <w:rPr>
          <w:rFonts w:eastAsia="Calibri" w:cstheme="minorHAnsi"/>
        </w:rPr>
        <w:t> </w:t>
      </w:r>
      <w:r w:rsidRPr="00EC0E1E">
        <w:rPr>
          <w:rFonts w:eastAsia="Calibri" w:cstheme="minorHAnsi"/>
        </w:rPr>
        <w:t>odměně</w:t>
      </w:r>
      <w:r w:rsidR="008972C7" w:rsidRPr="00EC0E1E">
        <w:rPr>
          <w:rFonts w:eastAsia="Calibri" w:cstheme="minorHAnsi"/>
        </w:rPr>
        <w:t xml:space="preserve">, </w:t>
      </w:r>
      <w:r w:rsidRPr="00EC0E1E">
        <w:rPr>
          <w:rFonts w:eastAsia="Calibri" w:cstheme="minorHAnsi"/>
        </w:rPr>
        <w:t>náhradám</w:t>
      </w:r>
      <w:r w:rsidR="008972C7" w:rsidRPr="00EC0E1E">
        <w:rPr>
          <w:rFonts w:eastAsia="Calibri" w:cstheme="minorHAnsi"/>
        </w:rPr>
        <w:t xml:space="preserve"> či zálohám</w:t>
      </w:r>
      <w:r w:rsidRPr="00EC0E1E">
        <w:rPr>
          <w:rFonts w:eastAsia="Calibri" w:cstheme="minorHAnsi"/>
        </w:rPr>
        <w:t xml:space="preserve"> dle této </w:t>
      </w:r>
      <w:r w:rsidR="0070717E">
        <w:rPr>
          <w:rFonts w:eastAsia="Calibri" w:cstheme="minorHAnsi"/>
        </w:rPr>
        <w:t>S</w:t>
      </w:r>
      <w:r w:rsidR="0070717E" w:rsidRPr="00EC0E1E">
        <w:rPr>
          <w:rFonts w:eastAsia="Calibri" w:cstheme="minorHAnsi"/>
        </w:rPr>
        <w:t xml:space="preserve">mlouvy </w:t>
      </w:r>
      <w:r w:rsidRPr="00EC0E1E">
        <w:rPr>
          <w:rFonts w:eastAsia="Calibri" w:cstheme="minorHAnsi"/>
        </w:rPr>
        <w:t xml:space="preserve">účtována daň z přidané hodnoty v </w:t>
      </w:r>
      <w:r w:rsidR="000025DD" w:rsidRPr="00EC0E1E">
        <w:rPr>
          <w:rFonts w:eastAsia="Calibri" w:cstheme="minorHAnsi"/>
        </w:rPr>
        <w:t>zákonem stanovené výši</w:t>
      </w:r>
      <w:r w:rsidRPr="00EC0E1E">
        <w:rPr>
          <w:rFonts w:eastAsia="Calibri" w:cstheme="minorHAnsi"/>
        </w:rPr>
        <w:t>.</w:t>
      </w:r>
    </w:p>
    <w:p w14:paraId="5EEF233C" w14:textId="77777777" w:rsidR="0023228A" w:rsidRPr="00EC0E1E" w:rsidRDefault="0023228A" w:rsidP="00EC0E1E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709" w:hanging="709"/>
        <w:contextualSpacing w:val="0"/>
        <w:jc w:val="both"/>
        <w:textAlignment w:val="baseline"/>
        <w:rPr>
          <w:rStyle w:val="FontStyle28"/>
          <w:rFonts w:asciiTheme="minorHAnsi" w:hAnsiTheme="minorHAnsi" w:cstheme="minorHAnsi"/>
          <w:b/>
          <w:caps/>
          <w:sz w:val="22"/>
          <w:szCs w:val="22"/>
        </w:rPr>
      </w:pPr>
      <w:r w:rsidRPr="00EC0E1E">
        <w:rPr>
          <w:rStyle w:val="FontStyle28"/>
          <w:rFonts w:asciiTheme="minorHAnsi" w:hAnsiTheme="minorHAnsi" w:cstheme="minorHAnsi"/>
          <w:b/>
          <w:caps/>
          <w:sz w:val="22"/>
          <w:szCs w:val="22"/>
        </w:rPr>
        <w:t>závěrečná</w:t>
      </w:r>
      <w:r w:rsidR="00FA40AA" w:rsidRPr="00EC0E1E">
        <w:rPr>
          <w:rStyle w:val="FontStyle28"/>
          <w:rFonts w:asciiTheme="minorHAnsi" w:hAnsiTheme="minorHAnsi" w:cstheme="minorHAnsi"/>
          <w:b/>
          <w:caps/>
          <w:sz w:val="22"/>
          <w:szCs w:val="22"/>
        </w:rPr>
        <w:t xml:space="preserve"> Ustanovení</w:t>
      </w:r>
    </w:p>
    <w:p w14:paraId="3A0C7384" w14:textId="77777777" w:rsidR="00BE5FFC" w:rsidRDefault="00BE5FFC" w:rsidP="00BE5FFC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bookmarkStart w:id="5" w:name="_Hlk124857260"/>
      <w:r w:rsidRPr="00BC044B">
        <w:rPr>
          <w:rFonts w:cstheme="minorHAnsi"/>
        </w:rPr>
        <w:t xml:space="preserve">Tato smlouva nabývá platnosti dnem podpisu oběma smluvními stranami a účinnosti dnem </w:t>
      </w:r>
      <w:r w:rsidRPr="00E71482">
        <w:rPr>
          <w:rFonts w:cstheme="minorHAnsi"/>
        </w:rPr>
        <w:t>zveřejnění</w:t>
      </w:r>
      <w:r w:rsidRPr="00BC044B">
        <w:rPr>
          <w:rFonts w:cstheme="minorHAnsi"/>
        </w:rPr>
        <w:t xml:space="preserve"> v registru smluv dle zákona č. 340/2015 Sb. Správci registru smluv zašle tuto smlouvu ke zveřejnění </w:t>
      </w:r>
      <w:r>
        <w:rPr>
          <w:rFonts w:cstheme="minorHAnsi"/>
        </w:rPr>
        <w:t>Klient</w:t>
      </w:r>
      <w:r w:rsidRPr="00BC044B">
        <w:rPr>
          <w:rFonts w:cstheme="minorHAnsi"/>
        </w:rPr>
        <w:t>.</w:t>
      </w:r>
    </w:p>
    <w:p w14:paraId="628F9845" w14:textId="77777777" w:rsidR="003459D5" w:rsidRDefault="0021631D" w:rsidP="00BE5FFC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 w:rsidRPr="0021631D">
        <w:rPr>
          <w:rFonts w:cstheme="minorHAnsi"/>
        </w:rPr>
        <w:t xml:space="preserve">Smluvní strany sjednávají, že postoupení pohledávky druhé smluvní strany vzniklé ze smlouvy bez předchozího písemného souhlasu </w:t>
      </w:r>
      <w:r>
        <w:rPr>
          <w:rFonts w:cstheme="minorHAnsi"/>
        </w:rPr>
        <w:t>Klienta</w:t>
      </w:r>
      <w:r w:rsidRPr="0021631D">
        <w:rPr>
          <w:rFonts w:cstheme="minorHAnsi"/>
        </w:rPr>
        <w:t xml:space="preserve">, je neplatné. </w:t>
      </w:r>
    </w:p>
    <w:p w14:paraId="1A1035BB" w14:textId="77777777" w:rsidR="003459D5" w:rsidRDefault="003459D5" w:rsidP="00BE5FFC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S</w:t>
      </w:r>
      <w:r w:rsidR="0021631D" w:rsidRPr="0021631D">
        <w:rPr>
          <w:rFonts w:cstheme="minorHAnsi"/>
        </w:rPr>
        <w:t xml:space="preserve">mluvní strany sjednávají smluvní pokutu za zastavení pohledávky druhé smluvní strany vzniklé z této smlouvy bez předchozího písemného souhlasu </w:t>
      </w:r>
      <w:r>
        <w:rPr>
          <w:rFonts w:cstheme="minorHAnsi"/>
        </w:rPr>
        <w:t>Klienta</w:t>
      </w:r>
      <w:r w:rsidR="0021631D" w:rsidRPr="0021631D">
        <w:rPr>
          <w:rFonts w:cstheme="minorHAnsi"/>
        </w:rPr>
        <w:t xml:space="preserve">, a to ve výši 10 % z nominální výše zastavené pohledávky. </w:t>
      </w:r>
    </w:p>
    <w:p w14:paraId="7E5F60EB" w14:textId="7491D7C9" w:rsidR="0021631D" w:rsidRDefault="0021631D" w:rsidP="00BE5FFC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 w:rsidRPr="0021631D">
        <w:rPr>
          <w:rFonts w:cstheme="minorHAnsi"/>
        </w:rPr>
        <w:t>Smluvní strany sjednávají, že započtení vzájemných pohledávek je platné výlučně na základě písemné dohody smluvních stran.</w:t>
      </w:r>
    </w:p>
    <w:p w14:paraId="1727A292" w14:textId="7009A3BC" w:rsidR="0023228A" w:rsidRDefault="008D2317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 w:rsidRPr="00EC0E1E">
        <w:rPr>
          <w:rFonts w:cstheme="minorHAnsi"/>
        </w:rPr>
        <w:lastRenderedPageBreak/>
        <w:t>Není-li v této Smlouv</w:t>
      </w:r>
      <w:r w:rsidR="00F83AD6">
        <w:rPr>
          <w:rFonts w:cstheme="minorHAnsi"/>
        </w:rPr>
        <w:t>ě</w:t>
      </w:r>
      <w:r w:rsidRPr="00EC0E1E">
        <w:rPr>
          <w:rFonts w:cstheme="minorHAnsi"/>
        </w:rPr>
        <w:t xml:space="preserve"> uvedeno jinak, tuto </w:t>
      </w:r>
      <w:r w:rsidR="004262C5" w:rsidRPr="00EC0E1E">
        <w:rPr>
          <w:rFonts w:cstheme="minorHAnsi"/>
        </w:rPr>
        <w:t>Smlouv</w:t>
      </w:r>
      <w:r w:rsidR="0023228A" w:rsidRPr="00EC0E1E">
        <w:rPr>
          <w:rFonts w:cstheme="minorHAnsi"/>
        </w:rPr>
        <w:t>u lze měnit</w:t>
      </w:r>
      <w:r w:rsidR="00F83A79" w:rsidRPr="00EC0E1E">
        <w:rPr>
          <w:rFonts w:cstheme="minorHAnsi"/>
        </w:rPr>
        <w:t xml:space="preserve">, </w:t>
      </w:r>
      <w:r w:rsidR="0023228A" w:rsidRPr="00EC0E1E">
        <w:rPr>
          <w:rFonts w:cstheme="minorHAnsi"/>
        </w:rPr>
        <w:t xml:space="preserve">doplňovat </w:t>
      </w:r>
      <w:r w:rsidR="00F83A79" w:rsidRPr="00EC0E1E">
        <w:rPr>
          <w:rFonts w:cstheme="minorHAnsi"/>
        </w:rPr>
        <w:t xml:space="preserve">nebo ukončit </w:t>
      </w:r>
      <w:r w:rsidR="0023228A" w:rsidRPr="00EC0E1E">
        <w:rPr>
          <w:rFonts w:cstheme="minorHAnsi"/>
        </w:rPr>
        <w:t xml:space="preserve">pouze </w:t>
      </w:r>
      <w:r w:rsidR="00FA40AA" w:rsidRPr="00EC0E1E">
        <w:rPr>
          <w:rFonts w:cstheme="minorHAnsi"/>
        </w:rPr>
        <w:t>písemným</w:t>
      </w:r>
      <w:r w:rsidR="00F83A79" w:rsidRPr="00EC0E1E">
        <w:rPr>
          <w:rFonts w:cstheme="minorHAnsi"/>
        </w:rPr>
        <w:t xml:space="preserve"> způsobem.</w:t>
      </w:r>
    </w:p>
    <w:p w14:paraId="58E1D9E6" w14:textId="6EFB698C" w:rsidR="00B80697" w:rsidRPr="00EC0E1E" w:rsidRDefault="00B80697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Nedílnou součástí této Smlouvy je příloha č. 1 – Výzva k podání nabídky</w:t>
      </w:r>
    </w:p>
    <w:p w14:paraId="6694727C" w14:textId="77777777" w:rsidR="00C4613A" w:rsidRPr="00EC0E1E" w:rsidRDefault="000A22AD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bookmarkStart w:id="6" w:name="_Hlk126658708"/>
      <w:r w:rsidRPr="00EC0E1E">
        <w:rPr>
          <w:rFonts w:eastAsia="Calibri" w:cstheme="minorHAnsi"/>
        </w:rPr>
        <w:t xml:space="preserve">Tato Smlouva a její výklad </w:t>
      </w:r>
      <w:r w:rsidR="00C4613A" w:rsidRPr="00EC0E1E">
        <w:rPr>
          <w:rFonts w:eastAsia="Calibri" w:cstheme="minorHAnsi"/>
        </w:rPr>
        <w:t xml:space="preserve">se řídí </w:t>
      </w:r>
      <w:r w:rsidRPr="00EC0E1E">
        <w:rPr>
          <w:rFonts w:eastAsia="Calibri" w:cstheme="minorHAnsi"/>
        </w:rPr>
        <w:t xml:space="preserve">právem </w:t>
      </w:r>
      <w:r w:rsidR="00C4613A" w:rsidRPr="00EC0E1E">
        <w:rPr>
          <w:rFonts w:eastAsia="Calibri" w:cstheme="minorHAnsi"/>
        </w:rPr>
        <w:t>České republiky</w:t>
      </w:r>
      <w:r w:rsidR="007603E5" w:rsidRPr="00EC0E1E">
        <w:rPr>
          <w:rFonts w:eastAsia="Calibri" w:cstheme="minorHAnsi"/>
        </w:rPr>
        <w:t xml:space="preserve">, zejména </w:t>
      </w:r>
      <w:r w:rsidR="003702B8" w:rsidRPr="00EC0E1E">
        <w:rPr>
          <w:rFonts w:eastAsia="Calibri" w:cstheme="minorHAnsi"/>
        </w:rPr>
        <w:t xml:space="preserve">ustanoveními </w:t>
      </w:r>
      <w:r w:rsidR="007603E5" w:rsidRPr="00EC0E1E">
        <w:rPr>
          <w:rFonts w:eastAsia="Calibri" w:cstheme="minorHAnsi"/>
        </w:rPr>
        <w:t>Z</w:t>
      </w:r>
      <w:r w:rsidR="003702B8" w:rsidRPr="00EC0E1E">
        <w:rPr>
          <w:rFonts w:eastAsia="Calibri" w:cstheme="minorHAnsi"/>
        </w:rPr>
        <w:t>ákona o advokacii a zákon</w:t>
      </w:r>
      <w:r w:rsidR="007603E5" w:rsidRPr="00EC0E1E">
        <w:rPr>
          <w:rFonts w:eastAsia="Calibri" w:cstheme="minorHAnsi"/>
        </w:rPr>
        <w:t>a</w:t>
      </w:r>
      <w:r w:rsidR="003702B8" w:rsidRPr="00EC0E1E">
        <w:rPr>
          <w:rFonts w:eastAsia="Calibri" w:cstheme="minorHAnsi"/>
        </w:rPr>
        <w:t xml:space="preserve"> č. 89/2012 Sb., občanský zákoník, </w:t>
      </w:r>
      <w:r w:rsidR="007603E5" w:rsidRPr="00EC0E1E">
        <w:rPr>
          <w:rFonts w:eastAsia="Calibri" w:cstheme="minorHAnsi"/>
        </w:rPr>
        <w:t xml:space="preserve">ve znění pozdějších právních předpisů, </w:t>
      </w:r>
      <w:r w:rsidR="003702B8" w:rsidRPr="00EC0E1E">
        <w:rPr>
          <w:rFonts w:eastAsia="Calibri" w:cstheme="minorHAnsi"/>
        </w:rPr>
        <w:t>konkrétně smlouvou příkazní dle § 2430 a násl. občanského zákoníku.</w:t>
      </w:r>
      <w:bookmarkEnd w:id="6"/>
    </w:p>
    <w:p w14:paraId="69C63B05" w14:textId="77777777" w:rsidR="006667D3" w:rsidRPr="00F83AD6" w:rsidRDefault="006667D3" w:rsidP="00F83AD6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 w:rsidRPr="00F83AD6">
        <w:rPr>
          <w:rFonts w:cstheme="minorHAnsi"/>
        </w:rPr>
        <w:t>Všechny spory vznikající z této Smlouvy a v souvislosti s ní budou rozhodovány příslušnými soudy České republiky.</w:t>
      </w:r>
    </w:p>
    <w:p w14:paraId="74D30F3F" w14:textId="1C16CC28" w:rsidR="000A22AD" w:rsidRDefault="000A22AD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 w:rsidRPr="00EC0E1E">
        <w:rPr>
          <w:rFonts w:cstheme="minorHAnsi"/>
        </w:rPr>
        <w:t xml:space="preserve">Tato </w:t>
      </w:r>
      <w:r w:rsidR="004262C5" w:rsidRPr="00EC0E1E">
        <w:rPr>
          <w:rFonts w:cstheme="minorHAnsi"/>
        </w:rPr>
        <w:t>Smlouv</w:t>
      </w:r>
      <w:r w:rsidR="0023228A" w:rsidRPr="00EC0E1E">
        <w:rPr>
          <w:rFonts w:cstheme="minorHAnsi"/>
        </w:rPr>
        <w:t xml:space="preserve">a je vyhotovena ve dvou </w:t>
      </w:r>
      <w:r w:rsidR="00F83A79" w:rsidRPr="00EC0E1E">
        <w:rPr>
          <w:rFonts w:cstheme="minorHAnsi"/>
        </w:rPr>
        <w:t xml:space="preserve">(2) </w:t>
      </w:r>
      <w:r w:rsidR="0023228A" w:rsidRPr="00EC0E1E">
        <w:rPr>
          <w:rFonts w:cstheme="minorHAnsi"/>
        </w:rPr>
        <w:t xml:space="preserve">stejnopisech, z nichž každý má platnost originálu. </w:t>
      </w:r>
      <w:r w:rsidR="00C4613A" w:rsidRPr="00EC0E1E">
        <w:rPr>
          <w:rFonts w:cstheme="minorHAnsi"/>
        </w:rPr>
        <w:t xml:space="preserve">Každá ze Smluvních stran </w:t>
      </w:r>
      <w:proofErr w:type="gramStart"/>
      <w:r w:rsidR="0023228A" w:rsidRPr="00EC0E1E">
        <w:rPr>
          <w:rFonts w:cstheme="minorHAnsi"/>
        </w:rPr>
        <w:t>obdrží</w:t>
      </w:r>
      <w:proofErr w:type="gramEnd"/>
      <w:r w:rsidR="0023228A" w:rsidRPr="00EC0E1E">
        <w:rPr>
          <w:rFonts w:cstheme="minorHAnsi"/>
        </w:rPr>
        <w:t xml:space="preserve"> po jednom </w:t>
      </w:r>
      <w:r w:rsidR="00F83A79" w:rsidRPr="00EC0E1E">
        <w:rPr>
          <w:rFonts w:cstheme="minorHAnsi"/>
        </w:rPr>
        <w:t xml:space="preserve">(1) </w:t>
      </w:r>
      <w:r w:rsidR="0023228A" w:rsidRPr="00EC0E1E">
        <w:rPr>
          <w:rFonts w:cstheme="minorHAnsi"/>
        </w:rPr>
        <w:t>vyhotovení.</w:t>
      </w:r>
      <w:r w:rsidR="00AA4388" w:rsidRPr="00EC0E1E">
        <w:rPr>
          <w:rFonts w:cstheme="minorHAnsi"/>
        </w:rPr>
        <w:t xml:space="preserve"> </w:t>
      </w:r>
    </w:p>
    <w:p w14:paraId="090F1FB6" w14:textId="78EDEF63" w:rsidR="0028215F" w:rsidRDefault="0028215F" w:rsidP="00EC0E1E">
      <w:pPr>
        <w:pStyle w:val="Odstavecseseznamem"/>
        <w:numPr>
          <w:ilvl w:val="1"/>
          <w:numId w:val="3"/>
        </w:numPr>
        <w:spacing w:after="20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Klient</w:t>
      </w:r>
      <w:r w:rsidRPr="0028215F">
        <w:rPr>
          <w:rFonts w:cstheme="minorHAnsi"/>
        </w:rPr>
        <w:t xml:space="preserve"> pro účely efektivní komunikace s</w:t>
      </w:r>
      <w:r>
        <w:rPr>
          <w:rFonts w:cstheme="minorHAnsi"/>
        </w:rPr>
        <w:t xml:space="preserve"> Advokátní kanceláří </w:t>
      </w:r>
      <w:r w:rsidRPr="0028215F">
        <w:rPr>
          <w:rFonts w:cstheme="minorHAnsi"/>
        </w:rPr>
        <w:t xml:space="preserve">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 w:rsidR="00EB7C10">
        <w:rPr>
          <w:rFonts w:cstheme="minorHAnsi"/>
        </w:rPr>
        <w:t>Advokátní kancelář</w:t>
      </w:r>
      <w:r w:rsidRPr="0028215F">
        <w:rPr>
          <w:rFonts w:cstheme="minorHAnsi"/>
        </w:rPr>
        <w:t xml:space="preserve"> se zavazuje tyto subjekty údajů o zpracování informovat a předat jim informace v Zásadách zpracování osobních údajů pro dodavatele a další osoby dostupných na internetové adrese </w:t>
      </w:r>
      <w:r w:rsidR="00C95DD5" w:rsidRPr="0028215F">
        <w:rPr>
          <w:rFonts w:cstheme="minorHAnsi"/>
        </w:rPr>
        <w:t>https://www.rbp213.cz/cs/ochrana-osobnich-udaju-gdpr/a-125/.</w:t>
      </w:r>
    </w:p>
    <w:p w14:paraId="31A2E755" w14:textId="77777777" w:rsidR="00F83AD6" w:rsidRPr="00EC0E1E" w:rsidRDefault="00F83AD6" w:rsidP="00F83AD6">
      <w:pPr>
        <w:pStyle w:val="Odstavecseseznamem"/>
        <w:spacing w:after="200" w:line="276" w:lineRule="auto"/>
        <w:ind w:left="710"/>
        <w:contextualSpacing w:val="0"/>
        <w:jc w:val="both"/>
        <w:rPr>
          <w:rFonts w:cstheme="minorHAnsi"/>
        </w:rPr>
      </w:pPr>
    </w:p>
    <w:p w14:paraId="5735957D" w14:textId="58BDA70D" w:rsidR="00F83AD6" w:rsidRDefault="00A206E9" w:rsidP="00EC0E1E">
      <w:pPr>
        <w:spacing w:after="200" w:line="276" w:lineRule="auto"/>
        <w:jc w:val="both"/>
        <w:rPr>
          <w:rFonts w:eastAsia="Calibri" w:cstheme="minorHAnsi"/>
          <w:b/>
          <w:bCs/>
          <w:caps/>
        </w:rPr>
      </w:pPr>
      <w:r w:rsidRPr="00EC0E1E">
        <w:rPr>
          <w:rFonts w:eastAsia="Calibri" w:cstheme="minorHAnsi"/>
          <w:b/>
          <w:bCs/>
          <w:caps/>
        </w:rPr>
        <w:t>Smluvní strany prohlašují, že tuto smlouvu uzavírají poté, kdy si ji přečetly, porozuměly jejímu obsahu, měly prostor vyjádřit se k obsahu smlouvy a na důkaz toho připojují své podpisy</w:t>
      </w:r>
      <w:r w:rsidR="00C4613A" w:rsidRPr="00EC0E1E">
        <w:rPr>
          <w:rFonts w:eastAsia="Calibri" w:cstheme="minorHAnsi"/>
          <w:b/>
          <w:bCs/>
          <w:caps/>
        </w:rPr>
        <w:t>:</w:t>
      </w:r>
    </w:p>
    <w:p w14:paraId="7EBE7B3B" w14:textId="77777777" w:rsidR="00F83AD6" w:rsidRPr="00EC0E1E" w:rsidRDefault="00F83AD6" w:rsidP="00EC0E1E">
      <w:pPr>
        <w:spacing w:after="200" w:line="276" w:lineRule="auto"/>
        <w:jc w:val="both"/>
        <w:rPr>
          <w:rFonts w:eastAsia="Calibri" w:cstheme="minorHAnsi"/>
          <w:b/>
          <w:bCs/>
          <w:cap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5BC0" w:rsidRPr="00EC0E1E" w14:paraId="35F0D41C" w14:textId="77777777" w:rsidTr="00AC7924">
        <w:tc>
          <w:tcPr>
            <w:tcW w:w="4531" w:type="dxa"/>
          </w:tcPr>
          <w:p w14:paraId="0276C750" w14:textId="0A277423" w:rsidR="00C4613A" w:rsidRPr="00EC0E1E" w:rsidRDefault="00C4613A" w:rsidP="00EC0E1E">
            <w:pPr>
              <w:tabs>
                <w:tab w:val="left" w:pos="3315"/>
              </w:tabs>
              <w:spacing w:line="276" w:lineRule="auto"/>
              <w:jc w:val="center"/>
              <w:rPr>
                <w:rFonts w:eastAsia="Calibri" w:cstheme="minorHAnsi"/>
              </w:rPr>
            </w:pPr>
            <w:r w:rsidRPr="00EC0E1E">
              <w:rPr>
                <w:rFonts w:eastAsia="Calibri" w:cstheme="minorHAnsi"/>
              </w:rPr>
              <w:t xml:space="preserve">V </w:t>
            </w:r>
            <w:r w:rsidR="001B5A41">
              <w:rPr>
                <w:rFonts w:eastAsia="Calibri" w:cstheme="minorHAnsi"/>
              </w:rPr>
              <w:t>Praze</w:t>
            </w:r>
            <w:r w:rsidRPr="00EC0E1E">
              <w:rPr>
                <w:rFonts w:eastAsia="Calibri" w:cstheme="minorHAnsi"/>
              </w:rPr>
              <w:t xml:space="preserve"> dne </w:t>
            </w:r>
            <w:r w:rsidR="00B80697">
              <w:rPr>
                <w:rFonts w:eastAsia="Calibri" w:cstheme="minorHAnsi"/>
              </w:rPr>
              <w:t>(…)</w:t>
            </w:r>
            <w:r w:rsidR="001B5A41">
              <w:rPr>
                <w:rFonts w:eastAsia="Calibri" w:cstheme="minorHAnsi"/>
              </w:rPr>
              <w:t xml:space="preserve"> 2023</w:t>
            </w:r>
          </w:p>
        </w:tc>
        <w:tc>
          <w:tcPr>
            <w:tcW w:w="4531" w:type="dxa"/>
          </w:tcPr>
          <w:p w14:paraId="21C8F878" w14:textId="019AFFA4" w:rsidR="00C4613A" w:rsidRPr="00EC0E1E" w:rsidRDefault="00C4613A" w:rsidP="00EC0E1E">
            <w:pPr>
              <w:tabs>
                <w:tab w:val="left" w:pos="3315"/>
              </w:tabs>
              <w:spacing w:line="276" w:lineRule="auto"/>
              <w:jc w:val="center"/>
              <w:rPr>
                <w:rFonts w:eastAsia="Calibri" w:cstheme="minorHAnsi"/>
              </w:rPr>
            </w:pPr>
            <w:r w:rsidRPr="00EC0E1E">
              <w:rPr>
                <w:rFonts w:eastAsia="Calibri" w:cstheme="minorHAnsi"/>
              </w:rPr>
              <w:t xml:space="preserve">V </w:t>
            </w:r>
            <w:r w:rsidR="001B5A41">
              <w:rPr>
                <w:rFonts w:eastAsia="Calibri" w:cstheme="minorHAnsi"/>
              </w:rPr>
              <w:t xml:space="preserve">Praze dne </w:t>
            </w:r>
            <w:r w:rsidR="00B80697">
              <w:rPr>
                <w:rFonts w:eastAsia="Calibri" w:cstheme="minorHAnsi"/>
              </w:rPr>
              <w:t>(…)</w:t>
            </w:r>
            <w:r w:rsidR="001B5A41">
              <w:rPr>
                <w:rFonts w:eastAsia="Calibri" w:cstheme="minorHAnsi"/>
              </w:rPr>
              <w:t xml:space="preserve"> 2023</w:t>
            </w:r>
          </w:p>
        </w:tc>
      </w:tr>
      <w:tr w:rsidR="00AC7924" w:rsidRPr="00EC0E1E" w14:paraId="06071CA4" w14:textId="77777777" w:rsidTr="00AC7924">
        <w:tc>
          <w:tcPr>
            <w:tcW w:w="4531" w:type="dxa"/>
          </w:tcPr>
          <w:p w14:paraId="73060FB5" w14:textId="77777777" w:rsidR="00C4613A" w:rsidRPr="00EC0E1E" w:rsidRDefault="00C4613A" w:rsidP="00EC0E1E">
            <w:pPr>
              <w:tabs>
                <w:tab w:val="left" w:pos="3315"/>
              </w:tabs>
              <w:spacing w:line="276" w:lineRule="auto"/>
              <w:jc w:val="center"/>
              <w:rPr>
                <w:rFonts w:eastAsia="Calibri" w:cstheme="minorHAnsi"/>
              </w:rPr>
            </w:pPr>
          </w:p>
          <w:p w14:paraId="4A959547" w14:textId="77777777" w:rsidR="00C4613A" w:rsidRPr="00EC0E1E" w:rsidRDefault="00C4613A" w:rsidP="00EC0E1E">
            <w:pPr>
              <w:tabs>
                <w:tab w:val="left" w:pos="3315"/>
              </w:tabs>
              <w:spacing w:line="276" w:lineRule="auto"/>
              <w:jc w:val="center"/>
              <w:rPr>
                <w:rFonts w:eastAsia="Calibri" w:cstheme="minorHAnsi"/>
              </w:rPr>
            </w:pPr>
          </w:p>
          <w:p w14:paraId="678CAED0" w14:textId="77777777" w:rsidR="00C4613A" w:rsidRPr="00EC0E1E" w:rsidRDefault="00C4613A" w:rsidP="00EC0E1E">
            <w:pPr>
              <w:tabs>
                <w:tab w:val="left" w:pos="3315"/>
              </w:tabs>
              <w:spacing w:line="276" w:lineRule="auto"/>
              <w:jc w:val="center"/>
              <w:rPr>
                <w:rFonts w:eastAsia="Calibri" w:cstheme="minorHAnsi"/>
              </w:rPr>
            </w:pPr>
            <w:r w:rsidRPr="00EC0E1E">
              <w:rPr>
                <w:rFonts w:eastAsia="Calibri" w:cstheme="minorHAnsi"/>
              </w:rPr>
              <w:t>___________________________________</w:t>
            </w:r>
          </w:p>
          <w:p w14:paraId="1B1B6297" w14:textId="77777777" w:rsidR="00C4613A" w:rsidRPr="00EC0E1E" w:rsidRDefault="00C4613A" w:rsidP="00EC0E1E">
            <w:pPr>
              <w:tabs>
                <w:tab w:val="left" w:pos="3315"/>
              </w:tabs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EC0E1E">
              <w:rPr>
                <w:rFonts w:cstheme="minorHAnsi"/>
                <w:b/>
                <w:bCs/>
              </w:rPr>
              <w:t>Sokol, Novák, Trojan, Doleček a partneři, advokátní kancelář s.r.o.</w:t>
            </w:r>
          </w:p>
          <w:p w14:paraId="04A20C75" w14:textId="36DFD1B0" w:rsidR="00C4613A" w:rsidRPr="00EC0E1E" w:rsidRDefault="00650D19" w:rsidP="00EC0E1E">
            <w:pPr>
              <w:tabs>
                <w:tab w:val="left" w:pos="3315"/>
              </w:tabs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 w:rsidR="00A41946" w:rsidRPr="00E837B3">
              <w:rPr>
                <w:rFonts w:cstheme="minorHAnsi"/>
                <w:highlight w:val="black"/>
              </w:rPr>
              <w:t>xxxxxxxxx</w:t>
            </w:r>
            <w:proofErr w:type="spellEnd"/>
          </w:p>
        </w:tc>
        <w:tc>
          <w:tcPr>
            <w:tcW w:w="4531" w:type="dxa"/>
          </w:tcPr>
          <w:p w14:paraId="57C49090" w14:textId="77777777" w:rsidR="00C4613A" w:rsidRPr="00EC0E1E" w:rsidRDefault="00C4613A" w:rsidP="00EC0E1E">
            <w:pPr>
              <w:tabs>
                <w:tab w:val="left" w:pos="3315"/>
              </w:tabs>
              <w:spacing w:line="276" w:lineRule="auto"/>
              <w:jc w:val="center"/>
              <w:rPr>
                <w:rFonts w:eastAsia="Calibri" w:cstheme="minorHAnsi"/>
              </w:rPr>
            </w:pPr>
          </w:p>
          <w:p w14:paraId="2AEAB6A9" w14:textId="77777777" w:rsidR="00C4613A" w:rsidRPr="00EC0E1E" w:rsidRDefault="00C4613A" w:rsidP="00EC0E1E">
            <w:pPr>
              <w:tabs>
                <w:tab w:val="left" w:pos="3315"/>
              </w:tabs>
              <w:spacing w:line="276" w:lineRule="auto"/>
              <w:jc w:val="center"/>
              <w:rPr>
                <w:rFonts w:eastAsia="Calibri" w:cstheme="minorHAnsi"/>
              </w:rPr>
            </w:pPr>
          </w:p>
          <w:p w14:paraId="096E3CC7" w14:textId="77777777" w:rsidR="00C4613A" w:rsidRPr="00EC0E1E" w:rsidRDefault="00C4613A" w:rsidP="00EC0E1E">
            <w:pPr>
              <w:tabs>
                <w:tab w:val="left" w:pos="3315"/>
              </w:tabs>
              <w:spacing w:line="276" w:lineRule="auto"/>
              <w:jc w:val="center"/>
              <w:rPr>
                <w:rFonts w:eastAsia="Calibri" w:cstheme="minorHAnsi"/>
              </w:rPr>
            </w:pPr>
            <w:r w:rsidRPr="00EC0E1E">
              <w:rPr>
                <w:rFonts w:eastAsia="Calibri" w:cstheme="minorHAnsi"/>
              </w:rPr>
              <w:t>___________________________________</w:t>
            </w:r>
          </w:p>
          <w:p w14:paraId="3F317FD3" w14:textId="7C1218EC" w:rsidR="00B80697" w:rsidRPr="00761208" w:rsidRDefault="00B80697" w:rsidP="00B80697">
            <w:pPr>
              <w:tabs>
                <w:tab w:val="left" w:pos="3315"/>
              </w:tabs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  <w:bCs/>
              </w:rPr>
              <w:t xml:space="preserve">RBP, zdravotní pojišťovna </w:t>
            </w:r>
          </w:p>
          <w:p w14:paraId="0489EA3A" w14:textId="77777777" w:rsidR="00761208" w:rsidRDefault="008E6DC9" w:rsidP="00761208">
            <w:pPr>
              <w:tabs>
                <w:tab w:val="left" w:pos="3315"/>
              </w:tabs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Ing. Antonín Klimša, MBA</w:t>
            </w:r>
          </w:p>
          <w:p w14:paraId="55A71616" w14:textId="0011C323" w:rsidR="008E6DC9" w:rsidRPr="00761208" w:rsidRDefault="008E6DC9" w:rsidP="00761208">
            <w:pPr>
              <w:tabs>
                <w:tab w:val="left" w:pos="3315"/>
              </w:tabs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výkonný ředitel</w:t>
            </w:r>
          </w:p>
        </w:tc>
      </w:tr>
      <w:bookmarkEnd w:id="5"/>
    </w:tbl>
    <w:p w14:paraId="59E28077" w14:textId="77777777" w:rsidR="00A206E9" w:rsidRPr="00EC0E1E" w:rsidRDefault="00A206E9" w:rsidP="00EC0E1E">
      <w:pPr>
        <w:spacing w:after="200" w:line="276" w:lineRule="auto"/>
        <w:ind w:left="426"/>
        <w:jc w:val="both"/>
        <w:rPr>
          <w:rFonts w:cstheme="minorHAnsi"/>
        </w:rPr>
      </w:pPr>
    </w:p>
    <w:sectPr w:rsidR="00A206E9" w:rsidRPr="00EC0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A980" w14:textId="77777777" w:rsidR="0091612B" w:rsidRDefault="0091612B" w:rsidP="00D25379">
      <w:pPr>
        <w:spacing w:after="0" w:line="240" w:lineRule="auto"/>
      </w:pPr>
      <w:r>
        <w:separator/>
      </w:r>
    </w:p>
  </w:endnote>
  <w:endnote w:type="continuationSeparator" w:id="0">
    <w:p w14:paraId="2820FDFF" w14:textId="77777777" w:rsidR="0091612B" w:rsidRDefault="0091612B" w:rsidP="00D25379">
      <w:pPr>
        <w:spacing w:after="0" w:line="240" w:lineRule="auto"/>
      </w:pPr>
      <w:r>
        <w:continuationSeparator/>
      </w:r>
    </w:p>
  </w:endnote>
  <w:endnote w:type="continuationNotice" w:id="1">
    <w:p w14:paraId="2C3DC2B9" w14:textId="77777777" w:rsidR="0091612B" w:rsidRDefault="009161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1E84" w14:textId="77777777" w:rsidR="00840832" w:rsidRDefault="008408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83B1" w14:textId="77777777" w:rsidR="00287B74" w:rsidRDefault="00287B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1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2"/>
      <w:gridCol w:w="2727"/>
      <w:gridCol w:w="2178"/>
    </w:tblGrid>
    <w:tr w:rsidR="00840832" w14:paraId="75A5830D" w14:textId="77777777" w:rsidTr="00840832">
      <w:tc>
        <w:tcPr>
          <w:tcW w:w="4252" w:type="dxa"/>
          <w:vAlign w:val="center"/>
          <w:hideMark/>
        </w:tcPr>
        <w:p w14:paraId="48160710" w14:textId="77777777" w:rsidR="00840832" w:rsidRDefault="00840832" w:rsidP="00840832">
          <w:pPr>
            <w:autoSpaceDE w:val="0"/>
            <w:autoSpaceDN w:val="0"/>
            <w:adjustRightInd w:val="0"/>
            <w:rPr>
              <w:rFonts w:cstheme="minorHAnsi"/>
              <w:b/>
              <w:bCs/>
              <w:sz w:val="12"/>
              <w:szCs w:val="12"/>
            </w:rPr>
          </w:pPr>
          <w:r>
            <w:rPr>
              <w:rFonts w:cstheme="minorHAnsi"/>
              <w:b/>
              <w:bCs/>
              <w:sz w:val="12"/>
              <w:szCs w:val="12"/>
            </w:rPr>
            <w:t>Sokol, Novák, Trojan, Doleček a partneři, advokátní kancelář s.r.o.</w:t>
          </w:r>
        </w:p>
        <w:p w14:paraId="1019CA0E" w14:textId="77777777" w:rsidR="00840832" w:rsidRDefault="00840832" w:rsidP="00840832">
          <w:pPr>
            <w:autoSpaceDE w:val="0"/>
            <w:autoSpaceDN w:val="0"/>
            <w:adjustRightInd w:val="0"/>
            <w:rPr>
              <w:rFonts w:cstheme="minorHAnsi"/>
              <w:b/>
              <w:bCs/>
              <w:sz w:val="12"/>
              <w:szCs w:val="12"/>
            </w:rPr>
          </w:pPr>
          <w:r>
            <w:rPr>
              <w:rFonts w:cstheme="minorHAnsi"/>
              <w:b/>
              <w:bCs/>
              <w:sz w:val="12"/>
              <w:szCs w:val="12"/>
            </w:rPr>
            <w:t xml:space="preserve">PRAHA </w:t>
          </w:r>
        </w:p>
        <w:p w14:paraId="48693B60" w14:textId="77777777" w:rsidR="00840832" w:rsidRDefault="00840832" w:rsidP="00840832">
          <w:pPr>
            <w:autoSpaceDE w:val="0"/>
            <w:autoSpaceDN w:val="0"/>
            <w:adjustRightInd w:val="0"/>
            <w:rPr>
              <w:rFonts w:cstheme="minorHAnsi"/>
              <w:sz w:val="12"/>
              <w:szCs w:val="12"/>
            </w:rPr>
          </w:pPr>
          <w:r>
            <w:rPr>
              <w:rFonts w:cstheme="minorHAnsi"/>
              <w:sz w:val="12"/>
              <w:szCs w:val="12"/>
            </w:rPr>
            <w:t>Sokolská 1788/60, PSČ: 120 00, T (+420) 224 941 946</w:t>
          </w:r>
        </w:p>
        <w:p w14:paraId="0817A5E0" w14:textId="77777777" w:rsidR="00840832" w:rsidRDefault="00840832" w:rsidP="00840832">
          <w:pPr>
            <w:autoSpaceDE w:val="0"/>
            <w:autoSpaceDN w:val="0"/>
            <w:adjustRightInd w:val="0"/>
            <w:rPr>
              <w:rFonts w:cstheme="minorHAnsi"/>
              <w:sz w:val="12"/>
              <w:szCs w:val="12"/>
            </w:rPr>
          </w:pPr>
          <w:r>
            <w:rPr>
              <w:rFonts w:cstheme="minorHAnsi"/>
              <w:sz w:val="12"/>
              <w:szCs w:val="12"/>
            </w:rPr>
            <w:t>Na strži 2102/</w:t>
          </w:r>
          <w:proofErr w:type="gramStart"/>
          <w:r>
            <w:rPr>
              <w:rFonts w:cstheme="minorHAnsi"/>
              <w:sz w:val="12"/>
              <w:szCs w:val="12"/>
            </w:rPr>
            <w:t>61a</w:t>
          </w:r>
          <w:proofErr w:type="gramEnd"/>
          <w:r>
            <w:rPr>
              <w:rFonts w:cstheme="minorHAnsi"/>
              <w:sz w:val="12"/>
              <w:szCs w:val="12"/>
            </w:rPr>
            <w:t>, PSČ: 140 00, T (+420) 270 005 533</w:t>
          </w:r>
        </w:p>
        <w:p w14:paraId="0E43273E" w14:textId="77777777" w:rsidR="00840832" w:rsidRDefault="00840832" w:rsidP="00840832">
          <w:pPr>
            <w:autoSpaceDE w:val="0"/>
            <w:autoSpaceDN w:val="0"/>
            <w:adjustRightInd w:val="0"/>
            <w:rPr>
              <w:rFonts w:cstheme="minorHAnsi"/>
              <w:sz w:val="12"/>
              <w:szCs w:val="12"/>
            </w:rPr>
          </w:pPr>
          <w:r>
            <w:rPr>
              <w:rFonts w:cstheme="minorHAnsi"/>
              <w:b/>
              <w:bCs/>
              <w:sz w:val="12"/>
              <w:szCs w:val="12"/>
            </w:rPr>
            <w:t>PŘEROV</w:t>
          </w:r>
          <w:r>
            <w:rPr>
              <w:rFonts w:cstheme="minorHAnsi"/>
              <w:sz w:val="12"/>
              <w:szCs w:val="12"/>
            </w:rPr>
            <w:br/>
            <w:t>náměstí T.G.M. 11, PSČ: 750 02, T (+420) 581 705 841</w:t>
          </w:r>
        </w:p>
        <w:p w14:paraId="41453716" w14:textId="77777777" w:rsidR="00840832" w:rsidRDefault="00840832" w:rsidP="00840832">
          <w:pPr>
            <w:pStyle w:val="Zpat"/>
            <w:rPr>
              <w:rFonts w:ascii="Arial" w:hAnsi="Arial" w:cs="Arial"/>
              <w:sz w:val="12"/>
              <w:szCs w:val="12"/>
            </w:rPr>
          </w:pPr>
          <w:r>
            <w:rPr>
              <w:rFonts w:cstheme="minorHAnsi"/>
              <w:b/>
              <w:bCs/>
              <w:sz w:val="12"/>
              <w:szCs w:val="12"/>
            </w:rPr>
            <w:t>BRATISLAVA</w:t>
          </w:r>
          <w:r>
            <w:rPr>
              <w:rFonts w:cstheme="minorHAnsi"/>
              <w:b/>
              <w:bCs/>
              <w:sz w:val="12"/>
              <w:szCs w:val="12"/>
              <w:u w:val="single"/>
            </w:rPr>
            <w:t xml:space="preserve"> </w:t>
          </w:r>
          <w:r>
            <w:rPr>
              <w:rFonts w:cstheme="minorHAnsi"/>
              <w:sz w:val="12"/>
              <w:szCs w:val="12"/>
            </w:rPr>
            <w:br/>
          </w:r>
          <w:proofErr w:type="spellStart"/>
          <w:r>
            <w:rPr>
              <w:rFonts w:cstheme="minorHAnsi"/>
              <w:sz w:val="12"/>
              <w:szCs w:val="12"/>
            </w:rPr>
            <w:t>Kominárska</w:t>
          </w:r>
          <w:proofErr w:type="spellEnd"/>
          <w:r>
            <w:rPr>
              <w:rFonts w:cstheme="minorHAnsi"/>
              <w:sz w:val="12"/>
              <w:szCs w:val="12"/>
            </w:rPr>
            <w:t xml:space="preserve"> 2, 4, PSČ: 831 04</w:t>
          </w:r>
        </w:p>
      </w:tc>
      <w:tc>
        <w:tcPr>
          <w:tcW w:w="2727" w:type="dxa"/>
          <w:vAlign w:val="bottom"/>
        </w:tcPr>
        <w:p w14:paraId="175F1E5D" w14:textId="77777777" w:rsidR="00840832" w:rsidRDefault="00A41946" w:rsidP="00840832">
          <w:pPr>
            <w:pStyle w:val="Zpat"/>
            <w:ind w:left="566"/>
            <w:rPr>
              <w:rFonts w:cstheme="minorHAnsi"/>
              <w:sz w:val="12"/>
              <w:szCs w:val="12"/>
              <w:u w:val="single"/>
            </w:rPr>
          </w:pPr>
          <w:hyperlink r:id="rId1" w:history="1">
            <w:r w:rsidR="00840832">
              <w:rPr>
                <w:rStyle w:val="Hypertextovodkaz"/>
                <w:rFonts w:cstheme="minorHAnsi"/>
                <w:sz w:val="12"/>
                <w:szCs w:val="12"/>
              </w:rPr>
              <w:t>www.sntd.eu</w:t>
            </w:r>
          </w:hyperlink>
          <w:r w:rsidR="00840832">
            <w:rPr>
              <w:rFonts w:cstheme="minorHAnsi"/>
              <w:sz w:val="12"/>
              <w:szCs w:val="12"/>
            </w:rPr>
            <w:t xml:space="preserve"> | </w:t>
          </w:r>
          <w:hyperlink r:id="rId2" w:history="1">
            <w:r w:rsidR="00840832">
              <w:rPr>
                <w:rStyle w:val="Hypertextovodkaz"/>
                <w:rFonts w:cstheme="minorHAnsi"/>
                <w:sz w:val="12"/>
                <w:szCs w:val="12"/>
              </w:rPr>
              <w:t>www.sntd.cz</w:t>
            </w:r>
          </w:hyperlink>
        </w:p>
        <w:p w14:paraId="371C8152" w14:textId="77777777" w:rsidR="00840832" w:rsidRDefault="00840832" w:rsidP="00840832">
          <w:pPr>
            <w:autoSpaceDE w:val="0"/>
            <w:autoSpaceDN w:val="0"/>
            <w:adjustRightInd w:val="0"/>
            <w:ind w:left="565"/>
            <w:rPr>
              <w:rFonts w:cstheme="minorHAnsi"/>
              <w:sz w:val="12"/>
              <w:szCs w:val="12"/>
            </w:rPr>
          </w:pPr>
        </w:p>
        <w:p w14:paraId="5B99EEB8" w14:textId="77777777" w:rsidR="00840832" w:rsidRDefault="00840832" w:rsidP="00840832">
          <w:pPr>
            <w:autoSpaceDE w:val="0"/>
            <w:autoSpaceDN w:val="0"/>
            <w:adjustRightInd w:val="0"/>
            <w:ind w:left="565"/>
            <w:rPr>
              <w:rFonts w:cstheme="minorHAnsi"/>
              <w:sz w:val="12"/>
              <w:szCs w:val="12"/>
            </w:rPr>
          </w:pPr>
        </w:p>
        <w:p w14:paraId="3B67F112" w14:textId="77777777" w:rsidR="00840832" w:rsidRDefault="00840832" w:rsidP="00840832">
          <w:pPr>
            <w:autoSpaceDE w:val="0"/>
            <w:autoSpaceDN w:val="0"/>
            <w:adjustRightInd w:val="0"/>
            <w:ind w:left="565"/>
            <w:rPr>
              <w:rFonts w:cstheme="minorHAnsi"/>
              <w:sz w:val="12"/>
              <w:szCs w:val="12"/>
            </w:rPr>
          </w:pPr>
        </w:p>
        <w:p w14:paraId="1D980C6B" w14:textId="77777777" w:rsidR="00840832" w:rsidRDefault="00840832" w:rsidP="00840832">
          <w:pPr>
            <w:autoSpaceDE w:val="0"/>
            <w:autoSpaceDN w:val="0"/>
            <w:adjustRightInd w:val="0"/>
            <w:ind w:left="565"/>
            <w:rPr>
              <w:rFonts w:cstheme="minorHAnsi"/>
              <w:sz w:val="12"/>
              <w:szCs w:val="12"/>
            </w:rPr>
          </w:pPr>
          <w:r>
            <w:rPr>
              <w:rFonts w:cstheme="minorHAnsi"/>
              <w:sz w:val="12"/>
              <w:szCs w:val="12"/>
            </w:rPr>
            <w:t>IDDS: g4m8ftx, IČO: 241 96 509</w:t>
          </w:r>
        </w:p>
        <w:p w14:paraId="6D212648" w14:textId="77777777" w:rsidR="00840832" w:rsidRDefault="00840832" w:rsidP="00840832">
          <w:pPr>
            <w:autoSpaceDE w:val="0"/>
            <w:autoSpaceDN w:val="0"/>
            <w:adjustRightInd w:val="0"/>
            <w:ind w:left="565"/>
            <w:rPr>
              <w:rFonts w:cstheme="minorHAnsi"/>
              <w:sz w:val="12"/>
              <w:szCs w:val="12"/>
            </w:rPr>
          </w:pPr>
          <w:r>
            <w:rPr>
              <w:rFonts w:cstheme="minorHAnsi"/>
              <w:sz w:val="12"/>
              <w:szCs w:val="12"/>
            </w:rPr>
            <w:t>Společnost zapsaná v obchodním rejstříku vedeném u MS v Praze</w:t>
          </w:r>
        </w:p>
        <w:p w14:paraId="2BC687F3" w14:textId="77777777" w:rsidR="00840832" w:rsidRDefault="00840832" w:rsidP="00840832">
          <w:pPr>
            <w:pStyle w:val="Zpat"/>
            <w:ind w:left="565"/>
            <w:rPr>
              <w:rFonts w:ascii="Arial" w:hAnsi="Arial" w:cs="Arial"/>
              <w:sz w:val="12"/>
              <w:szCs w:val="12"/>
            </w:rPr>
          </w:pPr>
          <w:r>
            <w:rPr>
              <w:rFonts w:cstheme="minorHAnsi"/>
              <w:sz w:val="12"/>
              <w:szCs w:val="12"/>
            </w:rPr>
            <w:t xml:space="preserve">pod </w:t>
          </w:r>
          <w:proofErr w:type="spellStart"/>
          <w:r>
            <w:rPr>
              <w:rFonts w:cstheme="minorHAnsi"/>
              <w:sz w:val="12"/>
              <w:szCs w:val="12"/>
            </w:rPr>
            <w:t>sp</w:t>
          </w:r>
          <w:proofErr w:type="spellEnd"/>
          <w:r>
            <w:rPr>
              <w:rFonts w:cstheme="minorHAnsi"/>
              <w:sz w:val="12"/>
              <w:szCs w:val="12"/>
            </w:rPr>
            <w:t>. zn.: C187692</w:t>
          </w:r>
        </w:p>
      </w:tc>
      <w:tc>
        <w:tcPr>
          <w:tcW w:w="2178" w:type="dxa"/>
          <w:vAlign w:val="bottom"/>
          <w:hideMark/>
        </w:tcPr>
        <w:p w14:paraId="7A5A4F6A" w14:textId="77777777" w:rsidR="00840832" w:rsidRDefault="00840832" w:rsidP="00840832">
          <w:pPr>
            <w:pStyle w:val="Zpat"/>
            <w:jc w:val="right"/>
            <w:rPr>
              <w:rFonts w:cs="Arial"/>
              <w:sz w:val="12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EFBD1AC" wp14:editId="5DA790EB">
                <wp:simplePos x="0" y="0"/>
                <wp:positionH relativeFrom="column">
                  <wp:posOffset>739775</wp:posOffset>
                </wp:positionH>
                <wp:positionV relativeFrom="paragraph">
                  <wp:posOffset>-447675</wp:posOffset>
                </wp:positionV>
                <wp:extent cx="593725" cy="542290"/>
                <wp:effectExtent l="0" t="0" r="0" b="0"/>
                <wp:wrapNone/>
                <wp:docPr id="25" name="Grafický objekt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afický objekt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725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06F749F" wp14:editId="4ED9A4CB">
                <wp:simplePos x="0" y="0"/>
                <wp:positionH relativeFrom="column">
                  <wp:posOffset>86995</wp:posOffset>
                </wp:positionH>
                <wp:positionV relativeFrom="paragraph">
                  <wp:posOffset>-442595</wp:posOffset>
                </wp:positionV>
                <wp:extent cx="572770" cy="539750"/>
                <wp:effectExtent l="0" t="0" r="0" b="0"/>
                <wp:wrapNone/>
                <wp:docPr id="26" name="Grafický objekt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cký objekt 12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7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9A17924" w14:textId="77777777" w:rsidR="00840832" w:rsidRDefault="008408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3D99" w14:textId="77777777" w:rsidR="0091612B" w:rsidRDefault="0091612B" w:rsidP="00D25379">
      <w:pPr>
        <w:spacing w:after="0" w:line="240" w:lineRule="auto"/>
      </w:pPr>
      <w:r>
        <w:separator/>
      </w:r>
    </w:p>
  </w:footnote>
  <w:footnote w:type="continuationSeparator" w:id="0">
    <w:p w14:paraId="5054BE07" w14:textId="77777777" w:rsidR="0091612B" w:rsidRDefault="0091612B" w:rsidP="00D25379">
      <w:pPr>
        <w:spacing w:after="0" w:line="240" w:lineRule="auto"/>
      </w:pPr>
      <w:r>
        <w:continuationSeparator/>
      </w:r>
    </w:p>
  </w:footnote>
  <w:footnote w:type="continuationNotice" w:id="1">
    <w:p w14:paraId="6338277D" w14:textId="77777777" w:rsidR="0091612B" w:rsidRDefault="009161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9005" w14:textId="77777777" w:rsidR="00840832" w:rsidRDefault="008408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0207" w14:textId="77777777" w:rsidR="00287B74" w:rsidRPr="00840832" w:rsidRDefault="00287B74" w:rsidP="0084083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8"/>
    </w:tblGrid>
    <w:tr w:rsidR="00840832" w14:paraId="11A843CC" w14:textId="77777777" w:rsidTr="00840832">
      <w:tc>
        <w:tcPr>
          <w:tcW w:w="4568" w:type="dxa"/>
        </w:tcPr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82"/>
            <w:gridCol w:w="1929"/>
            <w:gridCol w:w="357"/>
          </w:tblGrid>
          <w:tr w:rsidR="00840832" w14:paraId="1AC64872" w14:textId="77777777">
            <w:tc>
              <w:tcPr>
                <w:tcW w:w="4776" w:type="dxa"/>
              </w:tcPr>
              <w:p w14:paraId="55AE9054" w14:textId="77777777" w:rsidR="00840832" w:rsidRDefault="00840832" w:rsidP="00840832">
                <w:pPr>
                  <w:ind w:right="23"/>
                  <w:rPr>
                    <w:rFonts w:cstheme="minorHAnsi"/>
                  </w:rPr>
                </w:pPr>
              </w:p>
            </w:tc>
            <w:tc>
              <w:tcPr>
                <w:tcW w:w="4035" w:type="dxa"/>
              </w:tcPr>
              <w:p w14:paraId="24E3B8F1" w14:textId="77777777" w:rsidR="00840832" w:rsidRDefault="00840832" w:rsidP="0084083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742" w:type="dxa"/>
              </w:tcPr>
              <w:p w14:paraId="4F3AB889" w14:textId="77777777" w:rsidR="00840832" w:rsidRDefault="00840832" w:rsidP="00840832">
                <w:pPr>
                  <w:pStyle w:val="Zpat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43D60DBD" w14:textId="77777777" w:rsidR="00840832" w:rsidRDefault="00840832" w:rsidP="00840832">
          <w:pPr>
            <w:pStyle w:val="Zhlav"/>
            <w:rPr>
              <w:rFonts w:cstheme="minorHAnsi"/>
            </w:rPr>
          </w:pPr>
        </w:p>
        <w:p w14:paraId="05D9DAB7" w14:textId="77777777" w:rsidR="00840832" w:rsidRDefault="00840832" w:rsidP="00840832">
          <w:pPr>
            <w:ind w:right="23"/>
            <w:rPr>
              <w:rFonts w:cstheme="minorHAnsi"/>
            </w:rPr>
          </w:pPr>
        </w:p>
      </w:tc>
    </w:tr>
  </w:tbl>
  <w:p w14:paraId="7F3DAE1D" w14:textId="77777777" w:rsidR="00840832" w:rsidRDefault="00840832">
    <w:pPr>
      <w:pStyle w:val="Zhlav"/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6FED51D9" wp14:editId="7E69E179">
          <wp:simplePos x="0" y="0"/>
          <wp:positionH relativeFrom="column">
            <wp:posOffset>-243205</wp:posOffset>
          </wp:positionH>
          <wp:positionV relativeFrom="paragraph">
            <wp:posOffset>-695325</wp:posOffset>
          </wp:positionV>
          <wp:extent cx="2316480" cy="410210"/>
          <wp:effectExtent l="0" t="0" r="7620" b="8890"/>
          <wp:wrapNone/>
          <wp:docPr id="24" name="Grafický objek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454C"/>
    <w:multiLevelType w:val="hybridMultilevel"/>
    <w:tmpl w:val="D12E79C6"/>
    <w:lvl w:ilvl="0" w:tplc="EBFCB31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3B54105"/>
    <w:multiLevelType w:val="hybridMultilevel"/>
    <w:tmpl w:val="E490FC7A"/>
    <w:lvl w:ilvl="0" w:tplc="B9568E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6B8C"/>
    <w:multiLevelType w:val="multilevel"/>
    <w:tmpl w:val="35485B56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3" w15:restartNumberingAfterBreak="0">
    <w:nsid w:val="75894F93"/>
    <w:multiLevelType w:val="hybridMultilevel"/>
    <w:tmpl w:val="9DBE104E"/>
    <w:lvl w:ilvl="0" w:tplc="4E52F2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923800">
    <w:abstractNumId w:val="3"/>
  </w:num>
  <w:num w:numId="2" w16cid:durableId="636683206">
    <w:abstractNumId w:val="1"/>
  </w:num>
  <w:num w:numId="3" w16cid:durableId="1834178500">
    <w:abstractNumId w:val="2"/>
  </w:num>
  <w:num w:numId="4" w16cid:durableId="163540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8A"/>
    <w:rsid w:val="000025DD"/>
    <w:rsid w:val="00023037"/>
    <w:rsid w:val="000230C8"/>
    <w:rsid w:val="00026CFA"/>
    <w:rsid w:val="0003162C"/>
    <w:rsid w:val="0003178F"/>
    <w:rsid w:val="0003513C"/>
    <w:rsid w:val="00037D43"/>
    <w:rsid w:val="00043D95"/>
    <w:rsid w:val="000477AD"/>
    <w:rsid w:val="000532A5"/>
    <w:rsid w:val="00065E46"/>
    <w:rsid w:val="0008309C"/>
    <w:rsid w:val="00085586"/>
    <w:rsid w:val="00095F89"/>
    <w:rsid w:val="000A22AD"/>
    <w:rsid w:val="000B12FF"/>
    <w:rsid w:val="000B1365"/>
    <w:rsid w:val="000C3A8E"/>
    <w:rsid w:val="000F0293"/>
    <w:rsid w:val="000F16E4"/>
    <w:rsid w:val="00104D3B"/>
    <w:rsid w:val="00116E54"/>
    <w:rsid w:val="0012155D"/>
    <w:rsid w:val="00125FF9"/>
    <w:rsid w:val="001723DB"/>
    <w:rsid w:val="00174607"/>
    <w:rsid w:val="00181AAA"/>
    <w:rsid w:val="00185A0D"/>
    <w:rsid w:val="00192201"/>
    <w:rsid w:val="001A0443"/>
    <w:rsid w:val="001B5A41"/>
    <w:rsid w:val="001C0BFB"/>
    <w:rsid w:val="001C769D"/>
    <w:rsid w:val="001D3AF7"/>
    <w:rsid w:val="001D422C"/>
    <w:rsid w:val="001D5324"/>
    <w:rsid w:val="001D65F2"/>
    <w:rsid w:val="001E694F"/>
    <w:rsid w:val="001F1A88"/>
    <w:rsid w:val="00210269"/>
    <w:rsid w:val="00211AC6"/>
    <w:rsid w:val="00215176"/>
    <w:rsid w:val="0021631D"/>
    <w:rsid w:val="002214EB"/>
    <w:rsid w:val="0023228A"/>
    <w:rsid w:val="00235DF4"/>
    <w:rsid w:val="00262DA2"/>
    <w:rsid w:val="00272D40"/>
    <w:rsid w:val="0028215F"/>
    <w:rsid w:val="00286E5E"/>
    <w:rsid w:val="00287B74"/>
    <w:rsid w:val="002914A4"/>
    <w:rsid w:val="002923EF"/>
    <w:rsid w:val="002928E0"/>
    <w:rsid w:val="002A5EF7"/>
    <w:rsid w:val="002B5C72"/>
    <w:rsid w:val="002C3817"/>
    <w:rsid w:val="002D097D"/>
    <w:rsid w:val="002D4B5B"/>
    <w:rsid w:val="002F1202"/>
    <w:rsid w:val="00302B51"/>
    <w:rsid w:val="003034CE"/>
    <w:rsid w:val="00305B24"/>
    <w:rsid w:val="00315A54"/>
    <w:rsid w:val="00321C35"/>
    <w:rsid w:val="003459D5"/>
    <w:rsid w:val="00351B6E"/>
    <w:rsid w:val="003702B8"/>
    <w:rsid w:val="00377F91"/>
    <w:rsid w:val="003A4B89"/>
    <w:rsid w:val="003B69BB"/>
    <w:rsid w:val="003B72EB"/>
    <w:rsid w:val="003C2E57"/>
    <w:rsid w:val="003C5C1F"/>
    <w:rsid w:val="003D7036"/>
    <w:rsid w:val="003D70B3"/>
    <w:rsid w:val="003E29D7"/>
    <w:rsid w:val="003E2D91"/>
    <w:rsid w:val="003F0CBF"/>
    <w:rsid w:val="003F305C"/>
    <w:rsid w:val="00407278"/>
    <w:rsid w:val="00407D4A"/>
    <w:rsid w:val="004214D8"/>
    <w:rsid w:val="004262C5"/>
    <w:rsid w:val="004406EB"/>
    <w:rsid w:val="00442B19"/>
    <w:rsid w:val="00481315"/>
    <w:rsid w:val="0049127E"/>
    <w:rsid w:val="004A1D72"/>
    <w:rsid w:val="004C3081"/>
    <w:rsid w:val="00512822"/>
    <w:rsid w:val="005638E0"/>
    <w:rsid w:val="00567BE4"/>
    <w:rsid w:val="005851C4"/>
    <w:rsid w:val="00586D1E"/>
    <w:rsid w:val="00590AF0"/>
    <w:rsid w:val="005A4A51"/>
    <w:rsid w:val="005B5FAE"/>
    <w:rsid w:val="005C66BC"/>
    <w:rsid w:val="005D7499"/>
    <w:rsid w:val="00604B40"/>
    <w:rsid w:val="006176EE"/>
    <w:rsid w:val="006236BE"/>
    <w:rsid w:val="00625685"/>
    <w:rsid w:val="0063413F"/>
    <w:rsid w:val="00634D3C"/>
    <w:rsid w:val="00637437"/>
    <w:rsid w:val="00650D19"/>
    <w:rsid w:val="006667D3"/>
    <w:rsid w:val="00667DCA"/>
    <w:rsid w:val="006712BA"/>
    <w:rsid w:val="00694870"/>
    <w:rsid w:val="006A4DD7"/>
    <w:rsid w:val="006B076B"/>
    <w:rsid w:val="006C10A5"/>
    <w:rsid w:val="006D67D3"/>
    <w:rsid w:val="006F252A"/>
    <w:rsid w:val="0070208B"/>
    <w:rsid w:val="0070717E"/>
    <w:rsid w:val="00717474"/>
    <w:rsid w:val="00725BC0"/>
    <w:rsid w:val="007310C7"/>
    <w:rsid w:val="00753E41"/>
    <w:rsid w:val="007543E3"/>
    <w:rsid w:val="007603E5"/>
    <w:rsid w:val="00761208"/>
    <w:rsid w:val="007B3AD9"/>
    <w:rsid w:val="007C7AC0"/>
    <w:rsid w:val="007E17AA"/>
    <w:rsid w:val="00810A52"/>
    <w:rsid w:val="00815CE3"/>
    <w:rsid w:val="008203BD"/>
    <w:rsid w:val="00821C67"/>
    <w:rsid w:val="008225BF"/>
    <w:rsid w:val="008265F0"/>
    <w:rsid w:val="00840832"/>
    <w:rsid w:val="008469AB"/>
    <w:rsid w:val="008501A8"/>
    <w:rsid w:val="00852A43"/>
    <w:rsid w:val="00856E59"/>
    <w:rsid w:val="0086431B"/>
    <w:rsid w:val="00877C76"/>
    <w:rsid w:val="00883684"/>
    <w:rsid w:val="008972C7"/>
    <w:rsid w:val="008A0AF9"/>
    <w:rsid w:val="008B06F6"/>
    <w:rsid w:val="008B2554"/>
    <w:rsid w:val="008B3E8E"/>
    <w:rsid w:val="008D0E4E"/>
    <w:rsid w:val="008D2317"/>
    <w:rsid w:val="008D3C4B"/>
    <w:rsid w:val="008D58C6"/>
    <w:rsid w:val="008E6DC9"/>
    <w:rsid w:val="00900E22"/>
    <w:rsid w:val="00913525"/>
    <w:rsid w:val="0091612B"/>
    <w:rsid w:val="0093204B"/>
    <w:rsid w:val="00945380"/>
    <w:rsid w:val="009470F9"/>
    <w:rsid w:val="00957CF4"/>
    <w:rsid w:val="00961279"/>
    <w:rsid w:val="0097230A"/>
    <w:rsid w:val="00996AC8"/>
    <w:rsid w:val="009C26B7"/>
    <w:rsid w:val="009C275B"/>
    <w:rsid w:val="009E2717"/>
    <w:rsid w:val="00A04F43"/>
    <w:rsid w:val="00A1461F"/>
    <w:rsid w:val="00A14A5C"/>
    <w:rsid w:val="00A206E9"/>
    <w:rsid w:val="00A2767A"/>
    <w:rsid w:val="00A41946"/>
    <w:rsid w:val="00A469E4"/>
    <w:rsid w:val="00A573A8"/>
    <w:rsid w:val="00A633AE"/>
    <w:rsid w:val="00A6732E"/>
    <w:rsid w:val="00A67C91"/>
    <w:rsid w:val="00A7440E"/>
    <w:rsid w:val="00A7794F"/>
    <w:rsid w:val="00A8725F"/>
    <w:rsid w:val="00A92F4E"/>
    <w:rsid w:val="00AA1E4C"/>
    <w:rsid w:val="00AA4388"/>
    <w:rsid w:val="00AB3AF9"/>
    <w:rsid w:val="00AC2EF5"/>
    <w:rsid w:val="00AC46FC"/>
    <w:rsid w:val="00AC6068"/>
    <w:rsid w:val="00AC7924"/>
    <w:rsid w:val="00AD6F51"/>
    <w:rsid w:val="00AE1209"/>
    <w:rsid w:val="00AE6AFE"/>
    <w:rsid w:val="00B159B2"/>
    <w:rsid w:val="00B46A73"/>
    <w:rsid w:val="00B70406"/>
    <w:rsid w:val="00B73C03"/>
    <w:rsid w:val="00B7679A"/>
    <w:rsid w:val="00B80697"/>
    <w:rsid w:val="00B84331"/>
    <w:rsid w:val="00BA62D3"/>
    <w:rsid w:val="00BA6D31"/>
    <w:rsid w:val="00BB7FD4"/>
    <w:rsid w:val="00BC044B"/>
    <w:rsid w:val="00BC3BA8"/>
    <w:rsid w:val="00BE5FFC"/>
    <w:rsid w:val="00BE63A1"/>
    <w:rsid w:val="00BF0A53"/>
    <w:rsid w:val="00BF1C12"/>
    <w:rsid w:val="00C00EFA"/>
    <w:rsid w:val="00C123D5"/>
    <w:rsid w:val="00C1308D"/>
    <w:rsid w:val="00C178E9"/>
    <w:rsid w:val="00C43287"/>
    <w:rsid w:val="00C43970"/>
    <w:rsid w:val="00C45025"/>
    <w:rsid w:val="00C4613A"/>
    <w:rsid w:val="00C46271"/>
    <w:rsid w:val="00C61AE8"/>
    <w:rsid w:val="00C663CF"/>
    <w:rsid w:val="00C813F0"/>
    <w:rsid w:val="00C82DDC"/>
    <w:rsid w:val="00C86579"/>
    <w:rsid w:val="00C91809"/>
    <w:rsid w:val="00C95DD5"/>
    <w:rsid w:val="00C96BCD"/>
    <w:rsid w:val="00C96D1D"/>
    <w:rsid w:val="00C97FD6"/>
    <w:rsid w:val="00CD33AA"/>
    <w:rsid w:val="00CD5A27"/>
    <w:rsid w:val="00CE4386"/>
    <w:rsid w:val="00CE7B89"/>
    <w:rsid w:val="00CF1795"/>
    <w:rsid w:val="00D01C8D"/>
    <w:rsid w:val="00D024FD"/>
    <w:rsid w:val="00D069E0"/>
    <w:rsid w:val="00D22282"/>
    <w:rsid w:val="00D25379"/>
    <w:rsid w:val="00D32720"/>
    <w:rsid w:val="00D35362"/>
    <w:rsid w:val="00D63122"/>
    <w:rsid w:val="00D64AFC"/>
    <w:rsid w:val="00D6758A"/>
    <w:rsid w:val="00D816CB"/>
    <w:rsid w:val="00D84B59"/>
    <w:rsid w:val="00DA4DC3"/>
    <w:rsid w:val="00DA60EB"/>
    <w:rsid w:val="00DB0D0B"/>
    <w:rsid w:val="00DF21F0"/>
    <w:rsid w:val="00E07105"/>
    <w:rsid w:val="00E14BC4"/>
    <w:rsid w:val="00E15BC4"/>
    <w:rsid w:val="00E16B09"/>
    <w:rsid w:val="00E41D2A"/>
    <w:rsid w:val="00E41E06"/>
    <w:rsid w:val="00E45381"/>
    <w:rsid w:val="00E56A8F"/>
    <w:rsid w:val="00E67712"/>
    <w:rsid w:val="00E71456"/>
    <w:rsid w:val="00E71482"/>
    <w:rsid w:val="00E837B3"/>
    <w:rsid w:val="00E84739"/>
    <w:rsid w:val="00E942C1"/>
    <w:rsid w:val="00E96B6B"/>
    <w:rsid w:val="00EB7C10"/>
    <w:rsid w:val="00EC0373"/>
    <w:rsid w:val="00EC0E1E"/>
    <w:rsid w:val="00EC5A65"/>
    <w:rsid w:val="00F0620C"/>
    <w:rsid w:val="00F07C41"/>
    <w:rsid w:val="00F15F67"/>
    <w:rsid w:val="00F17172"/>
    <w:rsid w:val="00F24046"/>
    <w:rsid w:val="00F27066"/>
    <w:rsid w:val="00F31ABA"/>
    <w:rsid w:val="00F3563C"/>
    <w:rsid w:val="00F54CC9"/>
    <w:rsid w:val="00F83A79"/>
    <w:rsid w:val="00F83AD6"/>
    <w:rsid w:val="00F86B6D"/>
    <w:rsid w:val="00F922D2"/>
    <w:rsid w:val="00FA40AA"/>
    <w:rsid w:val="00FA6E3A"/>
    <w:rsid w:val="00FC1187"/>
    <w:rsid w:val="00FC6A4D"/>
    <w:rsid w:val="00FD08BA"/>
    <w:rsid w:val="00FD113A"/>
    <w:rsid w:val="00FD2614"/>
    <w:rsid w:val="00FE4986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B960A"/>
  <w15:docId w15:val="{02D46F10-13EC-43FD-9957-28B1C6DA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23228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16CB"/>
    <w:pPr>
      <w:ind w:left="720"/>
      <w:contextualSpacing/>
    </w:pPr>
  </w:style>
  <w:style w:type="character" w:customStyle="1" w:styleId="FontStyle28">
    <w:name w:val="Font Style28"/>
    <w:uiPriority w:val="99"/>
    <w:rsid w:val="00D816CB"/>
    <w:rPr>
      <w:rFonts w:ascii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25379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53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25379"/>
    <w:rPr>
      <w:rFonts w:cs="Times New Roman"/>
      <w:vertAlign w:val="superscript"/>
    </w:rPr>
  </w:style>
  <w:style w:type="character" w:styleId="Hypertextovodkaz">
    <w:name w:val="Hyperlink"/>
    <w:uiPriority w:val="99"/>
    <w:rsid w:val="00A206E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rsid w:val="00C4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7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7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92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8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B74"/>
  </w:style>
  <w:style w:type="paragraph" w:styleId="Zpat">
    <w:name w:val="footer"/>
    <w:basedOn w:val="Normln"/>
    <w:link w:val="ZpatChar"/>
    <w:uiPriority w:val="99"/>
    <w:unhideWhenUsed/>
    <w:rsid w:val="0028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B74"/>
  </w:style>
  <w:style w:type="character" w:styleId="Nevyeenzmnka">
    <w:name w:val="Unresolved Mention"/>
    <w:basedOn w:val="Standardnpsmoodstavce"/>
    <w:uiPriority w:val="99"/>
    <w:semiHidden/>
    <w:unhideWhenUsed/>
    <w:rsid w:val="00650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ntd.cz" TargetMode="External"/><Relationship Id="rId1" Type="http://schemas.openxmlformats.org/officeDocument/2006/relationships/hyperlink" Target="http://www.sntd.eu" TargetMode="External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03C7-BD9D-403A-A671-042D5799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1221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Mikula Pavel</cp:lastModifiedBy>
  <cp:revision>6</cp:revision>
  <dcterms:created xsi:type="dcterms:W3CDTF">2023-08-02T11:00:00Z</dcterms:created>
  <dcterms:modified xsi:type="dcterms:W3CDTF">2023-08-07T12:25:00Z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1">
    <vt:lpwstr>«spis.Hlavní klient.Subjekt.✖ Adresa sídla.Ulice»</vt:lpwstr>
  </property>
  <property fmtid="{D5CDD505-2E9C-101B-9397-08002B2CF9AE}" pid="3" name="praetor3">
    <vt:lpwstr>«spis.Hlavní klient.Subjekt.✖ Adresa sídla.Popisné číslo»</vt:lpwstr>
  </property>
  <property fmtid="{D5CDD505-2E9C-101B-9397-08002B2CF9AE}" pid="4" name="praetor4">
    <vt:lpwstr>«spis.Hlavní klient.Subjekt.✖ Adresa sídla.PSČ»</vt:lpwstr>
  </property>
  <property fmtid="{D5CDD505-2E9C-101B-9397-08002B2CF9AE}" pid="5" name="praetor5">
    <vt:lpwstr>«spis.Hlavní klient.Subjekt.✖ Adresa sídla.Obec»</vt:lpwstr>
  </property>
  <property fmtid="{D5CDD505-2E9C-101B-9397-08002B2CF9AE}" pid="6" name="praetor6">
    <vt:lpwstr>«spis.Hlavní klient.Subjekt.IČO»</vt:lpwstr>
  </property>
  <property fmtid="{D5CDD505-2E9C-101B-9397-08002B2CF9AE}" pid="7" name="praetor7">
    <vt:lpwstr>«spis.Hlavní klient.Subjekt.DIČ»</vt:lpwstr>
  </property>
  <property fmtid="{D5CDD505-2E9C-101B-9397-08002B2CF9AE}" pid="8" name="praetor8">
    <vt:lpwstr>«spis.Hlavní klient.Subjekt.Zápis OR»</vt:lpwstr>
  </property>
  <property fmtid="{D5CDD505-2E9C-101B-9397-08002B2CF9AE}" pid="9" name="praetor10">
    <vt:lpwstr>«spis.Hlavní klient.Subjekt.Kontakty.První.Kontaktní subjekt.Telefonické spojení na subjekt»</vt:lpwstr>
  </property>
  <property fmtid="{D5CDD505-2E9C-101B-9397-08002B2CF9AE}" pid="10" name="praetor2">
    <vt:lpwstr>«spis.Hlavní klient.Subjekt.E-mail komplet»</vt:lpwstr>
  </property>
</Properties>
</file>