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9DC" w:rsidRDefault="00020545">
      <w:pPr>
        <w:pStyle w:val="Titulektabulky0"/>
        <w:ind w:left="72"/>
      </w:pPr>
      <w:r>
        <w:rPr>
          <w:rStyle w:val="Titulektabulky"/>
        </w:rPr>
        <w:t>Dnešního dne, měsíce a roku uzavřely společnosti</w:t>
      </w:r>
    </w:p>
    <w:tbl>
      <w:tblPr>
        <w:tblOverlap w:val="never"/>
        <w:tblW w:w="0" w:type="auto"/>
        <w:tblLayout w:type="fixed"/>
        <w:tblCellMar>
          <w:left w:w="10" w:type="dxa"/>
          <w:right w:w="10" w:type="dxa"/>
        </w:tblCellMar>
        <w:tblLook w:val="04A0" w:firstRow="1" w:lastRow="0" w:firstColumn="1" w:lastColumn="0" w:noHBand="0" w:noVBand="1"/>
      </w:tblPr>
      <w:tblGrid>
        <w:gridCol w:w="1243"/>
        <w:gridCol w:w="7061"/>
      </w:tblGrid>
      <w:tr w:rsidR="005549DC">
        <w:tblPrEx>
          <w:tblCellMar>
            <w:top w:w="0" w:type="dxa"/>
            <w:bottom w:w="0" w:type="dxa"/>
          </w:tblCellMar>
        </w:tblPrEx>
        <w:trPr>
          <w:trHeight w:hRule="exact" w:val="259"/>
        </w:trPr>
        <w:tc>
          <w:tcPr>
            <w:tcW w:w="1243" w:type="dxa"/>
            <w:shd w:val="clear" w:color="auto" w:fill="auto"/>
          </w:tcPr>
          <w:p w:rsidR="005549DC" w:rsidRDefault="00020545">
            <w:pPr>
              <w:pStyle w:val="Jin0"/>
              <w:spacing w:line="240" w:lineRule="auto"/>
            </w:pPr>
            <w:r>
              <w:rPr>
                <w:rStyle w:val="Jin"/>
                <w:b/>
                <w:bCs/>
              </w:rPr>
              <w:t>Název:</w:t>
            </w:r>
          </w:p>
        </w:tc>
        <w:tc>
          <w:tcPr>
            <w:tcW w:w="7061" w:type="dxa"/>
            <w:shd w:val="clear" w:color="auto" w:fill="auto"/>
          </w:tcPr>
          <w:p w:rsidR="005549DC" w:rsidRDefault="00020545">
            <w:pPr>
              <w:pStyle w:val="Jin0"/>
              <w:spacing w:line="240" w:lineRule="auto"/>
              <w:ind w:firstLine="180"/>
            </w:pPr>
            <w:r>
              <w:rPr>
                <w:rStyle w:val="Jin"/>
                <w:b/>
                <w:bCs/>
              </w:rPr>
              <w:t>FORNAL product s.r.o.</w:t>
            </w:r>
          </w:p>
        </w:tc>
      </w:tr>
      <w:tr w:rsidR="005549DC">
        <w:tblPrEx>
          <w:tblCellMar>
            <w:top w:w="0" w:type="dxa"/>
            <w:bottom w:w="0" w:type="dxa"/>
          </w:tblCellMar>
        </w:tblPrEx>
        <w:trPr>
          <w:trHeight w:hRule="exact" w:val="245"/>
        </w:trPr>
        <w:tc>
          <w:tcPr>
            <w:tcW w:w="1243" w:type="dxa"/>
            <w:shd w:val="clear" w:color="auto" w:fill="auto"/>
          </w:tcPr>
          <w:p w:rsidR="005549DC" w:rsidRDefault="00020545">
            <w:pPr>
              <w:pStyle w:val="Jin0"/>
              <w:spacing w:line="240" w:lineRule="auto"/>
            </w:pPr>
            <w:r>
              <w:rPr>
                <w:rStyle w:val="Jin"/>
              </w:rPr>
              <w:t>se sídlem:</w:t>
            </w:r>
          </w:p>
        </w:tc>
        <w:tc>
          <w:tcPr>
            <w:tcW w:w="7061" w:type="dxa"/>
            <w:shd w:val="clear" w:color="auto" w:fill="auto"/>
          </w:tcPr>
          <w:p w:rsidR="005549DC" w:rsidRDefault="00020545">
            <w:pPr>
              <w:pStyle w:val="Jin0"/>
              <w:spacing w:line="240" w:lineRule="auto"/>
              <w:ind w:firstLine="180"/>
            </w:pPr>
            <w:r>
              <w:rPr>
                <w:rStyle w:val="Jin"/>
              </w:rPr>
              <w:t>Dufkovo nábřeží 157/3, 619 00 Brno</w:t>
            </w:r>
          </w:p>
        </w:tc>
      </w:tr>
      <w:tr w:rsidR="005549DC">
        <w:tblPrEx>
          <w:tblCellMar>
            <w:top w:w="0" w:type="dxa"/>
            <w:bottom w:w="0" w:type="dxa"/>
          </w:tblCellMar>
        </w:tblPrEx>
        <w:trPr>
          <w:trHeight w:hRule="exact" w:val="259"/>
        </w:trPr>
        <w:tc>
          <w:tcPr>
            <w:tcW w:w="1243" w:type="dxa"/>
            <w:shd w:val="clear" w:color="auto" w:fill="auto"/>
            <w:vAlign w:val="bottom"/>
          </w:tcPr>
          <w:p w:rsidR="005549DC" w:rsidRDefault="00020545">
            <w:pPr>
              <w:pStyle w:val="Jin0"/>
              <w:spacing w:line="240" w:lineRule="auto"/>
            </w:pPr>
            <w:r>
              <w:rPr>
                <w:rStyle w:val="Jin"/>
              </w:rPr>
              <w:t>DIČ / IČ:</w:t>
            </w:r>
          </w:p>
        </w:tc>
        <w:tc>
          <w:tcPr>
            <w:tcW w:w="7061" w:type="dxa"/>
            <w:shd w:val="clear" w:color="auto" w:fill="auto"/>
            <w:vAlign w:val="bottom"/>
          </w:tcPr>
          <w:p w:rsidR="005549DC" w:rsidRDefault="00020545">
            <w:pPr>
              <w:pStyle w:val="Jin0"/>
              <w:spacing w:line="240" w:lineRule="auto"/>
              <w:ind w:firstLine="180"/>
            </w:pPr>
            <w:r>
              <w:rPr>
                <w:rStyle w:val="Jin"/>
              </w:rPr>
              <w:t>CZ26888122 / 26888122</w:t>
            </w:r>
          </w:p>
        </w:tc>
      </w:tr>
      <w:tr w:rsidR="005549DC">
        <w:tblPrEx>
          <w:tblCellMar>
            <w:top w:w="0" w:type="dxa"/>
            <w:bottom w:w="0" w:type="dxa"/>
          </w:tblCellMar>
        </w:tblPrEx>
        <w:trPr>
          <w:trHeight w:hRule="exact" w:val="259"/>
        </w:trPr>
        <w:tc>
          <w:tcPr>
            <w:tcW w:w="1243" w:type="dxa"/>
            <w:shd w:val="clear" w:color="auto" w:fill="auto"/>
            <w:vAlign w:val="bottom"/>
          </w:tcPr>
          <w:p w:rsidR="005549DC" w:rsidRDefault="00020545">
            <w:pPr>
              <w:pStyle w:val="Jin0"/>
              <w:spacing w:line="240" w:lineRule="auto"/>
            </w:pPr>
            <w:r>
              <w:rPr>
                <w:rStyle w:val="Jin"/>
              </w:rPr>
              <w:t>zapsaná:</w:t>
            </w:r>
          </w:p>
        </w:tc>
        <w:tc>
          <w:tcPr>
            <w:tcW w:w="7061" w:type="dxa"/>
            <w:shd w:val="clear" w:color="auto" w:fill="auto"/>
            <w:vAlign w:val="bottom"/>
          </w:tcPr>
          <w:p w:rsidR="005549DC" w:rsidRDefault="00020545">
            <w:pPr>
              <w:pStyle w:val="Jin0"/>
              <w:spacing w:line="240" w:lineRule="auto"/>
              <w:ind w:firstLine="180"/>
            </w:pPr>
            <w:r>
              <w:rPr>
                <w:rStyle w:val="Jin"/>
              </w:rPr>
              <w:t>v Obchodním rejstříku vedeném Krajským soudem v Brně, oddíl C vložka 38523</w:t>
            </w:r>
          </w:p>
        </w:tc>
      </w:tr>
      <w:tr w:rsidR="005549DC">
        <w:tblPrEx>
          <w:tblCellMar>
            <w:top w:w="0" w:type="dxa"/>
            <w:bottom w:w="0" w:type="dxa"/>
          </w:tblCellMar>
        </w:tblPrEx>
        <w:trPr>
          <w:trHeight w:hRule="exact" w:val="264"/>
        </w:trPr>
        <w:tc>
          <w:tcPr>
            <w:tcW w:w="1243" w:type="dxa"/>
            <w:shd w:val="clear" w:color="auto" w:fill="auto"/>
            <w:vAlign w:val="bottom"/>
          </w:tcPr>
          <w:p w:rsidR="005549DC" w:rsidRDefault="00020545">
            <w:pPr>
              <w:pStyle w:val="Jin0"/>
              <w:spacing w:line="240" w:lineRule="auto"/>
            </w:pPr>
            <w:r>
              <w:rPr>
                <w:rStyle w:val="Jin"/>
              </w:rPr>
              <w:t>zastoupená:</w:t>
            </w:r>
          </w:p>
        </w:tc>
        <w:tc>
          <w:tcPr>
            <w:tcW w:w="7061" w:type="dxa"/>
            <w:shd w:val="clear" w:color="auto" w:fill="auto"/>
            <w:vAlign w:val="bottom"/>
          </w:tcPr>
          <w:p w:rsidR="005549DC" w:rsidRDefault="00020545">
            <w:pPr>
              <w:pStyle w:val="Jin0"/>
              <w:spacing w:line="240" w:lineRule="auto"/>
              <w:ind w:firstLine="180"/>
            </w:pPr>
            <w:r>
              <w:rPr>
                <w:rStyle w:val="Jin"/>
              </w:rPr>
              <w:t>Eduardem Fornálem, jednatelem společnosti</w:t>
            </w:r>
          </w:p>
        </w:tc>
      </w:tr>
    </w:tbl>
    <w:p w:rsidR="005549DC" w:rsidRDefault="00020545">
      <w:pPr>
        <w:pStyle w:val="Titulektabulky0"/>
        <w:ind w:left="19"/>
      </w:pPr>
      <w:r>
        <w:rPr>
          <w:rStyle w:val="Titulektabulky"/>
        </w:rPr>
        <w:t xml:space="preserve">(dále jen </w:t>
      </w:r>
      <w:r>
        <w:rPr>
          <w:rStyle w:val="Titulektabulky"/>
          <w:b/>
          <w:bCs/>
        </w:rPr>
        <w:t xml:space="preserve">„pronajímatel") </w:t>
      </w:r>
      <w:r>
        <w:rPr>
          <w:rStyle w:val="Titulektabulky"/>
        </w:rPr>
        <w:t>na straně jedné a</w:t>
      </w:r>
    </w:p>
    <w:p w:rsidR="005549DC" w:rsidRDefault="005549DC">
      <w:pPr>
        <w:spacing w:after="359" w:line="1" w:lineRule="exact"/>
      </w:pPr>
    </w:p>
    <w:p w:rsidR="005549DC" w:rsidRDefault="00020545">
      <w:pPr>
        <w:pStyle w:val="Titulektabulky0"/>
        <w:jc w:val="both"/>
      </w:pPr>
      <w:r>
        <w:rPr>
          <w:rStyle w:val="Titulektabulky"/>
          <w:b/>
          <w:bCs/>
        </w:rPr>
        <w:t>Název:</w:t>
      </w:r>
    </w:p>
    <w:tbl>
      <w:tblPr>
        <w:tblOverlap w:val="never"/>
        <w:tblW w:w="0" w:type="auto"/>
        <w:tblLayout w:type="fixed"/>
        <w:tblCellMar>
          <w:left w:w="10" w:type="dxa"/>
          <w:right w:w="10" w:type="dxa"/>
        </w:tblCellMar>
        <w:tblLook w:val="04A0" w:firstRow="1" w:lastRow="0" w:firstColumn="1" w:lastColumn="0" w:noHBand="0" w:noVBand="1"/>
      </w:tblPr>
      <w:tblGrid>
        <w:gridCol w:w="1243"/>
        <w:gridCol w:w="7056"/>
      </w:tblGrid>
      <w:tr w:rsidR="005549DC">
        <w:tblPrEx>
          <w:tblCellMar>
            <w:top w:w="0" w:type="dxa"/>
            <w:bottom w:w="0" w:type="dxa"/>
          </w:tblCellMar>
        </w:tblPrEx>
        <w:trPr>
          <w:trHeight w:hRule="exact" w:val="288"/>
        </w:trPr>
        <w:tc>
          <w:tcPr>
            <w:tcW w:w="1243" w:type="dxa"/>
            <w:shd w:val="clear" w:color="auto" w:fill="auto"/>
            <w:vAlign w:val="bottom"/>
          </w:tcPr>
          <w:p w:rsidR="005549DC" w:rsidRDefault="00020545">
            <w:pPr>
              <w:pStyle w:val="Jin0"/>
              <w:spacing w:line="240" w:lineRule="auto"/>
            </w:pPr>
            <w:r>
              <w:rPr>
                <w:rStyle w:val="Jin"/>
              </w:rPr>
              <w:t>se sídlem:</w:t>
            </w:r>
          </w:p>
        </w:tc>
        <w:tc>
          <w:tcPr>
            <w:tcW w:w="7056" w:type="dxa"/>
            <w:shd w:val="clear" w:color="auto" w:fill="auto"/>
            <w:vAlign w:val="bottom"/>
          </w:tcPr>
          <w:p w:rsidR="005549DC" w:rsidRDefault="00020545">
            <w:pPr>
              <w:pStyle w:val="Jin0"/>
              <w:spacing w:line="240" w:lineRule="auto"/>
              <w:rPr>
                <w:sz w:val="17"/>
                <w:szCs w:val="17"/>
              </w:rPr>
            </w:pPr>
            <w:r>
              <w:rPr>
                <w:rStyle w:val="Jin"/>
                <w:rFonts w:ascii="Verdana" w:eastAsia="Verdana" w:hAnsi="Verdana" w:cs="Verdana"/>
                <w:b/>
                <w:bCs/>
                <w:sz w:val="17"/>
                <w:szCs w:val="17"/>
              </w:rPr>
              <w:t>Kroměřížské technické služby, s.r.o.</w:t>
            </w:r>
          </w:p>
        </w:tc>
      </w:tr>
      <w:tr w:rsidR="005549DC">
        <w:tblPrEx>
          <w:tblCellMar>
            <w:top w:w="0" w:type="dxa"/>
            <w:bottom w:w="0" w:type="dxa"/>
          </w:tblCellMar>
        </w:tblPrEx>
        <w:trPr>
          <w:trHeight w:hRule="exact" w:val="269"/>
        </w:trPr>
        <w:tc>
          <w:tcPr>
            <w:tcW w:w="1243" w:type="dxa"/>
            <w:shd w:val="clear" w:color="auto" w:fill="auto"/>
          </w:tcPr>
          <w:p w:rsidR="005549DC" w:rsidRDefault="00020545">
            <w:pPr>
              <w:pStyle w:val="Jin0"/>
              <w:spacing w:line="240" w:lineRule="auto"/>
            </w:pPr>
            <w:r>
              <w:rPr>
                <w:rStyle w:val="Jin"/>
              </w:rPr>
              <w:t>DIČ / IČ:</w:t>
            </w:r>
          </w:p>
        </w:tc>
        <w:tc>
          <w:tcPr>
            <w:tcW w:w="7056" w:type="dxa"/>
            <w:shd w:val="clear" w:color="auto" w:fill="auto"/>
          </w:tcPr>
          <w:p w:rsidR="005549DC" w:rsidRDefault="00020545">
            <w:pPr>
              <w:pStyle w:val="Jin0"/>
              <w:spacing w:line="240" w:lineRule="auto"/>
            </w:pPr>
            <w:r>
              <w:rPr>
                <w:rStyle w:val="Jin"/>
              </w:rPr>
              <w:t>CZ26276437/26276437</w:t>
            </w:r>
          </w:p>
        </w:tc>
      </w:tr>
      <w:tr w:rsidR="005549DC">
        <w:tblPrEx>
          <w:tblCellMar>
            <w:top w:w="0" w:type="dxa"/>
            <w:bottom w:w="0" w:type="dxa"/>
          </w:tblCellMar>
        </w:tblPrEx>
        <w:trPr>
          <w:trHeight w:hRule="exact" w:val="259"/>
        </w:trPr>
        <w:tc>
          <w:tcPr>
            <w:tcW w:w="1243" w:type="dxa"/>
            <w:shd w:val="clear" w:color="auto" w:fill="auto"/>
            <w:vAlign w:val="bottom"/>
          </w:tcPr>
          <w:p w:rsidR="005549DC" w:rsidRDefault="00020545">
            <w:pPr>
              <w:pStyle w:val="Jin0"/>
              <w:spacing w:line="240" w:lineRule="auto"/>
            </w:pPr>
            <w:r>
              <w:rPr>
                <w:rStyle w:val="Jin"/>
              </w:rPr>
              <w:t>zapsaná:</w:t>
            </w:r>
          </w:p>
        </w:tc>
        <w:tc>
          <w:tcPr>
            <w:tcW w:w="7056" w:type="dxa"/>
            <w:shd w:val="clear" w:color="auto" w:fill="auto"/>
            <w:vAlign w:val="bottom"/>
          </w:tcPr>
          <w:p w:rsidR="005549DC" w:rsidRDefault="00020545">
            <w:pPr>
              <w:pStyle w:val="Jin0"/>
              <w:spacing w:line="240" w:lineRule="auto"/>
            </w:pPr>
            <w:r>
              <w:rPr>
                <w:rStyle w:val="Jin"/>
              </w:rPr>
              <w:t xml:space="preserve">v Obchodním rejstříku vedeném Krajským soudem v Brně, oddíl C vložka </w:t>
            </w:r>
            <w:r>
              <w:rPr>
                <w:rStyle w:val="Jin"/>
              </w:rPr>
              <w:t>41059</w:t>
            </w:r>
          </w:p>
        </w:tc>
      </w:tr>
      <w:tr w:rsidR="005549DC">
        <w:tblPrEx>
          <w:tblCellMar>
            <w:top w:w="0" w:type="dxa"/>
            <w:bottom w:w="0" w:type="dxa"/>
          </w:tblCellMar>
        </w:tblPrEx>
        <w:trPr>
          <w:trHeight w:hRule="exact" w:val="523"/>
        </w:trPr>
        <w:tc>
          <w:tcPr>
            <w:tcW w:w="1243" w:type="dxa"/>
            <w:shd w:val="clear" w:color="auto" w:fill="auto"/>
          </w:tcPr>
          <w:p w:rsidR="005549DC" w:rsidRDefault="00020545">
            <w:pPr>
              <w:pStyle w:val="Jin0"/>
              <w:spacing w:line="240" w:lineRule="auto"/>
            </w:pPr>
            <w:r>
              <w:rPr>
                <w:rStyle w:val="Jin"/>
                <w:color w:val="7DA4CB"/>
              </w:rPr>
              <w:t>zastoupená</w:t>
            </w:r>
          </w:p>
        </w:tc>
        <w:tc>
          <w:tcPr>
            <w:tcW w:w="7056" w:type="dxa"/>
            <w:shd w:val="clear" w:color="auto" w:fill="auto"/>
            <w:vAlign w:val="bottom"/>
          </w:tcPr>
          <w:p w:rsidR="005549DC" w:rsidRDefault="00020545">
            <w:pPr>
              <w:pStyle w:val="Jin0"/>
              <w:ind w:firstLine="140"/>
            </w:pPr>
            <w:r>
              <w:rPr>
                <w:rStyle w:val="Jin"/>
              </w:rPr>
              <w:t>Mgr. Bc. Karel Holík BA, MBA-jednatel společnosti Mgr. Jan Hebnar, MBA - jednatel společnosti</w:t>
            </w:r>
          </w:p>
        </w:tc>
      </w:tr>
    </w:tbl>
    <w:p w:rsidR="005549DC" w:rsidRDefault="00020545">
      <w:pPr>
        <w:pStyle w:val="Titulektabulky0"/>
      </w:pPr>
      <w:r>
        <w:rPr>
          <w:rStyle w:val="Titulektabulky"/>
        </w:rPr>
        <w:t xml:space="preserve">(dále jen </w:t>
      </w:r>
      <w:r>
        <w:rPr>
          <w:rStyle w:val="Titulektabulky"/>
          <w:b/>
          <w:bCs/>
        </w:rPr>
        <w:t xml:space="preserve">„nájemce") </w:t>
      </w:r>
      <w:r>
        <w:rPr>
          <w:rStyle w:val="Titulektabulky"/>
        </w:rPr>
        <w:t>na straně druhé</w:t>
      </w:r>
    </w:p>
    <w:p w:rsidR="005549DC" w:rsidRDefault="005549DC">
      <w:pPr>
        <w:spacing w:after="239" w:line="1" w:lineRule="exact"/>
      </w:pPr>
    </w:p>
    <w:p w:rsidR="005549DC" w:rsidRDefault="00020545">
      <w:pPr>
        <w:pStyle w:val="Zkladntext1"/>
        <w:spacing w:line="240" w:lineRule="auto"/>
      </w:pPr>
      <w:r>
        <w:rPr>
          <w:rStyle w:val="Zkladntext"/>
        </w:rPr>
        <w:t>tuto</w:t>
      </w:r>
    </w:p>
    <w:p w:rsidR="005549DC" w:rsidRDefault="00020545">
      <w:pPr>
        <w:pStyle w:val="Nadpis30"/>
        <w:keepNext/>
        <w:keepLines/>
        <w:spacing w:after="240" w:line="240" w:lineRule="auto"/>
      </w:pPr>
      <w:bookmarkStart w:id="0" w:name="bookmark0"/>
      <w:r>
        <w:rPr>
          <w:rStyle w:val="Nadpis3"/>
          <w:b/>
          <w:bCs/>
        </w:rPr>
        <w:t>Smlouvu o nájmu dopravního prostředku</w:t>
      </w:r>
      <w:bookmarkEnd w:id="0"/>
    </w:p>
    <w:p w:rsidR="005549DC" w:rsidRDefault="005549DC">
      <w:pPr>
        <w:pStyle w:val="Zkladntext1"/>
        <w:numPr>
          <w:ilvl w:val="0"/>
          <w:numId w:val="1"/>
        </w:numPr>
        <w:jc w:val="center"/>
      </w:pPr>
    </w:p>
    <w:p w:rsidR="005549DC" w:rsidRDefault="00020545">
      <w:pPr>
        <w:pStyle w:val="Nadpis30"/>
        <w:keepNext/>
        <w:keepLines/>
      </w:pPr>
      <w:bookmarkStart w:id="1" w:name="bookmark2"/>
      <w:r>
        <w:rPr>
          <w:rStyle w:val="Nadpis3"/>
          <w:b/>
          <w:bCs/>
        </w:rPr>
        <w:t>Předmět</w:t>
      </w:r>
      <w:bookmarkEnd w:id="1"/>
    </w:p>
    <w:p w:rsidR="005549DC" w:rsidRDefault="00020545">
      <w:pPr>
        <w:pStyle w:val="Zkladntext1"/>
        <w:spacing w:after="240"/>
      </w:pPr>
      <w:r>
        <w:rPr>
          <w:rStyle w:val="Zkladntext"/>
        </w:rPr>
        <w:t xml:space="preserve">Pronajímatel touto smlouvou přenechává nájemci k </w:t>
      </w:r>
      <w:r>
        <w:rPr>
          <w:rStyle w:val="Zkladntext"/>
        </w:rPr>
        <w:t>dočasnému užívání (pronajímá) dopravní prostředek, který je specifikován následovně:</w:t>
      </w:r>
    </w:p>
    <w:p w:rsidR="005549DC" w:rsidRDefault="00020545">
      <w:pPr>
        <w:pStyle w:val="Zkladntext1"/>
        <w:spacing w:line="257" w:lineRule="auto"/>
      </w:pPr>
      <w:r>
        <w:rPr>
          <w:rStyle w:val="Zkladntext"/>
        </w:rPr>
        <w:t>Druh dopravního prostředku: vozidlo s hákovým zdvihacím zařízením</w:t>
      </w:r>
    </w:p>
    <w:p w:rsidR="005549DC" w:rsidRDefault="00020545">
      <w:pPr>
        <w:pStyle w:val="Zkladntext1"/>
        <w:tabs>
          <w:tab w:val="left" w:pos="1330"/>
        </w:tabs>
        <w:spacing w:line="257" w:lineRule="auto"/>
      </w:pPr>
      <w:r>
        <w:rPr>
          <w:rStyle w:val="Zkladntext"/>
        </w:rPr>
        <w:t>Podvozek:</w:t>
      </w:r>
      <w:r>
        <w:rPr>
          <w:rStyle w:val="Zkladntext"/>
        </w:rPr>
        <w:tab/>
        <w:t>MAN TGL 12.440</w:t>
      </w:r>
    </w:p>
    <w:p w:rsidR="005549DC" w:rsidRDefault="00020545">
      <w:pPr>
        <w:pStyle w:val="Zkladntext1"/>
        <w:tabs>
          <w:tab w:val="left" w:pos="1330"/>
        </w:tabs>
        <w:spacing w:line="257" w:lineRule="auto"/>
      </w:pPr>
      <w:r>
        <w:rPr>
          <w:rStyle w:val="Zkladntext"/>
        </w:rPr>
        <w:t>Nástavba:</w:t>
      </w:r>
      <w:r>
        <w:rPr>
          <w:rStyle w:val="Zkladntext"/>
        </w:rPr>
        <w:tab/>
        <w:t>Hákový nosič kontejnerů FORNAL 8T-375</w:t>
      </w:r>
    </w:p>
    <w:p w:rsidR="005549DC" w:rsidRDefault="00020545">
      <w:pPr>
        <w:pStyle w:val="Zkladntext1"/>
        <w:tabs>
          <w:tab w:val="left" w:pos="1330"/>
        </w:tabs>
        <w:spacing w:line="257" w:lineRule="auto"/>
      </w:pPr>
      <w:r>
        <w:rPr>
          <w:rStyle w:val="Zkladntext"/>
        </w:rPr>
        <w:t>VIN:</w:t>
      </w:r>
      <w:r>
        <w:rPr>
          <w:rStyle w:val="Zkladntext"/>
        </w:rPr>
        <w:tab/>
        <w:t>WMA04DZZ2PP218118</w:t>
      </w:r>
    </w:p>
    <w:p w:rsidR="005549DC" w:rsidRDefault="00020545">
      <w:pPr>
        <w:pStyle w:val="Zkladntext1"/>
        <w:spacing w:line="257" w:lineRule="auto"/>
      </w:pPr>
      <w:r>
        <w:rPr>
          <w:rStyle w:val="Zkladntext"/>
        </w:rPr>
        <w:t>SPZ:</w:t>
      </w:r>
    </w:p>
    <w:p w:rsidR="005549DC" w:rsidRDefault="00020545">
      <w:pPr>
        <w:pStyle w:val="Zkladntext1"/>
        <w:tabs>
          <w:tab w:val="left" w:pos="1330"/>
        </w:tabs>
        <w:spacing w:after="240" w:line="257" w:lineRule="auto"/>
      </w:pPr>
      <w:r>
        <w:rPr>
          <w:rStyle w:val="Zkladntext"/>
        </w:rPr>
        <w:t>Stav</w:t>
      </w:r>
      <w:r>
        <w:rPr>
          <w:rStyle w:val="Zkladntext"/>
        </w:rPr>
        <w:t xml:space="preserve"> vozidla:</w:t>
      </w:r>
      <w:r>
        <w:rPr>
          <w:rStyle w:val="Zkladntext"/>
        </w:rPr>
        <w:tab/>
        <w:t>nový</w:t>
      </w:r>
    </w:p>
    <w:p w:rsidR="005549DC" w:rsidRDefault="00020545">
      <w:pPr>
        <w:pStyle w:val="Zkladntext1"/>
        <w:spacing w:after="240" w:line="254" w:lineRule="auto"/>
      </w:pPr>
      <w:r>
        <w:rPr>
          <w:rStyle w:val="Zkladntext"/>
        </w:rPr>
        <w:t>Datum uvedení do provozu: 2023 - bližší specifikace podvozku a NKH v příloze č.l (dále jen „předmět nájmu" nebo „vozidlo") a nájemce se zavazuje zaplatit pronajímateli za užívání předmětu nájmu dle této smlouvy nájemné</w:t>
      </w:r>
    </w:p>
    <w:p w:rsidR="005549DC" w:rsidRDefault="005549DC">
      <w:pPr>
        <w:pStyle w:val="Zkladntext1"/>
        <w:numPr>
          <w:ilvl w:val="0"/>
          <w:numId w:val="1"/>
        </w:numPr>
        <w:spacing w:line="262" w:lineRule="auto"/>
        <w:jc w:val="center"/>
      </w:pPr>
    </w:p>
    <w:p w:rsidR="005549DC" w:rsidRDefault="00020545">
      <w:pPr>
        <w:pStyle w:val="Nadpis30"/>
        <w:keepNext/>
        <w:keepLines/>
        <w:spacing w:line="262" w:lineRule="auto"/>
      </w:pPr>
      <w:bookmarkStart w:id="2" w:name="bookmark4"/>
      <w:r>
        <w:rPr>
          <w:rStyle w:val="Nadpis3"/>
          <w:b/>
          <w:bCs/>
        </w:rPr>
        <w:t>Doba nájmu</w:t>
      </w:r>
      <w:bookmarkEnd w:id="2"/>
    </w:p>
    <w:p w:rsidR="005549DC" w:rsidRDefault="00020545">
      <w:pPr>
        <w:pStyle w:val="Zkladntext1"/>
        <w:spacing w:line="262" w:lineRule="auto"/>
      </w:pPr>
      <w:r>
        <w:rPr>
          <w:rStyle w:val="Zkladntext"/>
        </w:rPr>
        <w:t>Pronajímat</w:t>
      </w:r>
      <w:r>
        <w:rPr>
          <w:rStyle w:val="Zkladntext"/>
        </w:rPr>
        <w:t>el pronajímá nájemci vozidlo uvedené v čí. I. této smlouvy na dobu určitou, a to od 22.6.2023 do 22.12.2024.</w:t>
      </w:r>
    </w:p>
    <w:p w:rsidR="005549DC" w:rsidRDefault="00020545">
      <w:pPr>
        <w:pStyle w:val="Zkladntext1"/>
        <w:spacing w:after="240" w:line="262" w:lineRule="auto"/>
        <w:ind w:left="700" w:hanging="700"/>
      </w:pPr>
      <w:r>
        <w:rPr>
          <w:rStyle w:val="Zkladntext"/>
        </w:rPr>
        <w:t>Smluvní strany se dohodly, že nájemní vztah zanikne před uplynutím doby nájmu: dohodou obou stran o ukončení smlouvy odcizením či trvalým vyřazením</w:t>
      </w:r>
      <w:r>
        <w:rPr>
          <w:rStyle w:val="Zkladntext"/>
        </w:rPr>
        <w:t xml:space="preserve"> předmětu nájmu z provozu.</w:t>
      </w:r>
    </w:p>
    <w:p w:rsidR="005549DC" w:rsidRDefault="005549DC">
      <w:pPr>
        <w:pStyle w:val="Zkladntext1"/>
        <w:numPr>
          <w:ilvl w:val="0"/>
          <w:numId w:val="1"/>
        </w:numPr>
        <w:spacing w:line="257" w:lineRule="auto"/>
        <w:jc w:val="center"/>
      </w:pPr>
    </w:p>
    <w:p w:rsidR="005549DC" w:rsidRDefault="00020545">
      <w:pPr>
        <w:pStyle w:val="Nadpis30"/>
        <w:keepNext/>
        <w:keepLines/>
        <w:spacing w:line="257" w:lineRule="auto"/>
      </w:pPr>
      <w:bookmarkStart w:id="3" w:name="bookmark6"/>
      <w:r>
        <w:rPr>
          <w:rStyle w:val="Nadpis3"/>
          <w:b/>
          <w:bCs/>
        </w:rPr>
        <w:t>Nájemné</w:t>
      </w:r>
      <w:bookmarkEnd w:id="3"/>
    </w:p>
    <w:p w:rsidR="005549DC" w:rsidRDefault="00020545">
      <w:pPr>
        <w:pStyle w:val="Zkladntext1"/>
        <w:spacing w:line="257" w:lineRule="auto"/>
      </w:pPr>
      <w:r>
        <w:rPr>
          <w:rStyle w:val="Zkladntext"/>
        </w:rPr>
        <w:t xml:space="preserve">Nájemce je povinen za nájem dopravního prostředku uvedeného v čl. I. této smlouvy platit pronajímateli měsíční nájemné ve výši 67 225 Kč (slovy šedesátsedmtisícdvěstadvacetpět) bez DPH na základě faktury, kterou </w:t>
      </w:r>
      <w:r>
        <w:rPr>
          <w:rStyle w:val="Zkladntext"/>
        </w:rPr>
        <w:t>pronajímatel vystaví vždy na konci kalendářního měsíce trvání nájmu s tím, že faktura bude splatná do 30 dnů ode dne doručení faktury nájemci.</w:t>
      </w:r>
    </w:p>
    <w:p w:rsidR="005549DC" w:rsidRDefault="00020545">
      <w:pPr>
        <w:pStyle w:val="Zkladntext1"/>
        <w:spacing w:line="257" w:lineRule="auto"/>
      </w:pPr>
      <w:r>
        <w:rPr>
          <w:rStyle w:val="Zkladntext"/>
        </w:rPr>
        <w:t>Nájemné se účtuje nájemci za každý kalendářní měsíc.</w:t>
      </w:r>
    </w:p>
    <w:p w:rsidR="005549DC" w:rsidRDefault="00020545">
      <w:pPr>
        <w:pStyle w:val="Zkladntext1"/>
        <w:spacing w:after="760" w:line="240" w:lineRule="auto"/>
        <w:jc w:val="both"/>
      </w:pPr>
      <w:r>
        <w:rPr>
          <w:rStyle w:val="Zkladntext"/>
        </w:rPr>
        <w:t xml:space="preserve">Nájemné je nájemce povinen zaplatit i za dobu, kdy </w:t>
      </w:r>
      <w:r>
        <w:rPr>
          <w:rStyle w:val="Zkladntext"/>
        </w:rPr>
        <w:t>nemohl vozidlo užívat v případě, kdy byla nemožnost užívání způsobena nájemcem (i z nedbalosti) nebo osobami, kterým nájemce umožnil k vozidlu přístup.</w:t>
      </w:r>
    </w:p>
    <w:p w:rsidR="005549DC" w:rsidRDefault="005549DC">
      <w:pPr>
        <w:pStyle w:val="Zkladntext1"/>
        <w:numPr>
          <w:ilvl w:val="0"/>
          <w:numId w:val="1"/>
        </w:numPr>
        <w:spacing w:line="240" w:lineRule="auto"/>
        <w:jc w:val="center"/>
      </w:pPr>
    </w:p>
    <w:p w:rsidR="005549DC" w:rsidRDefault="00020545">
      <w:pPr>
        <w:pStyle w:val="Nadpis30"/>
        <w:keepNext/>
        <w:keepLines/>
        <w:spacing w:line="240" w:lineRule="auto"/>
      </w:pPr>
      <w:bookmarkStart w:id="4" w:name="bookmark10"/>
      <w:r>
        <w:rPr>
          <w:rStyle w:val="Nadpis3"/>
          <w:b/>
          <w:bCs/>
        </w:rPr>
        <w:t>Zvláštní ujednání</w:t>
      </w:r>
      <w:bookmarkEnd w:id="4"/>
    </w:p>
    <w:p w:rsidR="005549DC" w:rsidRDefault="00020545">
      <w:pPr>
        <w:pStyle w:val="Zkladntext1"/>
        <w:spacing w:after="260" w:line="240" w:lineRule="auto"/>
        <w:jc w:val="both"/>
      </w:pPr>
      <w:r>
        <w:rPr>
          <w:rStyle w:val="Zkladntext"/>
        </w:rPr>
        <w:t>Veškeré opravy a výměny dílů, které nepodléhají záruce vozidla, je povinen provést sá</w:t>
      </w:r>
      <w:r>
        <w:rPr>
          <w:rStyle w:val="Zkladntext"/>
        </w:rPr>
        <w:t xml:space="preserve">m nájemce na své náklady. </w:t>
      </w:r>
      <w:r>
        <w:rPr>
          <w:rStyle w:val="Zkladntext"/>
        </w:rPr>
        <w:lastRenderedPageBreak/>
        <w:t>Nájemce provádí na své náklady i výměnu opotřebených pneumatik. Nájemce se dále zavazuje hradit servisní prohlídky vozidla u autorizovaného servisu včetně všech nákladů s tím spojených. Seznam oprava dílů, na které se vztahuje zár</w:t>
      </w:r>
      <w:r>
        <w:rPr>
          <w:rStyle w:val="Zkladntext"/>
        </w:rPr>
        <w:t>uka, je přílohou této smlouvy.</w:t>
      </w:r>
    </w:p>
    <w:p w:rsidR="005549DC" w:rsidRDefault="005549DC">
      <w:pPr>
        <w:pStyle w:val="Nadpis30"/>
        <w:keepNext/>
        <w:keepLines/>
        <w:numPr>
          <w:ilvl w:val="0"/>
          <w:numId w:val="1"/>
        </w:numPr>
        <w:spacing w:line="240" w:lineRule="auto"/>
      </w:pPr>
      <w:bookmarkStart w:id="5" w:name="bookmark12"/>
      <w:bookmarkEnd w:id="5"/>
    </w:p>
    <w:p w:rsidR="005549DC" w:rsidRDefault="00020545">
      <w:pPr>
        <w:pStyle w:val="Nadpis30"/>
        <w:keepNext/>
        <w:keepLines/>
        <w:spacing w:line="240" w:lineRule="auto"/>
      </w:pPr>
      <w:r>
        <w:rPr>
          <w:rStyle w:val="Nadpis3"/>
          <w:b/>
          <w:bCs/>
        </w:rPr>
        <w:t>Kontaktní telefony</w:t>
      </w:r>
    </w:p>
    <w:p w:rsidR="005549DC" w:rsidRDefault="00020545">
      <w:pPr>
        <w:pStyle w:val="Zkladntext1"/>
        <w:spacing w:after="260" w:line="240" w:lineRule="auto"/>
        <w:jc w:val="both"/>
      </w:pPr>
      <w:r>
        <w:rPr>
          <w:rStyle w:val="Zkladntext"/>
        </w:rPr>
        <w:t>Smluvní strany se dohodly, že pro případ technických dotazů a nutného servisu bude nájemci k dispozici po celý kalendářní týden pan Petr Zapletal, tel.: 608 629 602. Pro případ koordinace smluvních ujednán</w:t>
      </w:r>
      <w:r>
        <w:rPr>
          <w:rStyle w:val="Zkladntext"/>
        </w:rPr>
        <w:t>í a jiných dotazů bude nájemci k dispozici pan Fornál, tel.; 608 736 737.</w:t>
      </w:r>
    </w:p>
    <w:p w:rsidR="005549DC" w:rsidRDefault="005549DC">
      <w:pPr>
        <w:pStyle w:val="Zkladntext1"/>
        <w:numPr>
          <w:ilvl w:val="0"/>
          <w:numId w:val="1"/>
        </w:numPr>
        <w:jc w:val="center"/>
      </w:pPr>
    </w:p>
    <w:p w:rsidR="005549DC" w:rsidRDefault="00020545">
      <w:pPr>
        <w:pStyle w:val="Nadpis30"/>
        <w:keepNext/>
        <w:keepLines/>
      </w:pPr>
      <w:bookmarkStart w:id="6" w:name="bookmark15"/>
      <w:r>
        <w:rPr>
          <w:rStyle w:val="Nadpis3"/>
          <w:b/>
          <w:bCs/>
        </w:rPr>
        <w:t>Pojištění</w:t>
      </w:r>
      <w:bookmarkEnd w:id="6"/>
    </w:p>
    <w:p w:rsidR="005549DC" w:rsidRDefault="00020545">
      <w:pPr>
        <w:pStyle w:val="Zkladntext1"/>
        <w:jc w:val="both"/>
      </w:pPr>
      <w:r>
        <w:rPr>
          <w:rStyle w:val="Zkladntext"/>
        </w:rPr>
        <w:t>Pronajímatel prohlašuje, že k pronajatému vozidlu je sjednáno platné pojištění odpovědnosti za škodu způsobenou při provozu vozidla (povinné ručení) a rovněž havarijní poj</w:t>
      </w:r>
      <w:r>
        <w:rPr>
          <w:rStyle w:val="Zkladntext"/>
        </w:rPr>
        <w:t>ištění. Pronajímatel dále prohlašuje, že řádně uhradil silniční daň. Pronajímatel se zavazuje udržovat v platnosti pojištění odpovědnosti za škodu způsobenou při provozu vozidla, havarijní pojištění a zajišťovat úhradu silniční daně po celou dobu trvání ná</w:t>
      </w:r>
      <w:r>
        <w:rPr>
          <w:rStyle w:val="Zkladntext"/>
        </w:rPr>
        <w:t>jemního vztahu.</w:t>
      </w:r>
    </w:p>
    <w:p w:rsidR="005549DC" w:rsidRDefault="00020545">
      <w:pPr>
        <w:pStyle w:val="Zkladntext1"/>
        <w:spacing w:after="260"/>
        <w:jc w:val="both"/>
      </w:pPr>
      <w:r>
        <w:rPr>
          <w:rStyle w:val="Zkladntext"/>
        </w:rPr>
        <w:t>Smluvní strany se dohodly, že v případě vzniku škody na vozidle, která bude kryta havarijním pojištěním, bude osobní spoluúčast nájemce činit 10% z celkové škody na vozidle, minimálně však 10.000,-Kč bez DPH. Nájemce se zavazuje uhradit fin</w:t>
      </w:r>
      <w:r>
        <w:rPr>
          <w:rStyle w:val="Zkladntext"/>
        </w:rPr>
        <w:t>anční částku ve výši spoluúčasti k rukám pronajímatele do 10 dnů ode dne, kdy bude k její úhradě pronajímatelem písemně vyzván. Pokud sjednané pojištění pokryje způsobenou škodu v celém rozsahu, nenese nájemce kromě uvedené spoluúčasti v souvislosti se způ</w:t>
      </w:r>
      <w:r>
        <w:rPr>
          <w:rStyle w:val="Zkladntext"/>
        </w:rPr>
        <w:t>sobenou škodou žádné další náklady. Případné postihovací nároky pojistitele vůči nájemci pro případ jeho úmyslného jednání, hrubé nedbalosti, atd. zůstávají tímto nedotčeny.</w:t>
      </w:r>
    </w:p>
    <w:p w:rsidR="005549DC" w:rsidRDefault="005549DC">
      <w:pPr>
        <w:pStyle w:val="Zkladntext1"/>
        <w:numPr>
          <w:ilvl w:val="0"/>
          <w:numId w:val="1"/>
        </w:numPr>
        <w:jc w:val="center"/>
      </w:pPr>
    </w:p>
    <w:p w:rsidR="005549DC" w:rsidRDefault="00020545">
      <w:pPr>
        <w:pStyle w:val="Nadpis30"/>
        <w:keepNext/>
        <w:keepLines/>
      </w:pPr>
      <w:bookmarkStart w:id="7" w:name="bookmark17"/>
      <w:r>
        <w:rPr>
          <w:rStyle w:val="Nadpis3"/>
          <w:b/>
          <w:bCs/>
        </w:rPr>
        <w:t>Předání vozidla</w:t>
      </w:r>
      <w:bookmarkEnd w:id="7"/>
    </w:p>
    <w:p w:rsidR="005549DC" w:rsidRDefault="00020545">
      <w:pPr>
        <w:pStyle w:val="Zkladntext1"/>
        <w:spacing w:after="260"/>
        <w:jc w:val="both"/>
      </w:pPr>
      <w:r>
        <w:rPr>
          <w:rStyle w:val="Zkladntext"/>
        </w:rPr>
        <w:t>Pronajímatel je povinen předat nájemci pronajaté vozidlo s potřeb</w:t>
      </w:r>
      <w:r>
        <w:rPr>
          <w:rStyle w:val="Zkladntext"/>
        </w:rPr>
        <w:t>nými doklady a povinným vybavením vozidla v provozuschopném a dobrém technickém stavu a způsobilé k užívání, k němuž vozidlo obvykle slouží. Ve stejném stavu je nájemce povinen toto vozidlo i s příslušnými doklady předat zpět k pronajímateli. Předané přísl</w:t>
      </w:r>
      <w:r>
        <w:rPr>
          <w:rStyle w:val="Zkladntext"/>
        </w:rPr>
        <w:t>ušenství se při předání vozidla zaznamená v protokolu o předání a převzetí vozidla. Chybějící příslušenství je nájemce povinen pronajímateli uhradit na základě pronajímatelem provedeného vyúčtování.</w:t>
      </w:r>
    </w:p>
    <w:p w:rsidR="005549DC" w:rsidRDefault="005549DC">
      <w:pPr>
        <w:pStyle w:val="Nadpis30"/>
        <w:keepNext/>
        <w:keepLines/>
        <w:numPr>
          <w:ilvl w:val="0"/>
          <w:numId w:val="1"/>
        </w:numPr>
        <w:spacing w:line="254" w:lineRule="auto"/>
      </w:pPr>
      <w:bookmarkStart w:id="8" w:name="bookmark19"/>
      <w:bookmarkEnd w:id="8"/>
    </w:p>
    <w:p w:rsidR="005549DC" w:rsidRDefault="00020545">
      <w:pPr>
        <w:pStyle w:val="Nadpis30"/>
        <w:keepNext/>
        <w:keepLines/>
        <w:spacing w:line="254" w:lineRule="auto"/>
      </w:pPr>
      <w:r>
        <w:rPr>
          <w:rStyle w:val="Nadpis3"/>
          <w:b/>
          <w:bCs/>
        </w:rPr>
        <w:t>Povinnosti nájemce</w:t>
      </w:r>
    </w:p>
    <w:p w:rsidR="005549DC" w:rsidRDefault="00020545">
      <w:pPr>
        <w:pStyle w:val="Zkladntext1"/>
        <w:spacing w:line="254" w:lineRule="auto"/>
      </w:pPr>
      <w:r>
        <w:rPr>
          <w:rStyle w:val="Zkladntext"/>
        </w:rPr>
        <w:t>Vozidlo je nájemce povinen užívat výlučně stanoveným způsobem a k účelu, pro který je určeno. Škodu na vozidle, která vznikne neodborným užíváním vozidla, je povinen uhradit nájemce pronajímateli v plné výši. Nájemce je povinen po dobu nájmu zacházet s voz</w:t>
      </w:r>
      <w:r>
        <w:rPr>
          <w:rStyle w:val="Zkladntext"/>
        </w:rPr>
        <w:t xml:space="preserve">idlem </w:t>
      </w:r>
      <w:r>
        <w:rPr>
          <w:rStyle w:val="Zkladntext"/>
          <w:i/>
          <w:iCs/>
        </w:rPr>
        <w:t>a</w:t>
      </w:r>
      <w:r>
        <w:rPr>
          <w:rStyle w:val="Zkladntext"/>
        </w:rPr>
        <w:t xml:space="preserve"> jeho příslušenstvím odborně a šetrně. Nájemce je dále povinen řádně o vozidlo pečovat a provádět jeho údržbu.</w:t>
      </w:r>
    </w:p>
    <w:p w:rsidR="005549DC" w:rsidRDefault="00020545">
      <w:pPr>
        <w:pStyle w:val="Zkladntext1"/>
        <w:spacing w:line="254" w:lineRule="auto"/>
      </w:pPr>
      <w:r>
        <w:rPr>
          <w:rStyle w:val="Zkladntext"/>
        </w:rPr>
        <w:t>Nájemce je povinen vozidlo zajistit proti krádeži běžně dostupnými prostředky (parkování ve střeženém areálu nájemce).</w:t>
      </w:r>
    </w:p>
    <w:p w:rsidR="005549DC" w:rsidRDefault="00020545" w:rsidP="00191054">
      <w:pPr>
        <w:pStyle w:val="Zkladntext1"/>
        <w:tabs>
          <w:tab w:val="left" w:pos="7603"/>
        </w:tabs>
        <w:spacing w:line="254" w:lineRule="auto"/>
      </w:pPr>
      <w:r>
        <w:rPr>
          <w:rStyle w:val="Zkladntext"/>
        </w:rPr>
        <w:t>Nájemce je oprávněn</w:t>
      </w:r>
      <w:r>
        <w:rPr>
          <w:rStyle w:val="Zkladntext"/>
        </w:rPr>
        <w:t xml:space="preserve"> svěřit pronajaté vozidlo pouze řidičům, kteří jsou s ním v pracovně právním vztahu, kteří mají platné řidičské průkazy a byli řádně poučeni o jeho obsluze a bezpečnosti práce (dále jen „oprávněný řidič"). Nájemce, popř. oprávněný řidič, je povinen se pron</w:t>
      </w:r>
      <w:r>
        <w:rPr>
          <w:rStyle w:val="Zkladntext"/>
        </w:rPr>
        <w:t>ajímateli při uzavření smlouvy prokázat na požádání platným řidičským průkazem</w:t>
      </w:r>
      <w:r>
        <w:rPr>
          <w:rStyle w:val="Zkladntext"/>
        </w:rPr>
        <w:tab/>
      </w:r>
    </w:p>
    <w:p w:rsidR="005549DC" w:rsidRDefault="00020545">
      <w:pPr>
        <w:pStyle w:val="Zkladntext1"/>
        <w:spacing w:line="240" w:lineRule="auto"/>
        <w:ind w:firstLine="140"/>
        <w:jc w:val="both"/>
      </w:pPr>
      <w:r>
        <w:rPr>
          <w:rStyle w:val="Zkladntext"/>
        </w:rPr>
        <w:t>N</w:t>
      </w:r>
      <w:r>
        <w:rPr>
          <w:rStyle w:val="Zkladntext"/>
        </w:rPr>
        <w:t>ájemce je povinen po dobu nájmu pravidelně provádět běžnou údržbu včetně mazání a kontrolovat správný tlak v pneumatikách. Provozní náklady, které v souvislosti s tí</w:t>
      </w:r>
      <w:r>
        <w:rPr>
          <w:rStyle w:val="Zkladntext"/>
        </w:rPr>
        <w:t>m nájemci vzniknou, nese v plném rozsahu nájemce.</w:t>
      </w:r>
    </w:p>
    <w:p w:rsidR="005549DC" w:rsidRDefault="00020545">
      <w:pPr>
        <w:pStyle w:val="Zkladntext1"/>
        <w:spacing w:line="240" w:lineRule="auto"/>
        <w:ind w:firstLine="140"/>
        <w:jc w:val="both"/>
      </w:pPr>
      <w:r>
        <w:rPr>
          <w:rStyle w:val="Zkladntext"/>
        </w:rPr>
        <w:t>Vozidlo je nájemce povinen vrátit pronajímateli umyté a čisté. Pokud nájemce poruší tuto svou povinnost, je povinen pronajímateli za umytí zaplatit paušální částku 3.000,- Kč, a to při předání vozidla.</w:t>
      </w:r>
    </w:p>
    <w:p w:rsidR="005549DC" w:rsidRDefault="00020545">
      <w:pPr>
        <w:pStyle w:val="Zkladntext1"/>
        <w:spacing w:after="260" w:line="240" w:lineRule="auto"/>
        <w:ind w:firstLine="140"/>
      </w:pPr>
      <w:r>
        <w:rPr>
          <w:rStyle w:val="Zkladntext"/>
        </w:rPr>
        <w:t>Poku</w:t>
      </w:r>
      <w:r>
        <w:rPr>
          <w:rStyle w:val="Zkladntext"/>
        </w:rPr>
        <w:t xml:space="preserve">d bude vozidlo vykazovat při vrácení známky silnějšího znečištění, které bylo způsobeno kyselinami, louhy, oleji, silikáty, popř. obdobnými látkami, je pronajímatel oprávněn odstranit nebo nechat odstranit toto znečištění na náklady nájemce. Totéž platí v </w:t>
      </w:r>
      <w:r>
        <w:rPr>
          <w:rStyle w:val="Zkladntext"/>
        </w:rPr>
        <w:t>případě znečištění vozidla, které bylo způsobeno v souvislosti s přepravovaným nákladem, popř. se speciálními místními podmínkami při výkonu nájmu.</w:t>
      </w:r>
    </w:p>
    <w:p w:rsidR="005549DC" w:rsidRDefault="005549DC">
      <w:pPr>
        <w:pStyle w:val="Zkladntext1"/>
        <w:numPr>
          <w:ilvl w:val="0"/>
          <w:numId w:val="1"/>
        </w:numPr>
        <w:jc w:val="center"/>
      </w:pPr>
    </w:p>
    <w:p w:rsidR="005549DC" w:rsidRDefault="00020545">
      <w:pPr>
        <w:pStyle w:val="Nadpis30"/>
        <w:keepNext/>
        <w:keepLines/>
      </w:pPr>
      <w:bookmarkStart w:id="9" w:name="bookmark24"/>
      <w:r>
        <w:rPr>
          <w:rStyle w:val="Nadpis3"/>
          <w:b/>
          <w:bCs/>
        </w:rPr>
        <w:t>škoda na pneumatikách</w:t>
      </w:r>
      <w:bookmarkEnd w:id="9"/>
    </w:p>
    <w:p w:rsidR="005549DC" w:rsidRDefault="00020545">
      <w:pPr>
        <w:pStyle w:val="Zkladntext1"/>
        <w:ind w:firstLine="140"/>
        <w:jc w:val="both"/>
      </w:pPr>
      <w:r>
        <w:rPr>
          <w:rStyle w:val="Zkladntext"/>
        </w:rPr>
        <w:t>Pokud při užívání vozidla došlo k poškození pneumatiky, je nájemce povinen při výměně</w:t>
      </w:r>
      <w:r>
        <w:rPr>
          <w:rStyle w:val="Zkladntext"/>
        </w:rPr>
        <w:t xml:space="preserve"> použít výhradně náhradní kolo, dodané k vozidlu. Pokud to není možné, je nájemce povinen o tom předem informovat pronajímatele.</w:t>
      </w:r>
    </w:p>
    <w:p w:rsidR="005549DC" w:rsidRDefault="00020545">
      <w:pPr>
        <w:pStyle w:val="Zkladntext1"/>
        <w:ind w:firstLine="140"/>
        <w:jc w:val="both"/>
      </w:pPr>
      <w:r>
        <w:rPr>
          <w:rStyle w:val="Zkladntext"/>
        </w:rPr>
        <w:t xml:space="preserve">Náklady na opravu pneumatik, které vzniknou při převozu vozidla nebo jinak po dobu nájmu, nese v plném rozsahu </w:t>
      </w:r>
      <w:r>
        <w:rPr>
          <w:rStyle w:val="Zkladntext"/>
        </w:rPr>
        <w:lastRenderedPageBreak/>
        <w:t>nájemce.</w:t>
      </w:r>
    </w:p>
    <w:p w:rsidR="005549DC" w:rsidRDefault="005549DC">
      <w:pPr>
        <w:pStyle w:val="Nadpis30"/>
        <w:keepNext/>
        <w:keepLines/>
        <w:numPr>
          <w:ilvl w:val="0"/>
          <w:numId w:val="1"/>
        </w:numPr>
      </w:pPr>
      <w:bookmarkStart w:id="10" w:name="bookmark26"/>
      <w:bookmarkEnd w:id="10"/>
    </w:p>
    <w:p w:rsidR="005549DC" w:rsidRDefault="00020545">
      <w:pPr>
        <w:pStyle w:val="Nadpis30"/>
        <w:keepNext/>
        <w:keepLines/>
      </w:pPr>
      <w:r>
        <w:rPr>
          <w:rStyle w:val="Nadpis3"/>
          <w:b/>
          <w:bCs/>
        </w:rPr>
        <w:t>Poruch</w:t>
      </w:r>
      <w:r>
        <w:rPr>
          <w:rStyle w:val="Nadpis3"/>
          <w:b/>
          <w:bCs/>
        </w:rPr>
        <w:t>y a nehody</w:t>
      </w:r>
    </w:p>
    <w:p w:rsidR="005549DC" w:rsidRDefault="00020545">
      <w:pPr>
        <w:pStyle w:val="Zkladntext1"/>
        <w:ind w:firstLine="140"/>
        <w:jc w:val="both"/>
      </w:pPr>
      <w:r>
        <w:rPr>
          <w:rStyle w:val="Zkladntext"/>
        </w:rPr>
        <w:t>V případě poruchy, závady nebo vzniku jiné škody na vozidle, s výjimkou běžné údržby vozidla, je nájemce povinen ihned o tom pronajímatele telefonicky nebo faxem informovat a vyčkat na rozhodnutí pronajímatele o dalším postupu. Nájemce není oprá</w:t>
      </w:r>
      <w:r>
        <w:rPr>
          <w:rStyle w:val="Zkladntext"/>
        </w:rPr>
        <w:t>vněn v takových případech odstranit vzniklé škody bez souhlasu pronajímatele sám nebo za pomoci třetí osoby.</w:t>
      </w:r>
    </w:p>
    <w:p w:rsidR="005549DC" w:rsidRDefault="00020545">
      <w:pPr>
        <w:pStyle w:val="Zkladntext1"/>
        <w:ind w:firstLine="140"/>
        <w:jc w:val="both"/>
      </w:pPr>
      <w:r>
        <w:rPr>
          <w:rStyle w:val="Zkladntext"/>
        </w:rPr>
        <w:t>Nájemce je povinen při vrácení vozidla pronajímateli provést zkušební projížďku s účastí pronajímatele za účelem odhalení nájemcem zjištěné závady.</w:t>
      </w:r>
      <w:r>
        <w:rPr>
          <w:rStyle w:val="Zkladntext"/>
        </w:rPr>
        <w:t xml:space="preserve"> Zkušební projížďka je nezbytnou podmínkou pro to, aby mohlo být případně pronajímatelem uznáno, že uvedenou závadu nájemce nezpůsobil.</w:t>
      </w:r>
    </w:p>
    <w:p w:rsidR="005549DC" w:rsidRDefault="00020545">
      <w:pPr>
        <w:pStyle w:val="Zkladntext1"/>
        <w:ind w:firstLine="140"/>
        <w:jc w:val="both"/>
      </w:pPr>
      <w:r>
        <w:rPr>
          <w:rStyle w:val="Zkladntext"/>
        </w:rPr>
        <w:t>Při nehodě vozidla je nájemce povinen vždy zajistit, aby byl o události sepsán policejní protokol. To platí i při nehodá</w:t>
      </w:r>
      <w:r>
        <w:rPr>
          <w:rStyle w:val="Zkladntext"/>
        </w:rPr>
        <w:t>ch zaviněných nájemcem bez účasti třetí osoby a při nehodách bez škod, které by vznikly nájemci. Nájemce je povinen pronajímatele o nehodách nebo vzniklých škodách bez zbytečného odkladu informovat. Pokud je vozidlo po nehodě nebo i z jiných důvodů nepojíz</w:t>
      </w:r>
      <w:r>
        <w:rPr>
          <w:rStyle w:val="Zkladntext"/>
        </w:rPr>
        <w:t>dné, smí ho nájemce zanechat na místě pouze v případě, že zajistí jeho dostatečné hlídání a zabezpečení.</w:t>
      </w:r>
    </w:p>
    <w:p w:rsidR="005549DC" w:rsidRDefault="00020545">
      <w:pPr>
        <w:pStyle w:val="Zkladntext1"/>
        <w:spacing w:after="260"/>
        <w:jc w:val="both"/>
      </w:pPr>
      <w:r>
        <w:rPr>
          <w:rStyle w:val="Zkladntext"/>
        </w:rPr>
        <w:t>Nájemce nesmí při nehodách nikdy uznáním nebo plněním náhrady vzniklé škody nebo jiným způsobem zabránit vypořádání případných vzniklých škod z povinné</w:t>
      </w:r>
      <w:r>
        <w:rPr>
          <w:rStyle w:val="Zkladntext"/>
        </w:rPr>
        <w:t>ho ručení příslušné pojišťovací společnosti. Pokud nájemce, jeho oprávněný řidič či třetí osoba, které nájemce umožnil s vozidlem manipulovat, tento zákaz poruší, odpovídá nájemce za náhradu vzniklé škody v plné výši. Totéž platí i v případě, že nájemce na</w:t>
      </w:r>
      <w:r>
        <w:rPr>
          <w:rStyle w:val="Zkladntext"/>
        </w:rPr>
        <w:t>hlásí pronajímateli škodu, vzniklou následkem nehody, pozdě nebo nepřesně.</w:t>
      </w:r>
    </w:p>
    <w:p w:rsidR="005549DC" w:rsidRDefault="005549DC">
      <w:pPr>
        <w:pStyle w:val="Zkladntext1"/>
        <w:numPr>
          <w:ilvl w:val="0"/>
          <w:numId w:val="1"/>
        </w:numPr>
        <w:spacing w:line="254" w:lineRule="auto"/>
        <w:jc w:val="center"/>
      </w:pPr>
    </w:p>
    <w:p w:rsidR="005549DC" w:rsidRDefault="00020545">
      <w:pPr>
        <w:pStyle w:val="Nadpis30"/>
        <w:keepNext/>
        <w:keepLines/>
        <w:spacing w:line="254" w:lineRule="auto"/>
      </w:pPr>
      <w:bookmarkStart w:id="11" w:name="bookmark29"/>
      <w:r>
        <w:rPr>
          <w:rStyle w:val="Nadpis3"/>
          <w:b/>
          <w:bCs/>
        </w:rPr>
        <w:t>Vyloučení odpovědnosti pronajímatele</w:t>
      </w:r>
      <w:bookmarkEnd w:id="11"/>
    </w:p>
    <w:p w:rsidR="005549DC" w:rsidRDefault="00020545">
      <w:pPr>
        <w:pStyle w:val="Zkladntext1"/>
        <w:numPr>
          <w:ilvl w:val="0"/>
          <w:numId w:val="2"/>
        </w:numPr>
        <w:tabs>
          <w:tab w:val="left" w:pos="260"/>
        </w:tabs>
        <w:spacing w:line="254" w:lineRule="auto"/>
        <w:jc w:val="both"/>
      </w:pPr>
      <w:r>
        <w:rPr>
          <w:rStyle w:val="Zkladntext"/>
        </w:rPr>
        <w:t xml:space="preserve">případě, že není z jakéhokoliv důvodu možné, aby pronajímatel předal objednané vozidlo nájemci včas, nebo není možné, aby pronajímatel takové </w:t>
      </w:r>
      <w:r>
        <w:rPr>
          <w:rStyle w:val="Zkladntext"/>
        </w:rPr>
        <w:t>vozidlo nájemci vůbec poskytl, neodpovídá pronajímatel za škodu, která tím nájemci vznikla, v rámci dobrých obchodních zvyklostí se však zavazuje realizovat předmět smluvního ujednání v nejdříve možném náhradním termínu, pokud o to nájemce projeví zájem.</w:t>
      </w:r>
    </w:p>
    <w:p w:rsidR="005549DC" w:rsidRDefault="00020545">
      <w:pPr>
        <w:pStyle w:val="Zkladntext1"/>
        <w:numPr>
          <w:ilvl w:val="0"/>
          <w:numId w:val="2"/>
        </w:numPr>
        <w:tabs>
          <w:tab w:val="left" w:pos="270"/>
        </w:tabs>
        <w:spacing w:after="260" w:line="254" w:lineRule="auto"/>
        <w:jc w:val="both"/>
      </w:pPr>
      <w:r>
        <w:rPr>
          <w:rStyle w:val="Zkladntext"/>
        </w:rPr>
        <w:t>p</w:t>
      </w:r>
      <w:r>
        <w:rPr>
          <w:rStyle w:val="Zkladntext"/>
        </w:rPr>
        <w:t xml:space="preserve">řípadě nehody vozidla nebo škody na vozidle vzniklé z jakýchkoliv jiných příčin (s výjimkou těch způsobených pronajímatelem nebo osobu, </w:t>
      </w:r>
      <w:r>
        <w:rPr>
          <w:rStyle w:val="Zkladntext"/>
          <w:i/>
          <w:iCs/>
        </w:rPr>
        <w:t>jejíž</w:t>
      </w:r>
      <w:r>
        <w:rPr>
          <w:rStyle w:val="Zkladntext"/>
        </w:rPr>
        <w:t xml:space="preserve"> jednání se přičítá pronajímateli) není nájemce oprávněn požadovat pro pronajímateli náhradu škody nebo náhradu za </w:t>
      </w:r>
      <w:r>
        <w:rPr>
          <w:rStyle w:val="Zkladntext"/>
        </w:rPr>
        <w:t>ušlý zisk, které mu případně vzniknou v důsledku nemožnosti vozidlo užívat.</w:t>
      </w:r>
    </w:p>
    <w:p w:rsidR="005549DC" w:rsidRDefault="005549DC">
      <w:pPr>
        <w:pStyle w:val="Zkladntext1"/>
        <w:numPr>
          <w:ilvl w:val="0"/>
          <w:numId w:val="1"/>
        </w:numPr>
        <w:spacing w:line="266" w:lineRule="auto"/>
        <w:jc w:val="center"/>
      </w:pPr>
    </w:p>
    <w:p w:rsidR="005549DC" w:rsidRDefault="00020545">
      <w:pPr>
        <w:pStyle w:val="Nadpis30"/>
        <w:keepNext/>
        <w:keepLines/>
        <w:spacing w:line="266" w:lineRule="auto"/>
      </w:pPr>
      <w:bookmarkStart w:id="12" w:name="bookmark31"/>
      <w:r>
        <w:rPr>
          <w:rStyle w:val="Nadpis3"/>
          <w:b/>
          <w:bCs/>
        </w:rPr>
        <w:t>Odpovědnost nájemce</w:t>
      </w:r>
      <w:bookmarkEnd w:id="12"/>
    </w:p>
    <w:p w:rsidR="005549DC" w:rsidRDefault="00020545">
      <w:pPr>
        <w:pStyle w:val="Zkladntext1"/>
        <w:spacing w:line="266" w:lineRule="auto"/>
      </w:pPr>
      <w:r>
        <w:rPr>
          <w:rStyle w:val="Zkladntext"/>
        </w:rPr>
        <w:t>Za škody, které na vozidle vzniknou v době nájmu, odpovídá nájemce..</w:t>
      </w:r>
    </w:p>
    <w:p w:rsidR="005549DC" w:rsidRDefault="00020545">
      <w:pPr>
        <w:pStyle w:val="Zkladntext1"/>
        <w:spacing w:line="266" w:lineRule="auto"/>
      </w:pPr>
      <w:r>
        <w:rPr>
          <w:rStyle w:val="Zkladntext"/>
        </w:rPr>
        <w:t>Škodu na vozidle, která vznikne porušením povinnosti dle této smlouvy nájemcem, je nájemce</w:t>
      </w:r>
      <w:r>
        <w:rPr>
          <w:rStyle w:val="Zkladntext"/>
        </w:rPr>
        <w:t xml:space="preserve"> povinen uhradit na své náklady.</w:t>
      </w:r>
    </w:p>
    <w:p w:rsidR="005549DC" w:rsidRDefault="00020545">
      <w:pPr>
        <w:pStyle w:val="Zkladntext1"/>
        <w:spacing w:after="260"/>
        <w:jc w:val="both"/>
      </w:pPr>
      <w:r>
        <w:rPr>
          <w:rStyle w:val="Zkladntext"/>
        </w:rPr>
        <w:t>Nájemce odpovídá také za škodu, která na vozidle vznikne jednáním řidiče, kterému nájemce vozidlo svěřil.</w:t>
      </w:r>
      <w:r>
        <w:br w:type="page"/>
      </w:r>
    </w:p>
    <w:p w:rsidR="005549DC" w:rsidRDefault="00020545">
      <w:pPr>
        <w:pStyle w:val="Zkladntext1"/>
        <w:spacing w:after="780" w:line="240" w:lineRule="auto"/>
      </w:pPr>
      <w:r>
        <w:rPr>
          <w:rStyle w:val="Zkladntext"/>
        </w:rPr>
        <w:lastRenderedPageBreak/>
        <w:t>Nájemce odpovídá rovněž za škodu, která na vozidle vznikne po dobu nájmu jeho užitím neoprávněnou osobou.</w:t>
      </w:r>
    </w:p>
    <w:p w:rsidR="005549DC" w:rsidRDefault="005549DC">
      <w:pPr>
        <w:pStyle w:val="Zkladntext1"/>
        <w:numPr>
          <w:ilvl w:val="0"/>
          <w:numId w:val="1"/>
        </w:numPr>
        <w:jc w:val="center"/>
      </w:pPr>
    </w:p>
    <w:p w:rsidR="005549DC" w:rsidRDefault="00020545">
      <w:pPr>
        <w:pStyle w:val="Nadpis30"/>
        <w:keepNext/>
        <w:keepLines/>
      </w:pPr>
      <w:bookmarkStart w:id="13" w:name="bookmark33"/>
      <w:r>
        <w:rPr>
          <w:rStyle w:val="Nadpis3"/>
          <w:b/>
          <w:bCs/>
        </w:rPr>
        <w:t>Závěrečná</w:t>
      </w:r>
      <w:r>
        <w:rPr>
          <w:rStyle w:val="Nadpis3"/>
          <w:b/>
          <w:bCs/>
        </w:rPr>
        <w:t xml:space="preserve"> ustanovení</w:t>
      </w:r>
      <w:bookmarkEnd w:id="13"/>
    </w:p>
    <w:p w:rsidR="005549DC" w:rsidRDefault="00020545">
      <w:pPr>
        <w:pStyle w:val="Zkladntext1"/>
        <w:jc w:val="both"/>
      </w:pPr>
      <w:r>
        <w:rPr>
          <w:rStyle w:val="Zkladntext"/>
        </w:rPr>
        <w:t>Tato smlouva je platná dnem jejího podpisu oběma smluvními stranami a účinná od okamžiku jejího uveřejnění v registru smluv v souladu se zákonem č. 340/2015 Sb., o zvláštních podmínkách účinnosti některých smluv, uveřejňování těchto smluv a o r</w:t>
      </w:r>
      <w:r>
        <w:rPr>
          <w:rStyle w:val="Zkladntext"/>
        </w:rPr>
        <w:t>egistru smluv, ve znění pozdějších předpisů.</w:t>
      </w:r>
    </w:p>
    <w:p w:rsidR="005549DC" w:rsidRDefault="00020545">
      <w:pPr>
        <w:pStyle w:val="Zkladntext1"/>
        <w:jc w:val="both"/>
      </w:pPr>
      <w:r>
        <w:rPr>
          <w:rStyle w:val="Zkladntext"/>
        </w:rPr>
        <w:t>Tuto smlouvu je možné měnit pouze písemnými číslovanými dodatky, které budou podepsány oběma smluvními stranami. Pokud je některé ustanovení dodatku této smlouvy neplatné, není tímto dotčena platnost zbývajících</w:t>
      </w:r>
      <w:r>
        <w:rPr>
          <w:rStyle w:val="Zkladntext"/>
        </w:rPr>
        <w:t xml:space="preserve"> ustanovení této smlouvy. Neplatné ustanovení dodatku této smlouvy jsou strany této smlouvy povinny nahradit ustanovením novým, které bude odpovídat hospodářskému a právnímu účelu dodatku neplatného.</w:t>
      </w:r>
    </w:p>
    <w:p w:rsidR="005549DC" w:rsidRDefault="00020545">
      <w:pPr>
        <w:pStyle w:val="Zkladntext1"/>
        <w:jc w:val="both"/>
      </w:pPr>
      <w:r>
        <w:rPr>
          <w:rStyle w:val="Zkladntext"/>
        </w:rPr>
        <w:t xml:space="preserve">Místem převzetí a vrácení vozidla podle této smlouvy je </w:t>
      </w:r>
      <w:r>
        <w:rPr>
          <w:rStyle w:val="Zkladntext"/>
        </w:rPr>
        <w:t>sídlo pronajímatele, a to v pracovní době pronajímatele.</w:t>
      </w:r>
    </w:p>
    <w:p w:rsidR="005549DC" w:rsidRDefault="00020545">
      <w:pPr>
        <w:pStyle w:val="Zkladntext1"/>
        <w:jc w:val="both"/>
      </w:pPr>
      <w:r>
        <w:rPr>
          <w:rStyle w:val="Zkladntext"/>
        </w:rPr>
        <w:t>Tato smlouva je vyhotovena ve dvou stejnopisech, z nichž každá ze stran obdrží jedno vyhotovení.</w:t>
      </w:r>
    </w:p>
    <w:p w:rsidR="005549DC" w:rsidRDefault="00020545">
      <w:pPr>
        <w:pStyle w:val="Zkladntext1"/>
        <w:spacing w:after="280"/>
        <w:jc w:val="both"/>
      </w:pPr>
      <w:r>
        <w:rPr>
          <w:rStyle w:val="Zkladntext"/>
        </w:rPr>
        <w:t xml:space="preserve">Účastníci prohlašují, že tato smlouva o nájmu dopravního prostředku byla sepsána dle jejich pravé a </w:t>
      </w:r>
      <w:r>
        <w:rPr>
          <w:rStyle w:val="Zkladntext"/>
        </w:rPr>
        <w:t>svobodné vůle, že nebyla ujednána v tísni ani za jinak nápadně nevýhodných podmínek, tedy s jejím obsahem bez výhrad souhlasí.</w:t>
      </w:r>
    </w:p>
    <w:p w:rsidR="005549DC" w:rsidRDefault="00020545">
      <w:pPr>
        <w:pStyle w:val="Zkladntext1"/>
        <w:tabs>
          <w:tab w:val="left" w:pos="4699"/>
        </w:tabs>
        <w:jc w:val="both"/>
        <w:sectPr w:rsidR="005549DC">
          <w:pgSz w:w="11900" w:h="16840"/>
          <w:pgMar w:top="1863" w:right="1212" w:bottom="325" w:left="1021" w:header="1435" w:footer="3" w:gutter="0"/>
          <w:pgNumType w:start="1"/>
          <w:cols w:space="720"/>
          <w:noEndnote/>
          <w:docGrid w:linePitch="360"/>
        </w:sectPr>
      </w:pPr>
      <w:r>
        <w:rPr>
          <w:rStyle w:val="Zkladntext"/>
        </w:rPr>
        <w:t>V Brně dne 22. 6. 2023</w:t>
      </w:r>
      <w:r>
        <w:rPr>
          <w:rStyle w:val="Zkladntext"/>
        </w:rPr>
        <w:tab/>
        <w:t>V Kroměříži dne 22. 6. 2023</w:t>
      </w:r>
    </w:p>
    <w:p w:rsidR="005549DC" w:rsidRDefault="005549DC">
      <w:pPr>
        <w:spacing w:before="79" w:after="79" w:line="240" w:lineRule="exact"/>
        <w:rPr>
          <w:sz w:val="19"/>
          <w:szCs w:val="19"/>
        </w:rPr>
      </w:pPr>
    </w:p>
    <w:p w:rsidR="005549DC" w:rsidRDefault="005549DC">
      <w:pPr>
        <w:spacing w:line="1" w:lineRule="exact"/>
        <w:sectPr w:rsidR="005549DC">
          <w:type w:val="continuous"/>
          <w:pgSz w:w="11900" w:h="16840"/>
          <w:pgMar w:top="1871" w:right="0" w:bottom="374" w:left="0" w:header="0" w:footer="3" w:gutter="0"/>
          <w:cols w:space="720"/>
          <w:noEndnote/>
          <w:docGrid w:linePitch="360"/>
        </w:sectPr>
      </w:pPr>
    </w:p>
    <w:p w:rsidR="005549DC" w:rsidRDefault="00020545">
      <w:pPr>
        <w:pStyle w:val="Titulekobrzku0"/>
        <w:framePr w:w="1157" w:h="264" w:wrap="none" w:vAnchor="text" w:hAnchor="page" w:x="2891" w:y="1710"/>
        <w:spacing w:line="240" w:lineRule="auto"/>
        <w:jc w:val="left"/>
        <w:rPr>
          <w:sz w:val="20"/>
          <w:szCs w:val="20"/>
        </w:rPr>
      </w:pPr>
      <w:r>
        <w:rPr>
          <w:rStyle w:val="Titulekobrzku"/>
          <w:rFonts w:ascii="Calibri" w:eastAsia="Calibri" w:hAnsi="Calibri" w:cs="Calibri"/>
          <w:sz w:val="20"/>
          <w:szCs w:val="20"/>
        </w:rPr>
        <w:t>Pronajímatel</w:t>
      </w:r>
    </w:p>
    <w:p w:rsidR="005549DC" w:rsidRDefault="00020545">
      <w:pPr>
        <w:pStyle w:val="Titulekobrzku0"/>
        <w:framePr w:w="811" w:h="264" w:wrap="none" w:vAnchor="text" w:hAnchor="page" w:x="7730" w:y="1720"/>
        <w:spacing w:line="240" w:lineRule="auto"/>
        <w:rPr>
          <w:sz w:val="20"/>
          <w:szCs w:val="20"/>
        </w:rPr>
      </w:pPr>
      <w:r>
        <w:rPr>
          <w:rStyle w:val="Titulekobrzku"/>
          <w:rFonts w:ascii="Calibri" w:eastAsia="Calibri" w:hAnsi="Calibri" w:cs="Calibri"/>
          <w:sz w:val="20"/>
          <w:szCs w:val="20"/>
        </w:rPr>
        <w:t>Nájemce</w:t>
      </w:r>
    </w:p>
    <w:p w:rsidR="005549DC" w:rsidRDefault="005549DC">
      <w:pPr>
        <w:spacing w:line="360" w:lineRule="exact"/>
      </w:pPr>
    </w:p>
    <w:p w:rsidR="005549DC" w:rsidRDefault="005549DC">
      <w:pPr>
        <w:spacing w:line="360" w:lineRule="exact"/>
      </w:pPr>
    </w:p>
    <w:p w:rsidR="005549DC" w:rsidRDefault="005549DC">
      <w:pPr>
        <w:spacing w:line="360" w:lineRule="exact"/>
      </w:pPr>
    </w:p>
    <w:p w:rsidR="005549DC" w:rsidRDefault="005549DC">
      <w:pPr>
        <w:spacing w:line="360" w:lineRule="exact"/>
      </w:pPr>
    </w:p>
    <w:p w:rsidR="005549DC" w:rsidRDefault="005549DC">
      <w:pPr>
        <w:spacing w:line="360" w:lineRule="exact"/>
      </w:pPr>
    </w:p>
    <w:p w:rsidR="005549DC" w:rsidRDefault="005549DC">
      <w:pPr>
        <w:spacing w:line="360" w:lineRule="exact"/>
      </w:pPr>
    </w:p>
    <w:p w:rsidR="005549DC" w:rsidRDefault="005549DC">
      <w:pPr>
        <w:spacing w:line="360" w:lineRule="exact"/>
      </w:pPr>
    </w:p>
    <w:p w:rsidR="005549DC" w:rsidRDefault="005549DC">
      <w:pPr>
        <w:spacing w:line="360" w:lineRule="exact"/>
      </w:pPr>
    </w:p>
    <w:p w:rsidR="005549DC" w:rsidRDefault="005549DC">
      <w:pPr>
        <w:spacing w:line="360" w:lineRule="exact"/>
      </w:pPr>
    </w:p>
    <w:p w:rsidR="005549DC" w:rsidRDefault="005549DC">
      <w:pPr>
        <w:spacing w:line="360" w:lineRule="exact"/>
      </w:pPr>
    </w:p>
    <w:p w:rsidR="005549DC" w:rsidRDefault="005549DC">
      <w:pPr>
        <w:spacing w:line="360" w:lineRule="exact"/>
      </w:pPr>
    </w:p>
    <w:p w:rsidR="005549DC" w:rsidRDefault="005549DC">
      <w:pPr>
        <w:spacing w:line="360" w:lineRule="exact"/>
      </w:pPr>
    </w:p>
    <w:p w:rsidR="005549DC" w:rsidRDefault="005549DC">
      <w:pPr>
        <w:spacing w:line="360" w:lineRule="exact"/>
      </w:pPr>
    </w:p>
    <w:p w:rsidR="005549DC" w:rsidRDefault="005549DC">
      <w:pPr>
        <w:spacing w:line="360" w:lineRule="exact"/>
      </w:pPr>
    </w:p>
    <w:p w:rsidR="005549DC" w:rsidRDefault="005549DC">
      <w:pPr>
        <w:spacing w:line="360" w:lineRule="exact"/>
      </w:pPr>
    </w:p>
    <w:p w:rsidR="005549DC" w:rsidRDefault="005549DC">
      <w:pPr>
        <w:spacing w:line="360" w:lineRule="exact"/>
      </w:pPr>
    </w:p>
    <w:p w:rsidR="005549DC" w:rsidRDefault="005549DC">
      <w:pPr>
        <w:spacing w:line="360" w:lineRule="exact"/>
      </w:pPr>
    </w:p>
    <w:p w:rsidR="005549DC" w:rsidRDefault="005549DC">
      <w:pPr>
        <w:spacing w:line="360" w:lineRule="exact"/>
      </w:pPr>
    </w:p>
    <w:p w:rsidR="005549DC" w:rsidRDefault="005549DC">
      <w:pPr>
        <w:spacing w:line="360" w:lineRule="exact"/>
      </w:pPr>
    </w:p>
    <w:p w:rsidR="005549DC" w:rsidRDefault="005549DC">
      <w:pPr>
        <w:spacing w:line="360" w:lineRule="exact"/>
      </w:pPr>
    </w:p>
    <w:p w:rsidR="005549DC" w:rsidRDefault="005549DC">
      <w:pPr>
        <w:spacing w:line="360" w:lineRule="exact"/>
      </w:pPr>
    </w:p>
    <w:p w:rsidR="005549DC" w:rsidRDefault="005549DC">
      <w:pPr>
        <w:spacing w:after="378" w:line="1" w:lineRule="exact"/>
      </w:pPr>
    </w:p>
    <w:p w:rsidR="005549DC" w:rsidRDefault="005549DC">
      <w:pPr>
        <w:spacing w:line="1" w:lineRule="exact"/>
        <w:sectPr w:rsidR="005549DC">
          <w:type w:val="continuous"/>
          <w:pgSz w:w="11900" w:h="16840"/>
          <w:pgMar w:top="1871" w:right="1260" w:bottom="374" w:left="1170"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422"/>
        <w:gridCol w:w="3581"/>
      </w:tblGrid>
      <w:tr w:rsidR="005549DC">
        <w:tblPrEx>
          <w:tblCellMar>
            <w:top w:w="0" w:type="dxa"/>
            <w:bottom w:w="0" w:type="dxa"/>
          </w:tblCellMar>
        </w:tblPrEx>
        <w:trPr>
          <w:trHeight w:hRule="exact" w:val="302"/>
          <w:jc w:val="center"/>
        </w:trPr>
        <w:tc>
          <w:tcPr>
            <w:tcW w:w="3422" w:type="dxa"/>
            <w:shd w:val="clear" w:color="auto" w:fill="auto"/>
          </w:tcPr>
          <w:p w:rsidR="005549DC" w:rsidRDefault="00020545">
            <w:pPr>
              <w:pStyle w:val="Jin0"/>
              <w:spacing w:line="240" w:lineRule="auto"/>
            </w:pPr>
            <w:r>
              <w:rPr>
                <w:rStyle w:val="Jin"/>
              </w:rPr>
              <w:lastRenderedPageBreak/>
              <w:t>Uzávěrka diferenciálu</w:t>
            </w:r>
          </w:p>
        </w:tc>
        <w:tc>
          <w:tcPr>
            <w:tcW w:w="3581" w:type="dxa"/>
            <w:shd w:val="clear" w:color="auto" w:fill="auto"/>
          </w:tcPr>
          <w:p w:rsidR="005549DC" w:rsidRDefault="00020545">
            <w:pPr>
              <w:pStyle w:val="Jin0"/>
              <w:spacing w:line="240" w:lineRule="auto"/>
              <w:ind w:firstLine="340"/>
            </w:pPr>
            <w:r>
              <w:rPr>
                <w:rStyle w:val="Jin"/>
              </w:rPr>
              <w:t>ANO</w:t>
            </w:r>
          </w:p>
        </w:tc>
      </w:tr>
      <w:tr w:rsidR="005549DC">
        <w:tblPrEx>
          <w:tblCellMar>
            <w:top w:w="0" w:type="dxa"/>
            <w:bottom w:w="0" w:type="dxa"/>
          </w:tblCellMar>
        </w:tblPrEx>
        <w:trPr>
          <w:trHeight w:hRule="exact" w:val="1718"/>
          <w:jc w:val="center"/>
        </w:trPr>
        <w:tc>
          <w:tcPr>
            <w:tcW w:w="3422" w:type="dxa"/>
            <w:shd w:val="clear" w:color="auto" w:fill="auto"/>
            <w:vAlign w:val="center"/>
          </w:tcPr>
          <w:p w:rsidR="005549DC" w:rsidRDefault="00020545">
            <w:pPr>
              <w:pStyle w:val="Jin0"/>
              <w:spacing w:after="120" w:line="240" w:lineRule="auto"/>
            </w:pPr>
            <w:r>
              <w:rPr>
                <w:rStyle w:val="Jin"/>
              </w:rPr>
              <w:t>Plastové blatníky</w:t>
            </w:r>
          </w:p>
          <w:p w:rsidR="005549DC" w:rsidRDefault="00020545">
            <w:pPr>
              <w:pStyle w:val="Jin0"/>
              <w:spacing w:after="120" w:line="240" w:lineRule="auto"/>
            </w:pPr>
            <w:r>
              <w:rPr>
                <w:rStyle w:val="Jin"/>
              </w:rPr>
              <w:t>Boční zábrany proti vklínění</w:t>
            </w:r>
          </w:p>
          <w:p w:rsidR="005549DC" w:rsidRDefault="00020545">
            <w:pPr>
              <w:pStyle w:val="Jin0"/>
              <w:spacing w:after="120" w:line="240" w:lineRule="auto"/>
            </w:pPr>
            <w:r>
              <w:rPr>
                <w:rStyle w:val="Jin"/>
              </w:rPr>
              <w:t>Závěs pro přívěs</w:t>
            </w:r>
          </w:p>
          <w:p w:rsidR="005549DC" w:rsidRDefault="00020545">
            <w:pPr>
              <w:pStyle w:val="Jin0"/>
              <w:spacing w:after="120" w:line="240" w:lineRule="auto"/>
            </w:pPr>
            <w:r>
              <w:rPr>
                <w:rStyle w:val="Jin"/>
              </w:rPr>
              <w:t xml:space="preserve">Nosič </w:t>
            </w:r>
            <w:r>
              <w:rPr>
                <w:rStyle w:val="Jin"/>
              </w:rPr>
              <w:t>kontejenrů Meiller RK 20.67</w:t>
            </w:r>
          </w:p>
        </w:tc>
        <w:tc>
          <w:tcPr>
            <w:tcW w:w="3581" w:type="dxa"/>
            <w:shd w:val="clear" w:color="auto" w:fill="auto"/>
            <w:vAlign w:val="bottom"/>
          </w:tcPr>
          <w:p w:rsidR="005549DC" w:rsidRDefault="00020545">
            <w:pPr>
              <w:pStyle w:val="Jin0"/>
              <w:spacing w:after="120" w:line="240" w:lineRule="auto"/>
              <w:ind w:firstLine="340"/>
            </w:pPr>
            <w:r>
              <w:rPr>
                <w:rStyle w:val="Jin"/>
              </w:rPr>
              <w:t>ANO</w:t>
            </w:r>
          </w:p>
          <w:p w:rsidR="005549DC" w:rsidRDefault="00020545">
            <w:pPr>
              <w:pStyle w:val="Jin0"/>
              <w:spacing w:after="120" w:line="240" w:lineRule="auto"/>
              <w:ind w:firstLine="340"/>
            </w:pPr>
            <w:r>
              <w:rPr>
                <w:rStyle w:val="Jin"/>
              </w:rPr>
              <w:t>ANO</w:t>
            </w:r>
          </w:p>
          <w:p w:rsidR="005549DC" w:rsidRDefault="00020545">
            <w:pPr>
              <w:pStyle w:val="Jin0"/>
              <w:spacing w:after="120" w:line="240" w:lineRule="auto"/>
              <w:ind w:firstLine="340"/>
            </w:pPr>
            <w:r>
              <w:rPr>
                <w:rStyle w:val="Jin"/>
              </w:rPr>
              <w:t>Průměr čepu 50 mm</w:t>
            </w:r>
          </w:p>
          <w:p w:rsidR="005549DC" w:rsidRDefault="00020545">
            <w:pPr>
              <w:pStyle w:val="Jin0"/>
              <w:spacing w:line="240" w:lineRule="auto"/>
              <w:ind w:firstLine="340"/>
            </w:pPr>
            <w:r>
              <w:rPr>
                <w:rStyle w:val="Jin"/>
              </w:rPr>
              <w:t>Pro kontejnery cca 5 250 - 6 750 mm</w:t>
            </w:r>
          </w:p>
          <w:p w:rsidR="005549DC" w:rsidRDefault="00020545">
            <w:pPr>
              <w:pStyle w:val="Jin0"/>
              <w:spacing w:after="120" w:line="240" w:lineRule="auto"/>
              <w:ind w:firstLine="340"/>
              <w:jc w:val="both"/>
            </w:pPr>
            <w:r>
              <w:rPr>
                <w:rStyle w:val="Jin"/>
              </w:rPr>
              <w:t>Kapacita zdvihu 20 000 kg</w:t>
            </w:r>
          </w:p>
        </w:tc>
      </w:tr>
    </w:tbl>
    <w:p w:rsidR="005549DC" w:rsidRDefault="005549DC">
      <w:pPr>
        <w:sectPr w:rsidR="005549DC">
          <w:pgSz w:w="11900" w:h="16840"/>
          <w:pgMar w:top="1984" w:right="3614" w:bottom="1624" w:left="1282" w:header="1556" w:footer="3" w:gutter="0"/>
          <w:cols w:space="720"/>
          <w:noEndnote/>
          <w:docGrid w:linePitch="360"/>
        </w:sectPr>
      </w:pPr>
    </w:p>
    <w:p w:rsidR="005549DC" w:rsidRDefault="00020545">
      <w:pPr>
        <w:pStyle w:val="Titulektabulky0"/>
        <w:ind w:left="134"/>
      </w:pPr>
      <w:bookmarkStart w:id="14" w:name="_GoBack"/>
      <w:bookmarkEnd w:id="14"/>
      <w:r>
        <w:rPr>
          <w:rStyle w:val="Titulektabulky"/>
        </w:rPr>
        <w:lastRenderedPageBreak/>
        <w:t>Příloha Č.l</w:t>
      </w:r>
    </w:p>
    <w:tbl>
      <w:tblPr>
        <w:tblOverlap w:val="never"/>
        <w:tblW w:w="0" w:type="auto"/>
        <w:jc w:val="center"/>
        <w:tblLayout w:type="fixed"/>
        <w:tblCellMar>
          <w:left w:w="10" w:type="dxa"/>
          <w:right w:w="10" w:type="dxa"/>
        </w:tblCellMar>
        <w:tblLook w:val="04A0" w:firstRow="1" w:lastRow="0" w:firstColumn="1" w:lastColumn="0" w:noHBand="0" w:noVBand="1"/>
      </w:tblPr>
      <w:tblGrid>
        <w:gridCol w:w="3830"/>
        <w:gridCol w:w="1906"/>
      </w:tblGrid>
      <w:tr w:rsidR="005549DC">
        <w:tblPrEx>
          <w:tblCellMar>
            <w:top w:w="0" w:type="dxa"/>
            <w:bottom w:w="0" w:type="dxa"/>
          </w:tblCellMar>
        </w:tblPrEx>
        <w:trPr>
          <w:trHeight w:hRule="exact" w:val="293"/>
          <w:jc w:val="center"/>
        </w:trPr>
        <w:tc>
          <w:tcPr>
            <w:tcW w:w="3830" w:type="dxa"/>
            <w:shd w:val="clear" w:color="auto" w:fill="auto"/>
          </w:tcPr>
          <w:p w:rsidR="005549DC" w:rsidRDefault="00020545">
            <w:pPr>
              <w:pStyle w:val="Jin0"/>
              <w:spacing w:line="240" w:lineRule="auto"/>
            </w:pPr>
            <w:r>
              <w:rPr>
                <w:rStyle w:val="Jin"/>
              </w:rPr>
              <w:t>Tovární značka</w:t>
            </w:r>
          </w:p>
        </w:tc>
        <w:tc>
          <w:tcPr>
            <w:tcW w:w="1906" w:type="dxa"/>
            <w:shd w:val="clear" w:color="auto" w:fill="auto"/>
          </w:tcPr>
          <w:p w:rsidR="005549DC" w:rsidRDefault="00020545">
            <w:pPr>
              <w:pStyle w:val="Jin0"/>
              <w:spacing w:line="240" w:lineRule="auto"/>
            </w:pPr>
            <w:r>
              <w:rPr>
                <w:rStyle w:val="Jin"/>
              </w:rPr>
              <w:t>MAN</w:t>
            </w:r>
          </w:p>
        </w:tc>
      </w:tr>
      <w:tr w:rsidR="005549DC">
        <w:tblPrEx>
          <w:tblCellMar>
            <w:top w:w="0" w:type="dxa"/>
            <w:bottom w:w="0" w:type="dxa"/>
          </w:tblCellMar>
        </w:tblPrEx>
        <w:trPr>
          <w:trHeight w:hRule="exact" w:val="389"/>
          <w:jc w:val="center"/>
        </w:trPr>
        <w:tc>
          <w:tcPr>
            <w:tcW w:w="3830" w:type="dxa"/>
            <w:shd w:val="clear" w:color="auto" w:fill="auto"/>
            <w:vAlign w:val="bottom"/>
          </w:tcPr>
          <w:p w:rsidR="005549DC" w:rsidRDefault="00020545">
            <w:pPr>
              <w:pStyle w:val="Jin0"/>
              <w:spacing w:line="240" w:lineRule="auto"/>
            </w:pPr>
            <w:r>
              <w:rPr>
                <w:rStyle w:val="Jin"/>
              </w:rPr>
              <w:t>Typ, označení</w:t>
            </w:r>
          </w:p>
        </w:tc>
        <w:tc>
          <w:tcPr>
            <w:tcW w:w="1906" w:type="dxa"/>
            <w:shd w:val="clear" w:color="auto" w:fill="auto"/>
            <w:vAlign w:val="bottom"/>
          </w:tcPr>
          <w:p w:rsidR="005549DC" w:rsidRDefault="00020545">
            <w:pPr>
              <w:pStyle w:val="Jin0"/>
              <w:spacing w:line="240" w:lineRule="auto"/>
            </w:pPr>
            <w:r>
              <w:rPr>
                <w:rStyle w:val="Jin"/>
              </w:rPr>
              <w:t>TGS 26.440 6x4 BB</w:t>
            </w:r>
          </w:p>
        </w:tc>
      </w:tr>
      <w:tr w:rsidR="005549DC">
        <w:tblPrEx>
          <w:tblCellMar>
            <w:top w:w="0" w:type="dxa"/>
            <w:bottom w:w="0" w:type="dxa"/>
          </w:tblCellMar>
        </w:tblPrEx>
        <w:trPr>
          <w:trHeight w:hRule="exact" w:val="389"/>
          <w:jc w:val="center"/>
        </w:trPr>
        <w:tc>
          <w:tcPr>
            <w:tcW w:w="3830" w:type="dxa"/>
            <w:shd w:val="clear" w:color="auto" w:fill="auto"/>
            <w:vAlign w:val="bottom"/>
          </w:tcPr>
          <w:p w:rsidR="005549DC" w:rsidRDefault="00020545">
            <w:pPr>
              <w:pStyle w:val="Jin0"/>
              <w:spacing w:line="240" w:lineRule="auto"/>
            </w:pPr>
            <w:r>
              <w:rPr>
                <w:rStyle w:val="Jin"/>
              </w:rPr>
              <w:t>Výkon motoru / PS</w:t>
            </w:r>
          </w:p>
        </w:tc>
        <w:tc>
          <w:tcPr>
            <w:tcW w:w="1906" w:type="dxa"/>
            <w:shd w:val="clear" w:color="auto" w:fill="auto"/>
            <w:vAlign w:val="bottom"/>
          </w:tcPr>
          <w:p w:rsidR="005549DC" w:rsidRDefault="00020545">
            <w:pPr>
              <w:pStyle w:val="Jin0"/>
              <w:spacing w:line="240" w:lineRule="auto"/>
            </w:pPr>
            <w:r>
              <w:rPr>
                <w:rStyle w:val="Jin"/>
              </w:rPr>
              <w:t>440</w:t>
            </w:r>
          </w:p>
        </w:tc>
      </w:tr>
      <w:tr w:rsidR="005549DC">
        <w:tblPrEx>
          <w:tblCellMar>
            <w:top w:w="0" w:type="dxa"/>
            <w:bottom w:w="0" w:type="dxa"/>
          </w:tblCellMar>
        </w:tblPrEx>
        <w:trPr>
          <w:trHeight w:hRule="exact" w:val="365"/>
          <w:jc w:val="center"/>
        </w:trPr>
        <w:tc>
          <w:tcPr>
            <w:tcW w:w="3830" w:type="dxa"/>
            <w:shd w:val="clear" w:color="auto" w:fill="auto"/>
          </w:tcPr>
          <w:p w:rsidR="005549DC" w:rsidRDefault="00020545">
            <w:pPr>
              <w:pStyle w:val="Jin0"/>
              <w:spacing w:line="240" w:lineRule="auto"/>
            </w:pPr>
            <w:r>
              <w:rPr>
                <w:rStyle w:val="Jin"/>
              </w:rPr>
              <w:t>EURO</w:t>
            </w:r>
          </w:p>
        </w:tc>
        <w:tc>
          <w:tcPr>
            <w:tcW w:w="1906" w:type="dxa"/>
            <w:shd w:val="clear" w:color="auto" w:fill="auto"/>
          </w:tcPr>
          <w:p w:rsidR="005549DC" w:rsidRDefault="00020545">
            <w:pPr>
              <w:pStyle w:val="Jin0"/>
              <w:spacing w:line="240" w:lineRule="auto"/>
            </w:pPr>
            <w:r>
              <w:rPr>
                <w:rStyle w:val="Jin"/>
              </w:rPr>
              <w:t>i VI</w:t>
            </w:r>
          </w:p>
        </w:tc>
      </w:tr>
      <w:tr w:rsidR="005549DC">
        <w:tblPrEx>
          <w:tblCellMar>
            <w:top w:w="0" w:type="dxa"/>
            <w:bottom w:w="0" w:type="dxa"/>
          </w:tblCellMar>
        </w:tblPrEx>
        <w:trPr>
          <w:trHeight w:hRule="exact" w:val="384"/>
          <w:jc w:val="center"/>
        </w:trPr>
        <w:tc>
          <w:tcPr>
            <w:tcW w:w="3830" w:type="dxa"/>
            <w:shd w:val="clear" w:color="auto" w:fill="auto"/>
            <w:vAlign w:val="center"/>
          </w:tcPr>
          <w:p w:rsidR="005549DC" w:rsidRDefault="00020545">
            <w:pPr>
              <w:pStyle w:val="Jin0"/>
              <w:spacing w:line="240" w:lineRule="auto"/>
            </w:pPr>
            <w:r>
              <w:rPr>
                <w:rStyle w:val="Jin"/>
              </w:rPr>
              <w:t>Pohon</w:t>
            </w:r>
          </w:p>
        </w:tc>
        <w:tc>
          <w:tcPr>
            <w:tcW w:w="1906" w:type="dxa"/>
            <w:shd w:val="clear" w:color="auto" w:fill="auto"/>
            <w:vAlign w:val="center"/>
          </w:tcPr>
          <w:p w:rsidR="005549DC" w:rsidRDefault="00020545">
            <w:pPr>
              <w:pStyle w:val="Jin0"/>
              <w:spacing w:line="240" w:lineRule="auto"/>
            </w:pPr>
            <w:r>
              <w:rPr>
                <w:rStyle w:val="Jin"/>
              </w:rPr>
              <w:t>6x4</w:t>
            </w:r>
          </w:p>
        </w:tc>
      </w:tr>
      <w:tr w:rsidR="005549DC">
        <w:tblPrEx>
          <w:tblCellMar>
            <w:top w:w="0" w:type="dxa"/>
            <w:bottom w:w="0" w:type="dxa"/>
          </w:tblCellMar>
        </w:tblPrEx>
        <w:trPr>
          <w:trHeight w:hRule="exact" w:val="379"/>
          <w:jc w:val="center"/>
        </w:trPr>
        <w:tc>
          <w:tcPr>
            <w:tcW w:w="3830" w:type="dxa"/>
            <w:shd w:val="clear" w:color="auto" w:fill="auto"/>
            <w:vAlign w:val="center"/>
          </w:tcPr>
          <w:p w:rsidR="005549DC" w:rsidRDefault="00020545">
            <w:pPr>
              <w:pStyle w:val="Jin0"/>
              <w:spacing w:line="240" w:lineRule="auto"/>
            </w:pPr>
            <w:r>
              <w:rPr>
                <w:rStyle w:val="Jin"/>
              </w:rPr>
              <w:t>Rozvor</w:t>
            </w:r>
          </w:p>
        </w:tc>
        <w:tc>
          <w:tcPr>
            <w:tcW w:w="1906" w:type="dxa"/>
            <w:shd w:val="clear" w:color="auto" w:fill="auto"/>
            <w:vAlign w:val="center"/>
          </w:tcPr>
          <w:p w:rsidR="005549DC" w:rsidRDefault="00020545">
            <w:pPr>
              <w:pStyle w:val="Jin0"/>
              <w:spacing w:line="240" w:lineRule="auto"/>
            </w:pPr>
            <w:r>
              <w:rPr>
                <w:rStyle w:val="Jin"/>
              </w:rPr>
              <w:t>4500</w:t>
            </w:r>
          </w:p>
        </w:tc>
      </w:tr>
      <w:tr w:rsidR="005549DC">
        <w:tblPrEx>
          <w:tblCellMar>
            <w:top w:w="0" w:type="dxa"/>
            <w:bottom w:w="0" w:type="dxa"/>
          </w:tblCellMar>
        </w:tblPrEx>
        <w:trPr>
          <w:trHeight w:hRule="exact" w:val="398"/>
          <w:jc w:val="center"/>
        </w:trPr>
        <w:tc>
          <w:tcPr>
            <w:tcW w:w="3830" w:type="dxa"/>
            <w:shd w:val="clear" w:color="auto" w:fill="auto"/>
            <w:vAlign w:val="center"/>
          </w:tcPr>
          <w:p w:rsidR="005549DC" w:rsidRDefault="00020545">
            <w:pPr>
              <w:pStyle w:val="Jin0"/>
              <w:spacing w:line="240" w:lineRule="auto"/>
            </w:pPr>
            <w:r>
              <w:rPr>
                <w:rStyle w:val="Jin"/>
              </w:rPr>
              <w:t>Přední náprava - odpružení</w:t>
            </w:r>
          </w:p>
        </w:tc>
        <w:tc>
          <w:tcPr>
            <w:tcW w:w="1906" w:type="dxa"/>
            <w:shd w:val="clear" w:color="auto" w:fill="auto"/>
            <w:vAlign w:val="center"/>
          </w:tcPr>
          <w:p w:rsidR="005549DC" w:rsidRDefault="00020545">
            <w:pPr>
              <w:pStyle w:val="Jin0"/>
              <w:spacing w:line="240" w:lineRule="auto"/>
            </w:pPr>
            <w:r>
              <w:rPr>
                <w:rStyle w:val="Jin"/>
              </w:rPr>
              <w:t>Péra</w:t>
            </w:r>
          </w:p>
        </w:tc>
      </w:tr>
      <w:tr w:rsidR="005549DC">
        <w:tblPrEx>
          <w:tblCellMar>
            <w:top w:w="0" w:type="dxa"/>
            <w:bottom w:w="0" w:type="dxa"/>
          </w:tblCellMar>
        </w:tblPrEx>
        <w:trPr>
          <w:trHeight w:hRule="exact" w:val="379"/>
          <w:jc w:val="center"/>
        </w:trPr>
        <w:tc>
          <w:tcPr>
            <w:tcW w:w="3830" w:type="dxa"/>
            <w:shd w:val="clear" w:color="auto" w:fill="auto"/>
          </w:tcPr>
          <w:p w:rsidR="005549DC" w:rsidRDefault="00020545">
            <w:pPr>
              <w:pStyle w:val="Jin0"/>
              <w:spacing w:line="240" w:lineRule="auto"/>
            </w:pPr>
            <w:r>
              <w:rPr>
                <w:rStyle w:val="Jin"/>
              </w:rPr>
              <w:t>Zadní náprava - odpružení</w:t>
            </w:r>
          </w:p>
        </w:tc>
        <w:tc>
          <w:tcPr>
            <w:tcW w:w="1906" w:type="dxa"/>
            <w:shd w:val="clear" w:color="auto" w:fill="auto"/>
          </w:tcPr>
          <w:p w:rsidR="005549DC" w:rsidRDefault="00020545">
            <w:pPr>
              <w:pStyle w:val="Jin0"/>
              <w:spacing w:line="240" w:lineRule="auto"/>
            </w:pPr>
            <w:r>
              <w:rPr>
                <w:rStyle w:val="Jin"/>
              </w:rPr>
              <w:t>Péra</w:t>
            </w:r>
          </w:p>
        </w:tc>
      </w:tr>
      <w:tr w:rsidR="005549DC">
        <w:tblPrEx>
          <w:tblCellMar>
            <w:top w:w="0" w:type="dxa"/>
            <w:bottom w:w="0" w:type="dxa"/>
          </w:tblCellMar>
        </w:tblPrEx>
        <w:trPr>
          <w:trHeight w:hRule="exact" w:val="365"/>
          <w:jc w:val="center"/>
        </w:trPr>
        <w:tc>
          <w:tcPr>
            <w:tcW w:w="3830" w:type="dxa"/>
            <w:shd w:val="clear" w:color="auto" w:fill="auto"/>
          </w:tcPr>
          <w:p w:rsidR="005549DC" w:rsidRDefault="00020545">
            <w:pPr>
              <w:pStyle w:val="Jin0"/>
              <w:spacing w:line="240" w:lineRule="auto"/>
            </w:pPr>
            <w:r>
              <w:rPr>
                <w:rStyle w:val="Jin"/>
              </w:rPr>
              <w:t>Rezervní kolo</w:t>
            </w:r>
          </w:p>
        </w:tc>
        <w:tc>
          <w:tcPr>
            <w:tcW w:w="1906" w:type="dxa"/>
            <w:shd w:val="clear" w:color="auto" w:fill="auto"/>
          </w:tcPr>
          <w:p w:rsidR="005549DC" w:rsidRDefault="00020545">
            <w:pPr>
              <w:pStyle w:val="Jin0"/>
              <w:spacing w:line="240" w:lineRule="auto"/>
            </w:pPr>
            <w:r>
              <w:rPr>
                <w:rStyle w:val="Jin"/>
              </w:rPr>
              <w:t>ANO</w:t>
            </w:r>
          </w:p>
        </w:tc>
      </w:tr>
      <w:tr w:rsidR="005549DC">
        <w:tblPrEx>
          <w:tblCellMar>
            <w:top w:w="0" w:type="dxa"/>
            <w:bottom w:w="0" w:type="dxa"/>
          </w:tblCellMar>
        </w:tblPrEx>
        <w:trPr>
          <w:trHeight w:hRule="exact" w:val="384"/>
          <w:jc w:val="center"/>
        </w:trPr>
        <w:tc>
          <w:tcPr>
            <w:tcW w:w="3830" w:type="dxa"/>
            <w:shd w:val="clear" w:color="auto" w:fill="auto"/>
            <w:vAlign w:val="bottom"/>
          </w:tcPr>
          <w:p w:rsidR="005549DC" w:rsidRDefault="00020545">
            <w:pPr>
              <w:pStyle w:val="Jin0"/>
              <w:spacing w:line="132" w:lineRule="auto"/>
              <w:ind w:firstLine="140"/>
              <w:rPr>
                <w:sz w:val="14"/>
                <w:szCs w:val="14"/>
              </w:rPr>
            </w:pPr>
            <w:r>
              <w:rPr>
                <w:rStyle w:val="Jin"/>
              </w:rPr>
              <w:t xml:space="preserve">Zakládací klín </w:t>
            </w:r>
            <w:r>
              <w:rPr>
                <w:rStyle w:val="Jin"/>
                <w:sz w:val="14"/>
                <w:szCs w:val="14"/>
              </w:rPr>
              <w:t>i</w:t>
            </w:r>
          </w:p>
        </w:tc>
        <w:tc>
          <w:tcPr>
            <w:tcW w:w="1906" w:type="dxa"/>
            <w:shd w:val="clear" w:color="auto" w:fill="auto"/>
            <w:vAlign w:val="center"/>
          </w:tcPr>
          <w:p w:rsidR="005549DC" w:rsidRDefault="00020545">
            <w:pPr>
              <w:pStyle w:val="Jin0"/>
              <w:spacing w:line="240" w:lineRule="auto"/>
            </w:pPr>
            <w:r>
              <w:rPr>
                <w:rStyle w:val="Jin"/>
              </w:rPr>
              <w:t>2x</w:t>
            </w:r>
          </w:p>
        </w:tc>
      </w:tr>
      <w:tr w:rsidR="005549DC">
        <w:tblPrEx>
          <w:tblCellMar>
            <w:top w:w="0" w:type="dxa"/>
            <w:bottom w:w="0" w:type="dxa"/>
          </w:tblCellMar>
        </w:tblPrEx>
        <w:trPr>
          <w:trHeight w:hRule="exact" w:val="384"/>
          <w:jc w:val="center"/>
        </w:trPr>
        <w:tc>
          <w:tcPr>
            <w:tcW w:w="3830" w:type="dxa"/>
            <w:shd w:val="clear" w:color="auto" w:fill="auto"/>
            <w:vAlign w:val="bottom"/>
          </w:tcPr>
          <w:p w:rsidR="005549DC" w:rsidRDefault="00020545">
            <w:pPr>
              <w:pStyle w:val="Jin0"/>
              <w:spacing w:line="240" w:lineRule="auto"/>
            </w:pPr>
            <w:r>
              <w:rPr>
                <w:rStyle w:val="Jin"/>
              </w:rPr>
              <w:t>Držák klínu</w:t>
            </w:r>
          </w:p>
          <w:p w:rsidR="005549DC" w:rsidRDefault="00020545">
            <w:pPr>
              <w:pStyle w:val="Jin0"/>
              <w:spacing w:line="180" w:lineRule="auto"/>
              <w:rPr>
                <w:sz w:val="16"/>
                <w:szCs w:val="16"/>
              </w:rPr>
            </w:pPr>
            <w:r>
              <w:rPr>
                <w:rStyle w:val="Jin"/>
                <w:sz w:val="16"/>
                <w:szCs w:val="16"/>
              </w:rPr>
              <w:t>1</w:t>
            </w:r>
          </w:p>
        </w:tc>
        <w:tc>
          <w:tcPr>
            <w:tcW w:w="1906" w:type="dxa"/>
            <w:shd w:val="clear" w:color="auto" w:fill="auto"/>
            <w:vAlign w:val="center"/>
          </w:tcPr>
          <w:p w:rsidR="005549DC" w:rsidRDefault="00020545">
            <w:pPr>
              <w:pStyle w:val="Jin0"/>
              <w:spacing w:line="240" w:lineRule="auto"/>
            </w:pPr>
            <w:r>
              <w:rPr>
                <w:rStyle w:val="Jin"/>
              </w:rPr>
              <w:t>2x</w:t>
            </w:r>
          </w:p>
        </w:tc>
      </w:tr>
      <w:tr w:rsidR="005549DC">
        <w:tblPrEx>
          <w:tblCellMar>
            <w:top w:w="0" w:type="dxa"/>
            <w:bottom w:w="0" w:type="dxa"/>
          </w:tblCellMar>
        </w:tblPrEx>
        <w:trPr>
          <w:trHeight w:hRule="exact" w:val="408"/>
          <w:jc w:val="center"/>
        </w:trPr>
        <w:tc>
          <w:tcPr>
            <w:tcW w:w="3830" w:type="dxa"/>
            <w:shd w:val="clear" w:color="auto" w:fill="auto"/>
          </w:tcPr>
          <w:p w:rsidR="005549DC" w:rsidRDefault="00020545">
            <w:pPr>
              <w:pStyle w:val="Jin0"/>
              <w:spacing w:line="240" w:lineRule="auto"/>
              <w:rPr>
                <w:sz w:val="14"/>
                <w:szCs w:val="14"/>
              </w:rPr>
            </w:pPr>
            <w:r>
              <w:rPr>
                <w:rStyle w:val="Jin"/>
                <w:sz w:val="14"/>
                <w:szCs w:val="14"/>
              </w:rPr>
              <w:t>f</w:t>
            </w:r>
          </w:p>
          <w:p w:rsidR="005549DC" w:rsidRDefault="00020545">
            <w:pPr>
              <w:pStyle w:val="Jin0"/>
              <w:spacing w:line="218" w:lineRule="auto"/>
            </w:pPr>
            <w:r>
              <w:rPr>
                <w:rStyle w:val="Jin"/>
              </w:rPr>
              <w:t>Nejvyšší technicky přípustná hmotnost</w:t>
            </w:r>
          </w:p>
        </w:tc>
        <w:tc>
          <w:tcPr>
            <w:tcW w:w="1906" w:type="dxa"/>
            <w:shd w:val="clear" w:color="auto" w:fill="auto"/>
            <w:vAlign w:val="center"/>
          </w:tcPr>
          <w:p w:rsidR="005549DC" w:rsidRDefault="00020545">
            <w:pPr>
              <w:pStyle w:val="Jin0"/>
              <w:spacing w:line="240" w:lineRule="auto"/>
            </w:pPr>
            <w:r>
              <w:rPr>
                <w:rStyle w:val="Jin"/>
              </w:rPr>
              <w:t>28000 kg</w:t>
            </w:r>
          </w:p>
        </w:tc>
      </w:tr>
      <w:tr w:rsidR="005549DC">
        <w:tblPrEx>
          <w:tblCellMar>
            <w:top w:w="0" w:type="dxa"/>
            <w:bottom w:w="0" w:type="dxa"/>
          </w:tblCellMar>
        </w:tblPrEx>
        <w:trPr>
          <w:trHeight w:hRule="exact" w:val="370"/>
          <w:jc w:val="center"/>
        </w:trPr>
        <w:tc>
          <w:tcPr>
            <w:tcW w:w="3830" w:type="dxa"/>
            <w:shd w:val="clear" w:color="auto" w:fill="auto"/>
          </w:tcPr>
          <w:p w:rsidR="005549DC" w:rsidRDefault="00020545">
            <w:pPr>
              <w:pStyle w:val="Jin0"/>
              <w:spacing w:line="240" w:lineRule="auto"/>
            </w:pPr>
            <w:r>
              <w:rPr>
                <w:rStyle w:val="Jin"/>
              </w:rPr>
              <w:t>Nejvyšší těch, přípustná hm. soupravy</w:t>
            </w:r>
          </w:p>
        </w:tc>
        <w:tc>
          <w:tcPr>
            <w:tcW w:w="1906" w:type="dxa"/>
            <w:shd w:val="clear" w:color="auto" w:fill="auto"/>
          </w:tcPr>
          <w:p w:rsidR="005549DC" w:rsidRDefault="00020545">
            <w:pPr>
              <w:pStyle w:val="Jin0"/>
              <w:spacing w:line="240" w:lineRule="auto"/>
            </w:pPr>
            <w:r>
              <w:rPr>
                <w:rStyle w:val="Jin"/>
              </w:rPr>
              <w:t>44000 kg</w:t>
            </w:r>
          </w:p>
        </w:tc>
      </w:tr>
      <w:tr w:rsidR="005549DC">
        <w:tblPrEx>
          <w:tblCellMar>
            <w:top w:w="0" w:type="dxa"/>
            <w:bottom w:w="0" w:type="dxa"/>
          </w:tblCellMar>
        </w:tblPrEx>
        <w:trPr>
          <w:trHeight w:hRule="exact" w:val="374"/>
          <w:jc w:val="center"/>
        </w:trPr>
        <w:tc>
          <w:tcPr>
            <w:tcW w:w="3830" w:type="dxa"/>
            <w:shd w:val="clear" w:color="auto" w:fill="auto"/>
          </w:tcPr>
          <w:p w:rsidR="005549DC" w:rsidRDefault="00020545">
            <w:pPr>
              <w:pStyle w:val="Jin0"/>
              <w:spacing w:line="240" w:lineRule="auto"/>
            </w:pPr>
            <w:r>
              <w:rPr>
                <w:rStyle w:val="Jin"/>
              </w:rPr>
              <w:t>Tachograf</w:t>
            </w:r>
          </w:p>
        </w:tc>
        <w:tc>
          <w:tcPr>
            <w:tcW w:w="1906" w:type="dxa"/>
            <w:shd w:val="clear" w:color="auto" w:fill="auto"/>
          </w:tcPr>
          <w:p w:rsidR="005549DC" w:rsidRDefault="00020545">
            <w:pPr>
              <w:pStyle w:val="Jin0"/>
              <w:spacing w:line="240" w:lineRule="auto"/>
            </w:pPr>
            <w:r>
              <w:rPr>
                <w:rStyle w:val="Jin"/>
              </w:rPr>
              <w:t>digitální</w:t>
            </w:r>
          </w:p>
        </w:tc>
      </w:tr>
      <w:tr w:rsidR="005549DC">
        <w:tblPrEx>
          <w:tblCellMar>
            <w:top w:w="0" w:type="dxa"/>
            <w:bottom w:w="0" w:type="dxa"/>
          </w:tblCellMar>
        </w:tblPrEx>
        <w:trPr>
          <w:trHeight w:hRule="exact" w:val="360"/>
          <w:jc w:val="center"/>
        </w:trPr>
        <w:tc>
          <w:tcPr>
            <w:tcW w:w="3830" w:type="dxa"/>
            <w:shd w:val="clear" w:color="auto" w:fill="auto"/>
          </w:tcPr>
          <w:p w:rsidR="005549DC" w:rsidRDefault="00020545">
            <w:pPr>
              <w:pStyle w:val="Jin0"/>
              <w:spacing w:line="240" w:lineRule="auto"/>
            </w:pPr>
            <w:r>
              <w:rPr>
                <w:rStyle w:val="Jin"/>
              </w:rPr>
              <w:t>ABS</w:t>
            </w:r>
          </w:p>
        </w:tc>
        <w:tc>
          <w:tcPr>
            <w:tcW w:w="1906" w:type="dxa"/>
            <w:shd w:val="clear" w:color="auto" w:fill="auto"/>
          </w:tcPr>
          <w:p w:rsidR="005549DC" w:rsidRDefault="00020545">
            <w:pPr>
              <w:pStyle w:val="Jin0"/>
              <w:spacing w:line="240" w:lineRule="auto"/>
            </w:pPr>
            <w:r>
              <w:rPr>
                <w:rStyle w:val="Jin"/>
              </w:rPr>
              <w:t>ANO</w:t>
            </w:r>
          </w:p>
        </w:tc>
      </w:tr>
      <w:tr w:rsidR="005549DC">
        <w:tblPrEx>
          <w:tblCellMar>
            <w:top w:w="0" w:type="dxa"/>
            <w:bottom w:w="0" w:type="dxa"/>
          </w:tblCellMar>
        </w:tblPrEx>
        <w:trPr>
          <w:trHeight w:hRule="exact" w:val="384"/>
          <w:jc w:val="center"/>
        </w:trPr>
        <w:tc>
          <w:tcPr>
            <w:tcW w:w="3830" w:type="dxa"/>
            <w:shd w:val="clear" w:color="auto" w:fill="auto"/>
            <w:vAlign w:val="bottom"/>
          </w:tcPr>
          <w:p w:rsidR="005549DC" w:rsidRDefault="00020545">
            <w:pPr>
              <w:pStyle w:val="Jin0"/>
              <w:spacing w:line="240" w:lineRule="auto"/>
            </w:pPr>
            <w:r>
              <w:rPr>
                <w:rStyle w:val="Jin"/>
              </w:rPr>
              <w:t>! Převodovka</w:t>
            </w:r>
          </w:p>
        </w:tc>
        <w:tc>
          <w:tcPr>
            <w:tcW w:w="1906" w:type="dxa"/>
            <w:shd w:val="clear" w:color="auto" w:fill="auto"/>
            <w:vAlign w:val="bottom"/>
          </w:tcPr>
          <w:p w:rsidR="005549DC" w:rsidRDefault="00020545">
            <w:pPr>
              <w:pStyle w:val="Jin0"/>
              <w:spacing w:line="240" w:lineRule="auto"/>
            </w:pPr>
            <w:r>
              <w:rPr>
                <w:rStyle w:val="Jin"/>
              </w:rPr>
              <w:t>manuální</w:t>
            </w:r>
          </w:p>
        </w:tc>
      </w:tr>
      <w:tr w:rsidR="005549DC">
        <w:tblPrEx>
          <w:tblCellMar>
            <w:top w:w="0" w:type="dxa"/>
            <w:bottom w:w="0" w:type="dxa"/>
          </w:tblCellMar>
        </w:tblPrEx>
        <w:trPr>
          <w:trHeight w:hRule="exact" w:val="379"/>
          <w:jc w:val="center"/>
        </w:trPr>
        <w:tc>
          <w:tcPr>
            <w:tcW w:w="3830" w:type="dxa"/>
            <w:shd w:val="clear" w:color="auto" w:fill="auto"/>
          </w:tcPr>
          <w:p w:rsidR="005549DC" w:rsidRDefault="00020545">
            <w:pPr>
              <w:pStyle w:val="Jin0"/>
              <w:spacing w:before="80" w:line="240" w:lineRule="auto"/>
            </w:pPr>
            <w:r>
              <w:rPr>
                <w:rStyle w:val="Jin"/>
              </w:rPr>
              <w:t>PTO</w:t>
            </w:r>
          </w:p>
        </w:tc>
        <w:tc>
          <w:tcPr>
            <w:tcW w:w="1906" w:type="dxa"/>
            <w:shd w:val="clear" w:color="auto" w:fill="auto"/>
          </w:tcPr>
          <w:p w:rsidR="005549DC" w:rsidRDefault="00020545">
            <w:pPr>
              <w:pStyle w:val="Jin0"/>
              <w:spacing w:line="240" w:lineRule="auto"/>
            </w:pPr>
            <w:r>
              <w:rPr>
                <w:rStyle w:val="Jin"/>
              </w:rPr>
              <w:t>ANO</w:t>
            </w:r>
          </w:p>
        </w:tc>
      </w:tr>
      <w:tr w:rsidR="005549DC">
        <w:tblPrEx>
          <w:tblCellMar>
            <w:top w:w="0" w:type="dxa"/>
            <w:bottom w:w="0" w:type="dxa"/>
          </w:tblCellMar>
        </w:tblPrEx>
        <w:trPr>
          <w:trHeight w:hRule="exact" w:val="394"/>
          <w:jc w:val="center"/>
        </w:trPr>
        <w:tc>
          <w:tcPr>
            <w:tcW w:w="3830" w:type="dxa"/>
            <w:shd w:val="clear" w:color="auto" w:fill="auto"/>
            <w:vAlign w:val="bottom"/>
          </w:tcPr>
          <w:p w:rsidR="005549DC" w:rsidRDefault="00020545">
            <w:pPr>
              <w:pStyle w:val="Jin0"/>
              <w:spacing w:line="240" w:lineRule="auto"/>
            </w:pPr>
            <w:r>
              <w:rPr>
                <w:rStyle w:val="Jin"/>
                <w:sz w:val="16"/>
                <w:szCs w:val="16"/>
              </w:rPr>
              <w:t xml:space="preserve">i </w:t>
            </w:r>
            <w:r>
              <w:rPr>
                <w:rStyle w:val="Jin"/>
              </w:rPr>
              <w:t>Barva kabiny</w:t>
            </w:r>
          </w:p>
        </w:tc>
        <w:tc>
          <w:tcPr>
            <w:tcW w:w="1906" w:type="dxa"/>
            <w:shd w:val="clear" w:color="auto" w:fill="auto"/>
            <w:vAlign w:val="bottom"/>
          </w:tcPr>
          <w:p w:rsidR="005549DC" w:rsidRDefault="00020545">
            <w:pPr>
              <w:pStyle w:val="Jin0"/>
              <w:spacing w:line="240" w:lineRule="auto"/>
            </w:pPr>
            <w:r>
              <w:rPr>
                <w:rStyle w:val="Jin"/>
              </w:rPr>
              <w:t>bílá</w:t>
            </w:r>
          </w:p>
        </w:tc>
      </w:tr>
      <w:tr w:rsidR="005549DC">
        <w:tblPrEx>
          <w:tblCellMar>
            <w:top w:w="0" w:type="dxa"/>
            <w:bottom w:w="0" w:type="dxa"/>
          </w:tblCellMar>
        </w:tblPrEx>
        <w:trPr>
          <w:trHeight w:hRule="exact" w:val="370"/>
          <w:jc w:val="center"/>
        </w:trPr>
        <w:tc>
          <w:tcPr>
            <w:tcW w:w="3830" w:type="dxa"/>
            <w:shd w:val="clear" w:color="auto" w:fill="auto"/>
          </w:tcPr>
          <w:p w:rsidR="005549DC" w:rsidRDefault="00020545">
            <w:pPr>
              <w:pStyle w:val="Jin0"/>
              <w:spacing w:line="240" w:lineRule="auto"/>
            </w:pPr>
            <w:r>
              <w:rPr>
                <w:rStyle w:val="Jin"/>
              </w:rPr>
              <w:t>Kabina krátká</w:t>
            </w:r>
          </w:p>
        </w:tc>
        <w:tc>
          <w:tcPr>
            <w:tcW w:w="1906" w:type="dxa"/>
            <w:shd w:val="clear" w:color="auto" w:fill="auto"/>
          </w:tcPr>
          <w:p w:rsidR="005549DC" w:rsidRDefault="00020545">
            <w:pPr>
              <w:pStyle w:val="Jin0"/>
              <w:spacing w:line="240" w:lineRule="auto"/>
            </w:pPr>
            <w:r>
              <w:rPr>
                <w:rStyle w:val="Jin"/>
              </w:rPr>
              <w:t>ANO</w:t>
            </w:r>
          </w:p>
        </w:tc>
      </w:tr>
      <w:tr w:rsidR="005549DC">
        <w:tblPrEx>
          <w:tblCellMar>
            <w:top w:w="0" w:type="dxa"/>
            <w:bottom w:w="0" w:type="dxa"/>
          </w:tblCellMar>
        </w:tblPrEx>
        <w:trPr>
          <w:trHeight w:hRule="exact" w:val="389"/>
          <w:jc w:val="center"/>
        </w:trPr>
        <w:tc>
          <w:tcPr>
            <w:tcW w:w="3830" w:type="dxa"/>
            <w:shd w:val="clear" w:color="auto" w:fill="auto"/>
            <w:vAlign w:val="center"/>
          </w:tcPr>
          <w:p w:rsidR="005549DC" w:rsidRDefault="00020545">
            <w:pPr>
              <w:pStyle w:val="Jin0"/>
              <w:spacing w:line="240" w:lineRule="auto"/>
            </w:pPr>
            <w:r>
              <w:rPr>
                <w:rStyle w:val="Jin"/>
              </w:rPr>
              <w:t>Sluneční clona</w:t>
            </w:r>
          </w:p>
        </w:tc>
        <w:tc>
          <w:tcPr>
            <w:tcW w:w="1906" w:type="dxa"/>
            <w:shd w:val="clear" w:color="auto" w:fill="auto"/>
            <w:vAlign w:val="center"/>
          </w:tcPr>
          <w:p w:rsidR="005549DC" w:rsidRDefault="00020545">
            <w:pPr>
              <w:pStyle w:val="Jin0"/>
              <w:spacing w:line="240" w:lineRule="auto"/>
            </w:pPr>
            <w:r>
              <w:rPr>
                <w:rStyle w:val="Jin"/>
              </w:rPr>
              <w:t>ANO</w:t>
            </w:r>
          </w:p>
        </w:tc>
      </w:tr>
      <w:tr w:rsidR="005549DC">
        <w:tblPrEx>
          <w:tblCellMar>
            <w:top w:w="0" w:type="dxa"/>
            <w:bottom w:w="0" w:type="dxa"/>
          </w:tblCellMar>
        </w:tblPrEx>
        <w:trPr>
          <w:trHeight w:hRule="exact" w:val="384"/>
          <w:jc w:val="center"/>
        </w:trPr>
        <w:tc>
          <w:tcPr>
            <w:tcW w:w="3830" w:type="dxa"/>
            <w:shd w:val="clear" w:color="auto" w:fill="auto"/>
            <w:vAlign w:val="center"/>
          </w:tcPr>
          <w:p w:rsidR="005549DC" w:rsidRDefault="00020545">
            <w:pPr>
              <w:pStyle w:val="Jin0"/>
              <w:spacing w:line="240" w:lineRule="auto"/>
            </w:pPr>
            <w:r>
              <w:rPr>
                <w:rStyle w:val="Jin"/>
              </w:rPr>
              <w:t>Počet míst k sezení</w:t>
            </w:r>
          </w:p>
        </w:tc>
        <w:tc>
          <w:tcPr>
            <w:tcW w:w="1906" w:type="dxa"/>
            <w:shd w:val="clear" w:color="auto" w:fill="auto"/>
            <w:vAlign w:val="center"/>
          </w:tcPr>
          <w:p w:rsidR="005549DC" w:rsidRDefault="00020545">
            <w:pPr>
              <w:pStyle w:val="Jin0"/>
              <w:spacing w:line="240" w:lineRule="auto"/>
            </w:pPr>
            <w:r>
              <w:rPr>
                <w:rStyle w:val="Jin"/>
              </w:rPr>
              <w:t>2</w:t>
            </w:r>
          </w:p>
        </w:tc>
      </w:tr>
      <w:tr w:rsidR="005549DC">
        <w:tblPrEx>
          <w:tblCellMar>
            <w:top w:w="0" w:type="dxa"/>
            <w:bottom w:w="0" w:type="dxa"/>
          </w:tblCellMar>
        </w:tblPrEx>
        <w:trPr>
          <w:trHeight w:hRule="exact" w:val="403"/>
          <w:jc w:val="center"/>
        </w:trPr>
        <w:tc>
          <w:tcPr>
            <w:tcW w:w="3830" w:type="dxa"/>
            <w:shd w:val="clear" w:color="auto" w:fill="auto"/>
            <w:vAlign w:val="center"/>
          </w:tcPr>
          <w:p w:rsidR="005549DC" w:rsidRDefault="00020545">
            <w:pPr>
              <w:pStyle w:val="Jin0"/>
              <w:spacing w:line="240" w:lineRule="auto"/>
            </w:pPr>
            <w:r>
              <w:rPr>
                <w:rStyle w:val="Jin"/>
              </w:rPr>
              <w:t>Tempomat</w:t>
            </w:r>
          </w:p>
        </w:tc>
        <w:tc>
          <w:tcPr>
            <w:tcW w:w="1906" w:type="dxa"/>
            <w:shd w:val="clear" w:color="auto" w:fill="auto"/>
            <w:vAlign w:val="center"/>
          </w:tcPr>
          <w:p w:rsidR="005549DC" w:rsidRDefault="00020545">
            <w:pPr>
              <w:pStyle w:val="Jin0"/>
              <w:spacing w:line="240" w:lineRule="auto"/>
            </w:pPr>
            <w:r>
              <w:rPr>
                <w:rStyle w:val="Jin"/>
              </w:rPr>
              <w:t>ANO</w:t>
            </w:r>
          </w:p>
        </w:tc>
      </w:tr>
      <w:tr w:rsidR="005549DC">
        <w:tblPrEx>
          <w:tblCellMar>
            <w:top w:w="0" w:type="dxa"/>
            <w:bottom w:w="0" w:type="dxa"/>
          </w:tblCellMar>
        </w:tblPrEx>
        <w:trPr>
          <w:trHeight w:hRule="exact" w:val="360"/>
          <w:jc w:val="center"/>
        </w:trPr>
        <w:tc>
          <w:tcPr>
            <w:tcW w:w="3830" w:type="dxa"/>
            <w:shd w:val="clear" w:color="auto" w:fill="auto"/>
          </w:tcPr>
          <w:p w:rsidR="005549DC" w:rsidRDefault="00020545">
            <w:pPr>
              <w:pStyle w:val="Jin0"/>
              <w:spacing w:line="240" w:lineRule="auto"/>
            </w:pPr>
            <w:r>
              <w:rPr>
                <w:rStyle w:val="Jin"/>
              </w:rPr>
              <w:t>Klimatizace</w:t>
            </w:r>
          </w:p>
        </w:tc>
        <w:tc>
          <w:tcPr>
            <w:tcW w:w="1906" w:type="dxa"/>
            <w:shd w:val="clear" w:color="auto" w:fill="auto"/>
          </w:tcPr>
          <w:p w:rsidR="005549DC" w:rsidRDefault="00020545">
            <w:pPr>
              <w:pStyle w:val="Jin0"/>
              <w:spacing w:line="240" w:lineRule="auto"/>
            </w:pPr>
            <w:r>
              <w:rPr>
                <w:rStyle w:val="Jin"/>
              </w:rPr>
              <w:t>ANO</w:t>
            </w:r>
          </w:p>
        </w:tc>
      </w:tr>
      <w:tr w:rsidR="005549DC">
        <w:tblPrEx>
          <w:tblCellMar>
            <w:top w:w="0" w:type="dxa"/>
            <w:bottom w:w="0" w:type="dxa"/>
          </w:tblCellMar>
        </w:tblPrEx>
        <w:trPr>
          <w:trHeight w:hRule="exact" w:val="379"/>
          <w:jc w:val="center"/>
        </w:trPr>
        <w:tc>
          <w:tcPr>
            <w:tcW w:w="3830" w:type="dxa"/>
            <w:shd w:val="clear" w:color="auto" w:fill="auto"/>
          </w:tcPr>
          <w:p w:rsidR="005549DC" w:rsidRDefault="00020545">
            <w:pPr>
              <w:pStyle w:val="Jin0"/>
              <w:spacing w:line="240" w:lineRule="auto"/>
            </w:pPr>
            <w:r>
              <w:rPr>
                <w:rStyle w:val="Jin"/>
              </w:rPr>
              <w:t>Elektrická okna</w:t>
            </w:r>
          </w:p>
        </w:tc>
        <w:tc>
          <w:tcPr>
            <w:tcW w:w="1906" w:type="dxa"/>
            <w:shd w:val="clear" w:color="auto" w:fill="auto"/>
          </w:tcPr>
          <w:p w:rsidR="005549DC" w:rsidRDefault="00020545">
            <w:pPr>
              <w:pStyle w:val="Jin0"/>
              <w:spacing w:line="240" w:lineRule="auto"/>
            </w:pPr>
            <w:r>
              <w:rPr>
                <w:rStyle w:val="Jin"/>
              </w:rPr>
              <w:t>ANO</w:t>
            </w:r>
          </w:p>
        </w:tc>
      </w:tr>
      <w:tr w:rsidR="005549DC">
        <w:tblPrEx>
          <w:tblCellMar>
            <w:top w:w="0" w:type="dxa"/>
            <w:bottom w:w="0" w:type="dxa"/>
          </w:tblCellMar>
        </w:tblPrEx>
        <w:trPr>
          <w:trHeight w:hRule="exact" w:val="394"/>
          <w:jc w:val="center"/>
        </w:trPr>
        <w:tc>
          <w:tcPr>
            <w:tcW w:w="3830" w:type="dxa"/>
            <w:shd w:val="clear" w:color="auto" w:fill="auto"/>
            <w:vAlign w:val="bottom"/>
          </w:tcPr>
          <w:p w:rsidR="005549DC" w:rsidRDefault="00020545">
            <w:pPr>
              <w:pStyle w:val="Jin0"/>
              <w:spacing w:line="240" w:lineRule="auto"/>
            </w:pPr>
            <w:r>
              <w:rPr>
                <w:rStyle w:val="Jin"/>
              </w:rPr>
              <w:t xml:space="preserve">Elektricky </w:t>
            </w:r>
            <w:r>
              <w:rPr>
                <w:rStyle w:val="Jin"/>
              </w:rPr>
              <w:t>nastavitelná zrcátka</w:t>
            </w:r>
          </w:p>
        </w:tc>
        <w:tc>
          <w:tcPr>
            <w:tcW w:w="1906" w:type="dxa"/>
            <w:shd w:val="clear" w:color="auto" w:fill="auto"/>
            <w:vAlign w:val="bottom"/>
          </w:tcPr>
          <w:p w:rsidR="005549DC" w:rsidRDefault="00020545">
            <w:pPr>
              <w:pStyle w:val="Jin0"/>
              <w:spacing w:line="240" w:lineRule="auto"/>
            </w:pPr>
            <w:r>
              <w:rPr>
                <w:rStyle w:val="Jin"/>
              </w:rPr>
              <w:t>ANO</w:t>
            </w:r>
          </w:p>
        </w:tc>
      </w:tr>
      <w:tr w:rsidR="005549DC">
        <w:tblPrEx>
          <w:tblCellMar>
            <w:top w:w="0" w:type="dxa"/>
            <w:bottom w:w="0" w:type="dxa"/>
          </w:tblCellMar>
        </w:tblPrEx>
        <w:trPr>
          <w:trHeight w:hRule="exact" w:val="394"/>
          <w:jc w:val="center"/>
        </w:trPr>
        <w:tc>
          <w:tcPr>
            <w:tcW w:w="3830" w:type="dxa"/>
            <w:shd w:val="clear" w:color="auto" w:fill="auto"/>
          </w:tcPr>
          <w:p w:rsidR="005549DC" w:rsidRDefault="00020545">
            <w:pPr>
              <w:pStyle w:val="Jin0"/>
              <w:spacing w:line="240" w:lineRule="auto"/>
            </w:pPr>
            <w:r>
              <w:rPr>
                <w:rStyle w:val="Jin"/>
              </w:rPr>
              <w:t>Vyhřívaná zrcátka</w:t>
            </w:r>
          </w:p>
        </w:tc>
        <w:tc>
          <w:tcPr>
            <w:tcW w:w="1906" w:type="dxa"/>
            <w:shd w:val="clear" w:color="auto" w:fill="auto"/>
          </w:tcPr>
          <w:p w:rsidR="005549DC" w:rsidRDefault="00020545">
            <w:pPr>
              <w:pStyle w:val="Jin0"/>
              <w:spacing w:line="240" w:lineRule="auto"/>
            </w:pPr>
            <w:r>
              <w:rPr>
                <w:rStyle w:val="Jin"/>
              </w:rPr>
              <w:t>ANO</w:t>
            </w:r>
          </w:p>
        </w:tc>
      </w:tr>
      <w:tr w:rsidR="005549DC">
        <w:tblPrEx>
          <w:tblCellMar>
            <w:top w:w="0" w:type="dxa"/>
            <w:bottom w:w="0" w:type="dxa"/>
          </w:tblCellMar>
        </w:tblPrEx>
        <w:trPr>
          <w:trHeight w:hRule="exact" w:val="370"/>
          <w:jc w:val="center"/>
        </w:trPr>
        <w:tc>
          <w:tcPr>
            <w:tcW w:w="3830" w:type="dxa"/>
            <w:shd w:val="clear" w:color="auto" w:fill="auto"/>
          </w:tcPr>
          <w:p w:rsidR="005549DC" w:rsidRDefault="00020545">
            <w:pPr>
              <w:pStyle w:val="Jin0"/>
              <w:spacing w:line="240" w:lineRule="auto"/>
            </w:pPr>
            <w:r>
              <w:rPr>
                <w:rStyle w:val="Jin"/>
              </w:rPr>
              <w:t>Střešní okno</w:t>
            </w:r>
          </w:p>
        </w:tc>
        <w:tc>
          <w:tcPr>
            <w:tcW w:w="1906" w:type="dxa"/>
            <w:shd w:val="clear" w:color="auto" w:fill="auto"/>
          </w:tcPr>
          <w:p w:rsidR="005549DC" w:rsidRDefault="00020545">
            <w:pPr>
              <w:pStyle w:val="Jin0"/>
              <w:spacing w:line="240" w:lineRule="auto"/>
            </w:pPr>
            <w:r>
              <w:rPr>
                <w:rStyle w:val="Jin"/>
              </w:rPr>
              <w:t>ANO</w:t>
            </w:r>
          </w:p>
        </w:tc>
      </w:tr>
      <w:tr w:rsidR="005549DC">
        <w:tblPrEx>
          <w:tblCellMar>
            <w:top w:w="0" w:type="dxa"/>
            <w:bottom w:w="0" w:type="dxa"/>
          </w:tblCellMar>
        </w:tblPrEx>
        <w:trPr>
          <w:trHeight w:hRule="exact" w:val="379"/>
          <w:jc w:val="center"/>
        </w:trPr>
        <w:tc>
          <w:tcPr>
            <w:tcW w:w="3830" w:type="dxa"/>
            <w:shd w:val="clear" w:color="auto" w:fill="auto"/>
          </w:tcPr>
          <w:p w:rsidR="005549DC" w:rsidRDefault="00020545">
            <w:pPr>
              <w:pStyle w:val="Jin0"/>
              <w:spacing w:line="240" w:lineRule="auto"/>
            </w:pPr>
            <w:r>
              <w:rPr>
                <w:rStyle w:val="Jin"/>
              </w:rPr>
              <w:t>Okno v zadní stěně</w:t>
            </w:r>
          </w:p>
        </w:tc>
        <w:tc>
          <w:tcPr>
            <w:tcW w:w="1906" w:type="dxa"/>
            <w:shd w:val="clear" w:color="auto" w:fill="auto"/>
          </w:tcPr>
          <w:p w:rsidR="005549DC" w:rsidRDefault="00020545">
            <w:pPr>
              <w:pStyle w:val="Jin0"/>
              <w:spacing w:line="240" w:lineRule="auto"/>
            </w:pPr>
            <w:r>
              <w:rPr>
                <w:rStyle w:val="Jin"/>
              </w:rPr>
              <w:t>ANO</w:t>
            </w:r>
          </w:p>
        </w:tc>
      </w:tr>
      <w:tr w:rsidR="005549DC">
        <w:tblPrEx>
          <w:tblCellMar>
            <w:top w:w="0" w:type="dxa"/>
            <w:bottom w:w="0" w:type="dxa"/>
          </w:tblCellMar>
        </w:tblPrEx>
        <w:trPr>
          <w:trHeight w:hRule="exact" w:val="379"/>
          <w:jc w:val="center"/>
        </w:trPr>
        <w:tc>
          <w:tcPr>
            <w:tcW w:w="3830" w:type="dxa"/>
            <w:shd w:val="clear" w:color="auto" w:fill="auto"/>
            <w:vAlign w:val="center"/>
          </w:tcPr>
          <w:p w:rsidR="005549DC" w:rsidRDefault="00020545">
            <w:pPr>
              <w:pStyle w:val="Jin0"/>
              <w:spacing w:line="240" w:lineRule="auto"/>
            </w:pPr>
            <w:r>
              <w:rPr>
                <w:rStyle w:val="Jin"/>
              </w:rPr>
              <w:t>Rádio</w:t>
            </w:r>
          </w:p>
        </w:tc>
        <w:tc>
          <w:tcPr>
            <w:tcW w:w="1906" w:type="dxa"/>
            <w:shd w:val="clear" w:color="auto" w:fill="auto"/>
            <w:vAlign w:val="center"/>
          </w:tcPr>
          <w:p w:rsidR="005549DC" w:rsidRDefault="00020545">
            <w:pPr>
              <w:pStyle w:val="Jin0"/>
              <w:spacing w:line="240" w:lineRule="auto"/>
            </w:pPr>
            <w:r>
              <w:rPr>
                <w:rStyle w:val="Jin"/>
              </w:rPr>
              <w:t>ANO</w:t>
            </w:r>
          </w:p>
        </w:tc>
      </w:tr>
      <w:tr w:rsidR="005549DC">
        <w:tblPrEx>
          <w:tblCellMar>
            <w:top w:w="0" w:type="dxa"/>
            <w:bottom w:w="0" w:type="dxa"/>
          </w:tblCellMar>
        </w:tblPrEx>
        <w:trPr>
          <w:trHeight w:hRule="exact" w:val="403"/>
          <w:jc w:val="center"/>
        </w:trPr>
        <w:tc>
          <w:tcPr>
            <w:tcW w:w="3830" w:type="dxa"/>
            <w:shd w:val="clear" w:color="auto" w:fill="auto"/>
          </w:tcPr>
          <w:p w:rsidR="005549DC" w:rsidRDefault="00020545">
            <w:pPr>
              <w:pStyle w:val="Jin0"/>
              <w:spacing w:before="80" w:line="240" w:lineRule="auto"/>
            </w:pPr>
            <w:r>
              <w:rPr>
                <w:rStyle w:val="Jin"/>
              </w:rPr>
              <w:t>Mlhovky</w:t>
            </w:r>
          </w:p>
        </w:tc>
        <w:tc>
          <w:tcPr>
            <w:tcW w:w="1906" w:type="dxa"/>
            <w:shd w:val="clear" w:color="auto" w:fill="auto"/>
          </w:tcPr>
          <w:p w:rsidR="005549DC" w:rsidRDefault="00020545">
            <w:pPr>
              <w:pStyle w:val="Jin0"/>
              <w:spacing w:line="240" w:lineRule="auto"/>
            </w:pPr>
            <w:r>
              <w:rPr>
                <w:rStyle w:val="Jin"/>
              </w:rPr>
              <w:t>ANO</w:t>
            </w:r>
          </w:p>
        </w:tc>
      </w:tr>
      <w:tr w:rsidR="005549DC">
        <w:tblPrEx>
          <w:tblCellMar>
            <w:top w:w="0" w:type="dxa"/>
            <w:bottom w:w="0" w:type="dxa"/>
          </w:tblCellMar>
        </w:tblPrEx>
        <w:trPr>
          <w:trHeight w:hRule="exact" w:val="331"/>
          <w:jc w:val="center"/>
        </w:trPr>
        <w:tc>
          <w:tcPr>
            <w:tcW w:w="3830" w:type="dxa"/>
            <w:shd w:val="clear" w:color="auto" w:fill="auto"/>
            <w:vAlign w:val="bottom"/>
          </w:tcPr>
          <w:p w:rsidR="005549DC" w:rsidRDefault="00020545">
            <w:pPr>
              <w:pStyle w:val="Jin0"/>
              <w:spacing w:line="240" w:lineRule="auto"/>
            </w:pPr>
            <w:r>
              <w:rPr>
                <w:rStyle w:val="Jin"/>
              </w:rPr>
              <w:t>Pracovní osvětlení</w:t>
            </w:r>
          </w:p>
        </w:tc>
        <w:tc>
          <w:tcPr>
            <w:tcW w:w="1906" w:type="dxa"/>
            <w:shd w:val="clear" w:color="auto" w:fill="auto"/>
            <w:vAlign w:val="bottom"/>
          </w:tcPr>
          <w:p w:rsidR="005549DC" w:rsidRDefault="00020545">
            <w:pPr>
              <w:pStyle w:val="Jin0"/>
              <w:spacing w:line="240" w:lineRule="auto"/>
            </w:pPr>
            <w:r>
              <w:rPr>
                <w:rStyle w:val="Jin"/>
              </w:rPr>
              <w:t>ANO</w:t>
            </w:r>
          </w:p>
        </w:tc>
      </w:tr>
    </w:tbl>
    <w:p w:rsidR="00020545" w:rsidRDefault="00020545"/>
    <w:sectPr w:rsidR="00020545">
      <w:pgSz w:w="11900" w:h="16840"/>
      <w:pgMar w:top="641" w:right="5077" w:bottom="641" w:left="1087" w:header="213"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545" w:rsidRDefault="00020545">
      <w:r>
        <w:separator/>
      </w:r>
    </w:p>
  </w:endnote>
  <w:endnote w:type="continuationSeparator" w:id="0">
    <w:p w:rsidR="00020545" w:rsidRDefault="0002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545" w:rsidRDefault="00020545"/>
  </w:footnote>
  <w:footnote w:type="continuationSeparator" w:id="0">
    <w:p w:rsidR="00020545" w:rsidRDefault="0002054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033B8"/>
    <w:multiLevelType w:val="multilevel"/>
    <w:tmpl w:val="A620A726"/>
    <w:lvl w:ilvl="0">
      <w:start w:val="1"/>
      <w:numFmt w:val="bullet"/>
      <w:lvlText w:val="V"/>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9C53EE3"/>
    <w:multiLevelType w:val="multilevel"/>
    <w:tmpl w:val="7FD21B28"/>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9DC"/>
    <w:rsid w:val="00020545"/>
    <w:rsid w:val="00191054"/>
    <w:rsid w:val="005549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A8141F-F456-4A7D-830F-3D509682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0"/>
      <w:szCs w:val="20"/>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val="0"/>
      <w:bCs w:val="0"/>
      <w:i/>
      <w:iCs/>
      <w:smallCaps w:val="0"/>
      <w:strike w:val="0"/>
      <w:color w:val="7DA4CB"/>
      <w:sz w:val="56"/>
      <w:szCs w:val="56"/>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color w:val="7DA4CB"/>
      <w:sz w:val="56"/>
      <w:szCs w:val="56"/>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5"/>
      <w:szCs w:val="15"/>
      <w:u w:val="none"/>
    </w:rPr>
  </w:style>
  <w:style w:type="character" w:customStyle="1" w:styleId="Zkladntext3">
    <w:name w:val="Základní text (3)_"/>
    <w:basedOn w:val="Standardnpsmoodstavce"/>
    <w:link w:val="Zkladntext30"/>
    <w:rPr>
      <w:rFonts w:ascii="Arial Unicode MS" w:eastAsia="Arial Unicode MS" w:hAnsi="Arial Unicode MS" w:cs="Arial Unicode MS"/>
      <w:b w:val="0"/>
      <w:bCs w:val="0"/>
      <w:i w:val="0"/>
      <w:iCs w:val="0"/>
      <w:smallCaps w:val="0"/>
      <w:strike w:val="0"/>
      <w:sz w:val="18"/>
      <w:szCs w:val="1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paragraph" w:customStyle="1" w:styleId="Titulektabulky0">
    <w:name w:val="Titulek tabulky"/>
    <w:basedOn w:val="Normln"/>
    <w:link w:val="Titulektabulky"/>
    <w:rPr>
      <w:rFonts w:ascii="Calibri" w:eastAsia="Calibri" w:hAnsi="Calibri" w:cs="Calibri"/>
      <w:sz w:val="20"/>
      <w:szCs w:val="20"/>
    </w:rPr>
  </w:style>
  <w:style w:type="paragraph" w:customStyle="1" w:styleId="Jin0">
    <w:name w:val="Jiné"/>
    <w:basedOn w:val="Normln"/>
    <w:link w:val="Jin"/>
    <w:pPr>
      <w:spacing w:line="252" w:lineRule="auto"/>
    </w:pPr>
    <w:rPr>
      <w:rFonts w:ascii="Calibri" w:eastAsia="Calibri" w:hAnsi="Calibri" w:cs="Calibri"/>
      <w:sz w:val="20"/>
      <w:szCs w:val="20"/>
    </w:rPr>
  </w:style>
  <w:style w:type="paragraph" w:customStyle="1" w:styleId="Zkladntext1">
    <w:name w:val="Základní text1"/>
    <w:basedOn w:val="Normln"/>
    <w:link w:val="Zkladntext"/>
    <w:pPr>
      <w:spacing w:line="252" w:lineRule="auto"/>
    </w:pPr>
    <w:rPr>
      <w:rFonts w:ascii="Calibri" w:eastAsia="Calibri" w:hAnsi="Calibri" w:cs="Calibri"/>
      <w:sz w:val="20"/>
      <w:szCs w:val="20"/>
    </w:rPr>
  </w:style>
  <w:style w:type="paragraph" w:customStyle="1" w:styleId="Nadpis30">
    <w:name w:val="Nadpis #3"/>
    <w:basedOn w:val="Normln"/>
    <w:link w:val="Nadpis3"/>
    <w:pPr>
      <w:spacing w:line="252" w:lineRule="auto"/>
      <w:jc w:val="center"/>
      <w:outlineLvl w:val="2"/>
    </w:pPr>
    <w:rPr>
      <w:rFonts w:ascii="Calibri" w:eastAsia="Calibri" w:hAnsi="Calibri" w:cs="Calibri"/>
      <w:b/>
      <w:bCs/>
      <w:sz w:val="20"/>
      <w:szCs w:val="20"/>
    </w:rPr>
  </w:style>
  <w:style w:type="paragraph" w:customStyle="1" w:styleId="Nadpis20">
    <w:name w:val="Nadpis #2"/>
    <w:basedOn w:val="Normln"/>
    <w:link w:val="Nadpis2"/>
    <w:pPr>
      <w:spacing w:after="240" w:line="190" w:lineRule="auto"/>
      <w:ind w:left="6880"/>
      <w:outlineLvl w:val="1"/>
    </w:pPr>
    <w:rPr>
      <w:rFonts w:ascii="Times New Roman" w:eastAsia="Times New Roman" w:hAnsi="Times New Roman" w:cs="Times New Roman"/>
      <w:i/>
      <w:iCs/>
      <w:color w:val="7DA4CB"/>
      <w:sz w:val="56"/>
      <w:szCs w:val="56"/>
    </w:rPr>
  </w:style>
  <w:style w:type="paragraph" w:customStyle="1" w:styleId="Nadpis10">
    <w:name w:val="Nadpis #1"/>
    <w:basedOn w:val="Normln"/>
    <w:link w:val="Nadpis1"/>
    <w:pPr>
      <w:spacing w:after="140"/>
      <w:ind w:right="300"/>
      <w:jc w:val="right"/>
      <w:outlineLvl w:val="0"/>
    </w:pPr>
    <w:rPr>
      <w:rFonts w:ascii="Times New Roman" w:eastAsia="Times New Roman" w:hAnsi="Times New Roman" w:cs="Times New Roman"/>
      <w:color w:val="7DA4CB"/>
      <w:sz w:val="56"/>
      <w:szCs w:val="56"/>
    </w:rPr>
  </w:style>
  <w:style w:type="paragraph" w:customStyle="1" w:styleId="Titulekobrzku0">
    <w:name w:val="Titulek obrázku"/>
    <w:basedOn w:val="Normln"/>
    <w:link w:val="Titulekobrzku"/>
    <w:pPr>
      <w:spacing w:line="214" w:lineRule="auto"/>
      <w:jc w:val="center"/>
    </w:pPr>
    <w:rPr>
      <w:rFonts w:ascii="Arial" w:eastAsia="Arial" w:hAnsi="Arial" w:cs="Arial"/>
      <w:sz w:val="15"/>
      <w:szCs w:val="15"/>
    </w:rPr>
  </w:style>
  <w:style w:type="paragraph" w:customStyle="1" w:styleId="Zkladntext30">
    <w:name w:val="Základní text (3)"/>
    <w:basedOn w:val="Normln"/>
    <w:link w:val="Zkladntext3"/>
    <w:pPr>
      <w:spacing w:line="209" w:lineRule="auto"/>
      <w:jc w:val="right"/>
    </w:pPr>
    <w:rPr>
      <w:rFonts w:ascii="Arial Unicode MS" w:eastAsia="Arial Unicode MS" w:hAnsi="Arial Unicode MS" w:cs="Arial Unicode MS"/>
      <w:sz w:val="18"/>
      <w:szCs w:val="18"/>
    </w:rPr>
  </w:style>
  <w:style w:type="paragraph" w:customStyle="1" w:styleId="Zkladntext20">
    <w:name w:val="Základní text (2)"/>
    <w:basedOn w:val="Normln"/>
    <w:link w:val="Zkladntext2"/>
    <w:pPr>
      <w:spacing w:after="1190" w:line="223" w:lineRule="auto"/>
      <w:jc w:val="right"/>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1674</Words>
  <Characters>9879</Characters>
  <Application>Microsoft Office Word</Application>
  <DocSecurity>0</DocSecurity>
  <Lines>82</Lines>
  <Paragraphs>23</Paragraphs>
  <ScaleCrop>false</ScaleCrop>
  <Company/>
  <LinksUpToDate>false</LinksUpToDate>
  <CharactersWithSpaces>11530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Ondřej Šabata</cp:lastModifiedBy>
  <cp:revision>2</cp:revision>
  <dcterms:created xsi:type="dcterms:W3CDTF">2023-08-07T10:41:00Z</dcterms:created>
  <dcterms:modified xsi:type="dcterms:W3CDTF">2023-08-07T10:42:00Z</dcterms:modified>
</cp:coreProperties>
</file>