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>
      <w:pPr>
        <w:pStyle w:val="Nzev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</w:t>
      </w:r>
      <w:r w:rsidR="00094FED">
        <w:rPr>
          <w:rFonts w:ascii="Arial" w:hAnsi="Arial"/>
          <w:sz w:val="24"/>
        </w:rPr>
        <w:t>2</w:t>
      </w:r>
      <w:r w:rsidR="00EA3B2C">
        <w:rPr>
          <w:rFonts w:ascii="Arial" w:hAnsi="Arial"/>
          <w:sz w:val="24"/>
        </w:rPr>
        <w:t>3</w:t>
      </w:r>
      <w:r w:rsidR="00094FED">
        <w:rPr>
          <w:rFonts w:ascii="Arial" w:hAnsi="Arial"/>
          <w:sz w:val="24"/>
        </w:rPr>
        <w:t>-02-08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094FED" w:rsidRPr="009D2DE9" w:rsidRDefault="00094FED" w:rsidP="00094FED">
      <w:pPr>
        <w:jc w:val="both"/>
        <w:rPr>
          <w:rFonts w:ascii="Arial" w:hAnsi="Arial"/>
          <w:b/>
          <w:bCs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 w:rsidRPr="009D2DE9">
        <w:rPr>
          <w:rFonts w:ascii="Arial" w:hAnsi="Arial"/>
          <w:b/>
          <w:bCs/>
        </w:rPr>
        <w:t>Tělocvičná Jednota Sokol Brno I – oddíl florbalu</w:t>
      </w:r>
    </w:p>
    <w:p w:rsidR="00094FED" w:rsidRPr="009D2DE9" w:rsidRDefault="00094FED" w:rsidP="00094FED">
      <w:pPr>
        <w:jc w:val="both"/>
        <w:rPr>
          <w:rFonts w:ascii="Arial" w:hAnsi="Arial"/>
        </w:rPr>
      </w:pPr>
      <w:r w:rsidRPr="009D2DE9">
        <w:rPr>
          <w:rFonts w:ascii="Arial" w:hAnsi="Arial"/>
        </w:rPr>
        <w:tab/>
      </w:r>
      <w:r w:rsidRPr="009D2DE9">
        <w:rPr>
          <w:rFonts w:ascii="Arial" w:hAnsi="Arial"/>
        </w:rPr>
        <w:tab/>
        <w:t>Kounicova 20/22, 602 00 Brno</w:t>
      </w:r>
    </w:p>
    <w:p w:rsidR="00094FED" w:rsidRPr="009D2DE9" w:rsidRDefault="00094FED" w:rsidP="00094FED">
      <w:pPr>
        <w:jc w:val="both"/>
        <w:rPr>
          <w:rFonts w:ascii="Arial" w:hAnsi="Arial"/>
        </w:rPr>
      </w:pPr>
      <w:r w:rsidRPr="009D2DE9">
        <w:rPr>
          <w:rFonts w:ascii="Arial" w:hAnsi="Arial"/>
        </w:rPr>
        <w:tab/>
      </w:r>
      <w:r w:rsidRPr="009D2DE9">
        <w:rPr>
          <w:rFonts w:ascii="Arial" w:hAnsi="Arial"/>
        </w:rPr>
        <w:tab/>
        <w:t>zastoupený Ing. Martinem Vlkem, starostou</w:t>
      </w:r>
    </w:p>
    <w:p w:rsidR="00094FED" w:rsidRPr="009D2DE9" w:rsidRDefault="00094FED" w:rsidP="00094FED">
      <w:pPr>
        <w:jc w:val="both"/>
        <w:rPr>
          <w:rFonts w:ascii="Arial" w:hAnsi="Arial"/>
          <w:lang w:val="en-US"/>
        </w:rPr>
      </w:pPr>
      <w:r w:rsidRPr="009D2DE9">
        <w:rPr>
          <w:rFonts w:ascii="Arial" w:hAnsi="Arial"/>
        </w:rPr>
        <w:tab/>
      </w:r>
      <w:r w:rsidRPr="009D2DE9">
        <w:rPr>
          <w:rFonts w:ascii="Arial" w:hAnsi="Arial"/>
        </w:rPr>
        <w:tab/>
        <w:t>IČ: 005 57 650, DIČ: CZ00557650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4FED" w:rsidRDefault="00094FED" w:rsidP="005C6715">
      <w:pPr>
        <w:tabs>
          <w:tab w:val="left" w:pos="0"/>
        </w:tabs>
        <w:rPr>
          <w:rFonts w:ascii="Arial" w:hAnsi="Arial" w:cs="Arial"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94FED" w:rsidRDefault="00094FED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094FED" w:rsidRPr="00B253B5" w:rsidRDefault="00094FED" w:rsidP="00094FED">
      <w:pPr>
        <w:pStyle w:val="Odstavecseseznamem"/>
        <w:ind w:left="510"/>
        <w:jc w:val="both"/>
        <w:rPr>
          <w:rFonts w:ascii="Arial" w:hAnsi="Arial"/>
          <w:b/>
          <w:color w:val="FF0000"/>
        </w:rPr>
      </w:pPr>
      <w:r w:rsidRPr="00B253B5">
        <w:rPr>
          <w:rFonts w:ascii="Arial" w:hAnsi="Arial"/>
          <w:b/>
        </w:rPr>
        <w:t>sportovní činnost – tréninky a zápasy ve florbalu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094FED" w:rsidRDefault="00094FED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094FED" w:rsidRPr="0067189E" w:rsidTr="00BD58C9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ED" w:rsidRPr="00094FED" w:rsidRDefault="00094FED" w:rsidP="00EA3B2C">
            <w:pPr>
              <w:rPr>
                <w:rFonts w:ascii="Arial" w:hAnsi="Arial" w:cs="Arial"/>
                <w:color w:val="000000"/>
              </w:rPr>
            </w:pPr>
            <w:r w:rsidRPr="00094FED">
              <w:rPr>
                <w:rFonts w:ascii="Arial" w:hAnsi="Arial" w:cs="Arial"/>
                <w:color w:val="000000"/>
              </w:rPr>
              <w:t>1. 9. 202</w:t>
            </w:r>
            <w:r w:rsidR="00EA3B2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4FED">
              <w:rPr>
                <w:rFonts w:ascii="Arial" w:hAnsi="Arial" w:cs="Arial"/>
                <w:color w:val="000000"/>
              </w:rPr>
              <w:t>- 3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094FE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094FED">
              <w:rPr>
                <w:rFonts w:ascii="Arial" w:hAnsi="Arial" w:cs="Arial"/>
                <w:color w:val="000000"/>
              </w:rPr>
              <w:t>. 202</w:t>
            </w:r>
            <w:r w:rsidR="00EA3B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ED" w:rsidRPr="0067189E" w:rsidRDefault="00094FED" w:rsidP="00BD58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ED" w:rsidRPr="0067189E" w:rsidRDefault="00094FED" w:rsidP="00BD58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ED" w:rsidRPr="0067189E" w:rsidRDefault="00094FED" w:rsidP="00094FE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4FED" w:rsidRDefault="00094FED" w:rsidP="00094FED">
      <w:pPr>
        <w:pStyle w:val="Zkladntext"/>
        <w:ind w:left="450"/>
        <w:rPr>
          <w:rFonts w:ascii="Arial" w:hAnsi="Arial"/>
          <w:sz w:val="20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094FED" w:rsidRDefault="00094FED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094FED" w:rsidRDefault="00094FED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</w:t>
      </w:r>
      <w:r w:rsidRPr="008A22BD">
        <w:rPr>
          <w:rFonts w:ascii="Arial" w:hAnsi="Arial"/>
          <w:sz w:val="20"/>
        </w:rPr>
        <w:lastRenderedPageBreak/>
        <w:t xml:space="preserve">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094FED" w:rsidRPr="002C12B0" w:rsidRDefault="00094FED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5.7.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094FED" w:rsidRPr="002C12B0" w:rsidRDefault="00094FED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094FED" w:rsidRDefault="00094FED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lastRenderedPageBreak/>
        <w:t>Doložka</w:t>
      </w:r>
    </w:p>
    <w:p w:rsidR="00094FED" w:rsidRDefault="00094FED" w:rsidP="00094FED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EA3B2C" w:rsidRDefault="00EA3B2C" w:rsidP="00EA3B2C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</w:t>
      </w:r>
      <w:r>
        <w:rPr>
          <w:rFonts w:ascii="Arial" w:hAnsi="Arial"/>
          <w:sz w:val="20"/>
        </w:rPr>
        <w:t>18</w:t>
      </w:r>
      <w:r w:rsidRPr="00730EF8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IX</w:t>
      </w:r>
      <w:r w:rsidRPr="00730EF8">
        <w:rPr>
          <w:rFonts w:ascii="Arial" w:hAnsi="Arial"/>
          <w:sz w:val="20"/>
        </w:rPr>
        <w:t xml:space="preserve">. schůzi Rady městské části Brno-Tuřany konané dne </w:t>
      </w:r>
      <w:r>
        <w:rPr>
          <w:rFonts w:ascii="Arial" w:hAnsi="Arial"/>
          <w:sz w:val="20"/>
        </w:rPr>
        <w:t>29</w:t>
      </w:r>
      <w:r w:rsidRPr="00730EF8">
        <w:rPr>
          <w:rFonts w:ascii="Arial" w:hAnsi="Arial"/>
          <w:sz w:val="20"/>
        </w:rPr>
        <w:t>. 5. 202</w:t>
      </w:r>
      <w:r>
        <w:rPr>
          <w:rFonts w:ascii="Arial" w:hAnsi="Arial"/>
          <w:sz w:val="20"/>
        </w:rPr>
        <w:t>3</w:t>
      </w:r>
      <w:r w:rsidRPr="00730EF8">
        <w:rPr>
          <w:rFonts w:ascii="Arial" w:hAnsi="Arial"/>
          <w:sz w:val="20"/>
        </w:rPr>
        <w:t xml:space="preserve">, a to včetně pověření starosty uzavřením smluv, vč. dodatků. </w:t>
      </w:r>
    </w:p>
    <w:p w:rsidR="00EA3B2C" w:rsidRPr="002043E9" w:rsidRDefault="00EA3B2C" w:rsidP="00EA3B2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  <w:bookmarkStart w:id="0" w:name="_GoBack"/>
      <w:bookmarkEnd w:id="0"/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DE" w:rsidRDefault="00C721DE">
      <w:r>
        <w:separator/>
      </w:r>
    </w:p>
  </w:endnote>
  <w:endnote w:type="continuationSeparator" w:id="0">
    <w:p w:rsidR="00C721DE" w:rsidRDefault="00C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DE" w:rsidRDefault="00C721DE">
      <w:r>
        <w:separator/>
      </w:r>
    </w:p>
  </w:footnote>
  <w:footnote w:type="continuationSeparator" w:id="0">
    <w:p w:rsidR="00C721DE" w:rsidRDefault="00C7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81E27"/>
    <w:rsid w:val="000843BF"/>
    <w:rsid w:val="00094FED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00FE9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3F2A"/>
    <w:rsid w:val="00BD7EE5"/>
    <w:rsid w:val="00C05F63"/>
    <w:rsid w:val="00C26221"/>
    <w:rsid w:val="00C346B0"/>
    <w:rsid w:val="00C721DE"/>
    <w:rsid w:val="00C77297"/>
    <w:rsid w:val="00C86A68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58AD"/>
    <w:rsid w:val="00E2588E"/>
    <w:rsid w:val="00E43155"/>
    <w:rsid w:val="00E51E14"/>
    <w:rsid w:val="00E742D0"/>
    <w:rsid w:val="00E87ADF"/>
    <w:rsid w:val="00E9280E"/>
    <w:rsid w:val="00EA2F2E"/>
    <w:rsid w:val="00EA3B2C"/>
    <w:rsid w:val="00EB49E9"/>
    <w:rsid w:val="00ED156C"/>
    <w:rsid w:val="00ED6C67"/>
    <w:rsid w:val="00EE2237"/>
    <w:rsid w:val="00F21344"/>
    <w:rsid w:val="00F35E56"/>
    <w:rsid w:val="00F40A32"/>
    <w:rsid w:val="00F4372D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0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4</cp:revision>
  <cp:lastPrinted>2015-10-05T12:16:00Z</cp:lastPrinted>
  <dcterms:created xsi:type="dcterms:W3CDTF">2022-08-04T07:43:00Z</dcterms:created>
  <dcterms:modified xsi:type="dcterms:W3CDTF">2023-07-13T12:48:00Z</dcterms:modified>
</cp:coreProperties>
</file>