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B42B8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0EB42B9" w14:textId="77777777" w:rsidR="00726B26" w:rsidRDefault="00726B26" w:rsidP="00726B26">
      <w:pPr>
        <w:jc w:val="center"/>
        <w:rPr>
          <w:sz w:val="23"/>
          <w:szCs w:val="23"/>
        </w:rPr>
      </w:pPr>
    </w:p>
    <w:p w14:paraId="60EB42BA" w14:textId="77777777" w:rsidR="009C057C" w:rsidRPr="00726B26" w:rsidRDefault="009C057C" w:rsidP="00726B26">
      <w:pPr>
        <w:jc w:val="center"/>
        <w:rPr>
          <w:sz w:val="23"/>
          <w:szCs w:val="23"/>
        </w:rPr>
      </w:pPr>
    </w:p>
    <w:p w14:paraId="60EB42BB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0EB42BC" w14:textId="77777777" w:rsidR="00726B26" w:rsidRDefault="00726B26" w:rsidP="00726B26"/>
    <w:p w14:paraId="60EB42BD" w14:textId="77777777" w:rsidR="009C057C" w:rsidRDefault="009C057C" w:rsidP="00726B26"/>
    <w:p w14:paraId="60EB42BE" w14:textId="1D74B0AD" w:rsidR="00726B26" w:rsidRPr="00726B26" w:rsidRDefault="00875B96" w:rsidP="00726B26">
      <w:pPr>
        <w:rPr>
          <w:b/>
        </w:rPr>
      </w:pPr>
      <w:r>
        <w:rPr>
          <w:b/>
        </w:rPr>
        <w:t xml:space="preserve">HARTMANN – RICO a.s. </w:t>
      </w:r>
    </w:p>
    <w:p w14:paraId="60EB42BF" w14:textId="2B43FD8C" w:rsidR="00726B26" w:rsidRDefault="00726B26" w:rsidP="00726B26">
      <w:r>
        <w:t>IČ</w:t>
      </w:r>
      <w:r w:rsidR="00682F7D">
        <w:t>O</w:t>
      </w:r>
      <w:r>
        <w:t xml:space="preserve">: </w:t>
      </w:r>
      <w:r w:rsidR="00875B96">
        <w:t xml:space="preserve">449 474 29 </w:t>
      </w:r>
    </w:p>
    <w:p w14:paraId="60EB42C0" w14:textId="7F531E38" w:rsidR="00726B26" w:rsidRPr="00512AB9" w:rsidRDefault="00726B26" w:rsidP="00726B26">
      <w:r>
        <w:t xml:space="preserve">DIČ: </w:t>
      </w:r>
      <w:r w:rsidR="00875B96">
        <w:t>CZ44947429</w:t>
      </w:r>
    </w:p>
    <w:p w14:paraId="60EB42C1" w14:textId="0F07DCF3" w:rsidR="00726B26" w:rsidRPr="00512AB9" w:rsidRDefault="00726B26" w:rsidP="00726B26">
      <w:r>
        <w:t>se sídlem</w:t>
      </w:r>
      <w:r w:rsidRPr="00512AB9">
        <w:t xml:space="preserve">:  </w:t>
      </w:r>
      <w:r w:rsidR="00875B96">
        <w:t>Masarykovo náměstí 77, 664 71 Veverská Bítýška</w:t>
      </w:r>
    </w:p>
    <w:p w14:paraId="60EB42C2" w14:textId="7F8F5F2B" w:rsidR="00726B26" w:rsidRDefault="00726B26" w:rsidP="00726B26">
      <w:r>
        <w:t>zastoupena</w:t>
      </w:r>
      <w:r w:rsidRPr="00512AB9">
        <w:t xml:space="preserve">: </w:t>
      </w:r>
      <w:r w:rsidR="00875B96">
        <w:t>Ing. Tomášem Grohem, předsedou představenstva</w:t>
      </w:r>
    </w:p>
    <w:p w14:paraId="3A42E850" w14:textId="649E6BF7" w:rsidR="00875B96" w:rsidRPr="00512AB9" w:rsidRDefault="00875B96" w:rsidP="00726B26">
      <w:r>
        <w:tab/>
        <w:t xml:space="preserve">         Ing. Markem </w:t>
      </w:r>
      <w:proofErr w:type="spellStart"/>
      <w:r>
        <w:t>Třeškou</w:t>
      </w:r>
      <w:proofErr w:type="spellEnd"/>
      <w:r>
        <w:t xml:space="preserve"> MBA, členem představenstva</w:t>
      </w:r>
    </w:p>
    <w:p w14:paraId="60EB42C3" w14:textId="1D0A1095" w:rsidR="00726B26" w:rsidRPr="00512AB9" w:rsidRDefault="00726B26" w:rsidP="00726B26">
      <w:r w:rsidRPr="00512AB9">
        <w:t xml:space="preserve">bankovní spojení: </w:t>
      </w:r>
      <w:r w:rsidR="00875B96">
        <w:t>Komerční banka a.s.</w:t>
      </w:r>
    </w:p>
    <w:p w14:paraId="60EB42C4" w14:textId="66200C1C" w:rsidR="00726B26" w:rsidRPr="00512AB9" w:rsidRDefault="00726B26" w:rsidP="00726B26">
      <w:r w:rsidRPr="00512AB9">
        <w:t xml:space="preserve">číslo účtu: </w:t>
      </w:r>
      <w:r w:rsidR="00875B96">
        <w:t>18008-641/0100</w:t>
      </w:r>
    </w:p>
    <w:p w14:paraId="60EB42C5" w14:textId="5A3CA425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875B96">
        <w:t>Krajským</w:t>
      </w:r>
      <w:r>
        <w:t xml:space="preserve"> </w:t>
      </w:r>
      <w:r w:rsidRPr="00652864">
        <w:t>soudem v </w:t>
      </w:r>
      <w:r w:rsidR="00875B96">
        <w:t>Brně</w:t>
      </w:r>
      <w:r w:rsidRPr="00652864">
        <w:t xml:space="preserve">, oddíl </w:t>
      </w:r>
      <w:r w:rsidR="00875B96">
        <w:t>B</w:t>
      </w:r>
      <w:r w:rsidRPr="00652864">
        <w:t xml:space="preserve">, vložka </w:t>
      </w:r>
      <w:r w:rsidR="00875B96">
        <w:t>644</w:t>
      </w:r>
    </w:p>
    <w:p w14:paraId="60EB42C6" w14:textId="77777777" w:rsidR="00726B26" w:rsidRPr="002B77A6" w:rsidRDefault="00726B26" w:rsidP="00726B26">
      <w:pPr>
        <w:rPr>
          <w:rStyle w:val="platne1"/>
        </w:rPr>
      </w:pPr>
    </w:p>
    <w:p w14:paraId="60EB42C7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0EB42C8" w14:textId="77777777" w:rsidR="00726B26" w:rsidRDefault="00726B26" w:rsidP="00726B26">
      <w:pPr>
        <w:rPr>
          <w:rStyle w:val="platne1"/>
        </w:rPr>
      </w:pPr>
    </w:p>
    <w:p w14:paraId="60EB42C9" w14:textId="77777777" w:rsidR="009C057C" w:rsidRPr="002B77A6" w:rsidRDefault="009C057C" w:rsidP="00726B26">
      <w:pPr>
        <w:rPr>
          <w:rStyle w:val="platne1"/>
        </w:rPr>
      </w:pPr>
    </w:p>
    <w:p w14:paraId="60EB42CA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0EB42CB" w14:textId="77777777" w:rsidR="00726B26" w:rsidRDefault="00726B26" w:rsidP="00726B26">
      <w:pPr>
        <w:rPr>
          <w:rStyle w:val="platne1"/>
        </w:rPr>
      </w:pPr>
    </w:p>
    <w:p w14:paraId="60EB42CC" w14:textId="77777777" w:rsidR="009C057C" w:rsidRPr="002B77A6" w:rsidRDefault="009C057C" w:rsidP="00726B26">
      <w:pPr>
        <w:rPr>
          <w:rStyle w:val="platne1"/>
        </w:rPr>
      </w:pPr>
    </w:p>
    <w:p w14:paraId="60EB42CD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0EB42CE" w14:textId="166ACB02" w:rsidR="00726B26" w:rsidRPr="002B77A6" w:rsidRDefault="00726B26" w:rsidP="00726B26">
      <w:r w:rsidRPr="002B77A6">
        <w:t>IČ</w:t>
      </w:r>
      <w:r w:rsidR="00682F7D">
        <w:t>O</w:t>
      </w:r>
      <w:r w:rsidRPr="002B77A6">
        <w:t>: 65269705</w:t>
      </w:r>
    </w:p>
    <w:p w14:paraId="60EB42CF" w14:textId="77777777" w:rsidR="00726B26" w:rsidRPr="002B77A6" w:rsidRDefault="00726B26" w:rsidP="00726B26">
      <w:r w:rsidRPr="002B77A6">
        <w:t>DIČ: CZ65269705</w:t>
      </w:r>
    </w:p>
    <w:p w14:paraId="60EB42D0" w14:textId="77777777" w:rsidR="00726B26" w:rsidRPr="002B77A6" w:rsidRDefault="00726B26" w:rsidP="00726B26">
      <w:r w:rsidRPr="002B77A6">
        <w:t xml:space="preserve">se sídlem: Brno, Jihlavská 20, PSČ 625 00 </w:t>
      </w:r>
    </w:p>
    <w:p w14:paraId="60EB42D1" w14:textId="1493326F" w:rsidR="00726B26" w:rsidRPr="002B77A6" w:rsidRDefault="00726B26" w:rsidP="00726B26">
      <w:r>
        <w:t>zastoupena</w:t>
      </w:r>
      <w:r w:rsidRPr="002B77A6">
        <w:t xml:space="preserve">:  MUDr. </w:t>
      </w:r>
      <w:r w:rsidR="00682F7D">
        <w:t>Ivo Rovný</w:t>
      </w:r>
      <w:r w:rsidRPr="002B77A6">
        <w:t xml:space="preserve">, MBA, ředitel </w:t>
      </w:r>
    </w:p>
    <w:p w14:paraId="60EB42D2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0EB42D3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0EB42D4" w14:textId="77777777" w:rsidR="00726B26" w:rsidRDefault="00726B26" w:rsidP="00726B26"/>
    <w:p w14:paraId="60EB42D5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0EB42D6" w14:textId="77777777" w:rsidR="00726B26" w:rsidRPr="002B77A6" w:rsidRDefault="00726B26" w:rsidP="00726B26">
      <w:pPr>
        <w:rPr>
          <w:rStyle w:val="platne1"/>
        </w:rPr>
      </w:pPr>
    </w:p>
    <w:p w14:paraId="60EB42D7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0EB42D8" w14:textId="77777777" w:rsidR="00726B26" w:rsidRPr="002B77A6" w:rsidRDefault="00726B26" w:rsidP="00726B26">
      <w:pPr>
        <w:rPr>
          <w:rStyle w:val="platne1"/>
        </w:rPr>
      </w:pPr>
    </w:p>
    <w:p w14:paraId="60EB42D9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0EB42DA" w14:textId="77777777" w:rsidR="009C057C" w:rsidRDefault="009C057C" w:rsidP="00726B26">
      <w:pPr>
        <w:rPr>
          <w:rStyle w:val="platne1"/>
        </w:rPr>
      </w:pPr>
    </w:p>
    <w:p w14:paraId="60EB42DB" w14:textId="77777777" w:rsidR="009C057C" w:rsidRPr="002B77A6" w:rsidRDefault="009C057C" w:rsidP="00726B26">
      <w:pPr>
        <w:rPr>
          <w:rStyle w:val="platne1"/>
        </w:rPr>
      </w:pPr>
    </w:p>
    <w:p w14:paraId="60EB42DC" w14:textId="77777777" w:rsidR="00726B26" w:rsidRPr="002B77A6" w:rsidRDefault="00726B26" w:rsidP="00726B26">
      <w:pPr>
        <w:spacing w:after="60"/>
        <w:rPr>
          <w:rStyle w:val="platne1"/>
        </w:rPr>
      </w:pPr>
    </w:p>
    <w:p w14:paraId="60EB42DD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60EB42DE" w14:textId="77777777" w:rsidR="00726B26" w:rsidRPr="002B77A6" w:rsidRDefault="00726B26" w:rsidP="00726B26">
      <w:pPr>
        <w:jc w:val="center"/>
        <w:rPr>
          <w:b/>
          <w:bCs/>
        </w:rPr>
      </w:pPr>
    </w:p>
    <w:p w14:paraId="60EB42DF" w14:textId="0BC72234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9C057C">
        <w:t>„</w:t>
      </w:r>
      <w:r w:rsidR="00ED151D">
        <w:rPr>
          <w:b/>
        </w:rPr>
        <w:t>Inkontinenční pomůcky</w:t>
      </w:r>
      <w:r w:rsidR="00FD23D4">
        <w:rPr>
          <w:b/>
        </w:rPr>
        <w:t xml:space="preserve"> -  část </w:t>
      </w:r>
      <w:proofErr w:type="gramStart"/>
      <w:r w:rsidR="00FD23D4">
        <w:rPr>
          <w:b/>
        </w:rPr>
        <w:t>č.</w:t>
      </w:r>
      <w:r w:rsidR="003B0E77">
        <w:t>2</w:t>
      </w:r>
      <w:r w:rsidR="00FD23D4">
        <w:rPr>
          <w:b/>
        </w:rPr>
        <w:t xml:space="preserve"> </w:t>
      </w:r>
      <w:r>
        <w:t>“ (dále</w:t>
      </w:r>
      <w:proofErr w:type="gramEnd"/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0EB42E0" w14:textId="77777777" w:rsidR="00014CFB" w:rsidRDefault="00014CFB" w:rsidP="00014CFB">
      <w:pPr>
        <w:jc w:val="center"/>
        <w:rPr>
          <w:b/>
          <w:bCs/>
        </w:rPr>
      </w:pPr>
    </w:p>
    <w:p w14:paraId="60EB42E1" w14:textId="77777777" w:rsidR="009C057C" w:rsidRDefault="009C057C" w:rsidP="00014CFB">
      <w:pPr>
        <w:jc w:val="center"/>
        <w:rPr>
          <w:b/>
          <w:bCs/>
        </w:rPr>
      </w:pPr>
    </w:p>
    <w:p w14:paraId="60EB42E2" w14:textId="77777777" w:rsidR="009C057C" w:rsidRDefault="009C057C" w:rsidP="00014CFB">
      <w:pPr>
        <w:jc w:val="center"/>
        <w:rPr>
          <w:b/>
          <w:bCs/>
        </w:rPr>
      </w:pPr>
    </w:p>
    <w:p w14:paraId="60EB42E3" w14:textId="77777777" w:rsidR="00014CFB" w:rsidRDefault="00014CFB" w:rsidP="00014CFB">
      <w:pPr>
        <w:pStyle w:val="Nadpis1"/>
      </w:pPr>
      <w:r>
        <w:lastRenderedPageBreak/>
        <w:t>Předmět smlouvy</w:t>
      </w:r>
    </w:p>
    <w:p w14:paraId="60EB42E4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60EB42E5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0EB42E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173AAE" w14:textId="77777777" w:rsidR="00DF69F1" w:rsidRDefault="00DF69F1" w:rsidP="00DF69F1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1212FA">
        <w:rPr>
          <w:b/>
        </w:rPr>
        <w:t>Objednávky</w:t>
      </w:r>
      <w:r>
        <w:t>“ či jednotlivě „</w:t>
      </w:r>
      <w:r w:rsidRPr="001212FA">
        <w:rPr>
          <w:b/>
        </w:rPr>
        <w:t>Objednávka</w:t>
      </w:r>
      <w:r>
        <w:t>“), jejichž prostřednictvím dá Kupující Prodávajícímu pokyn k částečnému plnění této smlouvy postupem dle čl. III. této smlouvy.</w:t>
      </w:r>
    </w:p>
    <w:p w14:paraId="60EB42E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E9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0EB42E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EB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EB42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ED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0EB42EE" w14:textId="77777777" w:rsidR="00014CFB" w:rsidRDefault="00014CFB" w:rsidP="00014CFB">
      <w:pPr>
        <w:jc w:val="center"/>
        <w:rPr>
          <w:b/>
          <w:bCs/>
        </w:rPr>
      </w:pPr>
    </w:p>
    <w:p w14:paraId="60EB42EF" w14:textId="77777777" w:rsidR="009C057C" w:rsidRDefault="009C057C" w:rsidP="00014CFB">
      <w:pPr>
        <w:jc w:val="center"/>
        <w:rPr>
          <w:b/>
          <w:bCs/>
        </w:rPr>
      </w:pPr>
    </w:p>
    <w:p w14:paraId="60EB42F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0EB42F1" w14:textId="77777777" w:rsidR="00014CFB" w:rsidRPr="002B77A6" w:rsidRDefault="00014CFB" w:rsidP="00014CFB">
      <w:pPr>
        <w:jc w:val="center"/>
        <w:rPr>
          <w:b/>
          <w:bCs/>
        </w:rPr>
      </w:pPr>
    </w:p>
    <w:p w14:paraId="60EB42F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0EB42F3" w14:textId="3DF875B5" w:rsidR="00014CFB" w:rsidRDefault="00014CFB" w:rsidP="00014CFB">
      <w:pPr>
        <w:pStyle w:val="Psmenoodstavce"/>
      </w:pPr>
      <w:r>
        <w:t xml:space="preserve">e-mailem na adresu </w:t>
      </w:r>
      <w:proofErr w:type="spellStart"/>
      <w:r w:rsidR="00552BBB">
        <w:t>xxxxxxxxxx</w:t>
      </w:r>
      <w:proofErr w:type="spellEnd"/>
      <w:r>
        <w:t>;</w:t>
      </w:r>
    </w:p>
    <w:p w14:paraId="60EB42F4" w14:textId="55A251EA" w:rsidR="00014CFB" w:rsidRDefault="00014CFB" w:rsidP="00014CFB">
      <w:pPr>
        <w:pStyle w:val="Psmenoodstavce"/>
      </w:pPr>
      <w:r>
        <w:t xml:space="preserve">faxem na telefonní číslo </w:t>
      </w:r>
      <w:proofErr w:type="spellStart"/>
      <w:r w:rsidR="00552BBB">
        <w:t>xxxxxxxxxx</w:t>
      </w:r>
      <w:proofErr w:type="spellEnd"/>
      <w:r w:rsidR="00875B96">
        <w:t xml:space="preserve">, </w:t>
      </w:r>
      <w:proofErr w:type="spellStart"/>
      <w:r w:rsidR="00552BBB">
        <w:t>xxxxxxxxxx</w:t>
      </w:r>
      <w:proofErr w:type="spellEnd"/>
    </w:p>
    <w:p w14:paraId="5F900220" w14:textId="77777777" w:rsidR="00875B96" w:rsidRDefault="00014CFB" w:rsidP="00875B96">
      <w:pPr>
        <w:pStyle w:val="Psmenoodstavce"/>
        <w:numPr>
          <w:ilvl w:val="0"/>
          <w:numId w:val="0"/>
        </w:numPr>
        <w:ind w:left="567"/>
      </w:pPr>
      <w:r>
        <w:t xml:space="preserve">v internetovém systému Prodávajícího na adrese </w:t>
      </w:r>
    </w:p>
    <w:p w14:paraId="60EB42F7" w14:textId="1A3A8E37" w:rsidR="00014CFB" w:rsidRDefault="00014CFB" w:rsidP="00875B96">
      <w:pPr>
        <w:pStyle w:val="Psmenoodstavce"/>
        <w:numPr>
          <w:ilvl w:val="0"/>
          <w:numId w:val="0"/>
        </w:numPr>
        <w:ind w:left="567"/>
      </w:pPr>
      <w:r>
        <w:t>V naléhavých případech je Kupující oprávněn učinit Objednávku rovněž telefonicky na čísle</w:t>
      </w:r>
      <w:r w:rsidR="00875B96">
        <w:t xml:space="preserve"> </w:t>
      </w:r>
      <w:proofErr w:type="spellStart"/>
      <w:r w:rsidR="00552BBB">
        <w:t>xxxxxxxxxx</w:t>
      </w:r>
      <w:proofErr w:type="spellEnd"/>
    </w:p>
    <w:p w14:paraId="60EB42F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F9" w14:textId="0FC03A39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552BBB">
        <w:t xml:space="preserve"> </w:t>
      </w:r>
      <w:proofErr w:type="spellStart"/>
      <w:r w:rsidR="00552BBB">
        <w:t>xxxxxxxxxx</w:t>
      </w:r>
      <w:proofErr w:type="spellEnd"/>
    </w:p>
    <w:p w14:paraId="60EB42F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2FB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0EB42FC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0EB42FD" w14:textId="77777777" w:rsidR="00014CFB" w:rsidRDefault="00014CFB" w:rsidP="00014CFB">
      <w:pPr>
        <w:pStyle w:val="Psmenoodstavce"/>
      </w:pPr>
      <w:r>
        <w:t>množství a druhy Zboží;</w:t>
      </w:r>
    </w:p>
    <w:p w14:paraId="60EB42FE" w14:textId="77777777" w:rsidR="00014CFB" w:rsidRDefault="00014CFB" w:rsidP="00014CFB">
      <w:pPr>
        <w:pStyle w:val="Psmenoodstavce"/>
      </w:pPr>
      <w:r>
        <w:t>místo dodání.</w:t>
      </w:r>
    </w:p>
    <w:p w14:paraId="60EB42FF" w14:textId="77777777" w:rsidR="00BE451F" w:rsidRDefault="00BE451F" w:rsidP="000C1FD1">
      <w:pPr>
        <w:jc w:val="center"/>
        <w:rPr>
          <w:b/>
          <w:bCs/>
        </w:rPr>
      </w:pPr>
    </w:p>
    <w:p w14:paraId="59F13CD3" w14:textId="14804B30" w:rsidR="000C3D24" w:rsidRDefault="000C3D24" w:rsidP="000C1FD1">
      <w:pPr>
        <w:jc w:val="center"/>
        <w:rPr>
          <w:b/>
          <w:bCs/>
        </w:rPr>
      </w:pPr>
    </w:p>
    <w:p w14:paraId="18D137B2" w14:textId="2D52778A" w:rsidR="00875B96" w:rsidRDefault="00875B96" w:rsidP="000C1FD1">
      <w:pPr>
        <w:jc w:val="center"/>
        <w:rPr>
          <w:b/>
          <w:bCs/>
        </w:rPr>
      </w:pPr>
    </w:p>
    <w:p w14:paraId="4FC0B4BC" w14:textId="77777777" w:rsidR="00875B96" w:rsidRDefault="00875B96" w:rsidP="000C1FD1">
      <w:pPr>
        <w:jc w:val="center"/>
        <w:rPr>
          <w:b/>
          <w:bCs/>
        </w:rPr>
      </w:pPr>
    </w:p>
    <w:p w14:paraId="16B74A57" w14:textId="4D2DA8E6" w:rsidR="000C3D24" w:rsidRDefault="000C3D24" w:rsidP="000C1FD1">
      <w:pPr>
        <w:jc w:val="center"/>
        <w:rPr>
          <w:b/>
          <w:bCs/>
        </w:rPr>
      </w:pPr>
    </w:p>
    <w:p w14:paraId="6BB55127" w14:textId="77777777" w:rsidR="00B16CF2" w:rsidRDefault="00B16CF2" w:rsidP="000C1FD1">
      <w:pPr>
        <w:jc w:val="center"/>
        <w:rPr>
          <w:b/>
          <w:bCs/>
        </w:rPr>
      </w:pPr>
    </w:p>
    <w:p w14:paraId="10AB9D5C" w14:textId="77777777" w:rsidR="000C3D24" w:rsidRDefault="000C3D24" w:rsidP="000C1FD1">
      <w:pPr>
        <w:jc w:val="center"/>
        <w:rPr>
          <w:b/>
          <w:bCs/>
        </w:rPr>
      </w:pPr>
    </w:p>
    <w:p w14:paraId="22C09D47" w14:textId="77777777" w:rsidR="000C3D24" w:rsidRPr="002B77A6" w:rsidRDefault="000C3D24" w:rsidP="000C1FD1">
      <w:pPr>
        <w:jc w:val="center"/>
        <w:rPr>
          <w:b/>
          <w:bCs/>
        </w:rPr>
      </w:pPr>
    </w:p>
    <w:p w14:paraId="60EB4300" w14:textId="77777777" w:rsidR="00014CFB" w:rsidRDefault="00014CFB" w:rsidP="00014CFB">
      <w:pPr>
        <w:pStyle w:val="Nadpis3"/>
      </w:pPr>
      <w:bookmarkStart w:id="4" w:name="_Ref477351956"/>
      <w:r>
        <w:lastRenderedPageBreak/>
        <w:t>Dodací podmínky</w:t>
      </w:r>
    </w:p>
    <w:p w14:paraId="60EB430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9659E5C" w14:textId="77777777" w:rsidR="00667036" w:rsidRDefault="00667036" w:rsidP="00667036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dle volby Kupujícího Pracoviště </w:t>
      </w:r>
      <w:r w:rsidRPr="00923251">
        <w:t>Nemocnice Bohunice a Porodnice</w:t>
      </w:r>
      <w:r>
        <w:t>, Jihlavská 20, 625 00 Brno, a Obilní trh 11, 602 00 Brno, a Pracoviště Dětská nemocnice, Černopolní 9, 613 00 Brno.</w:t>
      </w:r>
    </w:p>
    <w:p w14:paraId="60EB430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04" w14:textId="215EC489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 w:rsidR="008B263D">
        <w:rPr>
          <w:b/>
        </w:rPr>
        <w:t>dvou pracovních dnů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60EB430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06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60EB430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08" w14:textId="420DAE9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 xml:space="preserve">, případně ve formátech XML nebo CSV sestavený tak, aby umožnil automatizovanou </w:t>
      </w:r>
      <w:r w:rsidR="0086234D">
        <w:t>konverzi do formátu PDK verze 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0EB4309" w14:textId="77777777" w:rsidR="00EA4C8B" w:rsidRDefault="00EA4C8B" w:rsidP="009C057C">
      <w:pPr>
        <w:pStyle w:val="Psmenoodstavce"/>
        <w:ind w:left="1418" w:firstLine="0"/>
      </w:pPr>
      <w:r>
        <w:t>identifikační údaje Kupujícího a Prodávajícího;</w:t>
      </w:r>
    </w:p>
    <w:p w14:paraId="60EB430A" w14:textId="77777777" w:rsidR="00EA4C8B" w:rsidRDefault="00EA4C8B" w:rsidP="009C057C">
      <w:pPr>
        <w:pStyle w:val="Psmenoodstavce"/>
        <w:ind w:left="1418" w:firstLine="0"/>
      </w:pPr>
      <w:r>
        <w:t>evidenční číslo Dodacího listu;</w:t>
      </w:r>
    </w:p>
    <w:p w14:paraId="60EB430B" w14:textId="77777777" w:rsidR="00806564" w:rsidRDefault="00806564" w:rsidP="009C057C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60EB430C" w14:textId="77777777" w:rsidR="00EA4C8B" w:rsidRDefault="00EA4C8B" w:rsidP="009C057C">
      <w:pPr>
        <w:pStyle w:val="Psmenoodstavce"/>
        <w:ind w:left="1418" w:firstLine="0"/>
      </w:pPr>
      <w:r>
        <w:t>datum uskutečnění dodávky;</w:t>
      </w:r>
    </w:p>
    <w:p w14:paraId="60EB430D" w14:textId="77777777" w:rsidR="00EA4C8B" w:rsidRDefault="00EA4C8B" w:rsidP="009C057C">
      <w:pPr>
        <w:pStyle w:val="Psmenoodstavce"/>
        <w:ind w:left="1418" w:firstLine="0"/>
      </w:pPr>
      <w:r>
        <w:t>specifikace dodaného Zboží a množství;</w:t>
      </w:r>
    </w:p>
    <w:p w14:paraId="60EB430E" w14:textId="77777777" w:rsidR="00EA4C8B" w:rsidRDefault="00EA4C8B" w:rsidP="009C057C">
      <w:pPr>
        <w:pStyle w:val="Psmenoodstavce"/>
        <w:ind w:left="1418" w:firstLine="0"/>
      </w:pPr>
      <w:r>
        <w:t>jednotkové ceny dodaného Zboží (bez DPH a včetně DPH);</w:t>
      </w:r>
    </w:p>
    <w:p w14:paraId="60EB430F" w14:textId="77777777" w:rsidR="00EA4C8B" w:rsidRDefault="00EA4C8B" w:rsidP="009C057C">
      <w:pPr>
        <w:pStyle w:val="Psmenoodstavce"/>
        <w:ind w:left="1418" w:firstLine="0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60EB4310" w14:textId="77777777" w:rsidR="00EA4C8B" w:rsidRDefault="00EA4C8B" w:rsidP="009C057C">
      <w:pPr>
        <w:pStyle w:val="Psmenoodstavce"/>
        <w:ind w:left="1418" w:firstLine="0"/>
      </w:pPr>
      <w:r w:rsidRPr="00512AB9">
        <w:t>údaje o kódech SÚKL</w:t>
      </w:r>
      <w:r w:rsidR="00941D28">
        <w:t>;</w:t>
      </w:r>
    </w:p>
    <w:p w14:paraId="60EB4311" w14:textId="77777777" w:rsidR="00E26944" w:rsidRDefault="00941D28" w:rsidP="009C057C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60EB4312" w14:textId="77777777" w:rsidR="009C057C" w:rsidRDefault="00754D50" w:rsidP="009C057C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0EB4313" w14:textId="0003DEBB" w:rsidR="009C057C" w:rsidRDefault="00E8544B" w:rsidP="009C057C">
      <w:pPr>
        <w:pStyle w:val="Psmenoodstavce"/>
        <w:ind w:left="1418" w:firstLine="0"/>
      </w:pPr>
      <w:r>
        <w:t>kód VZP u tzv. ZUM a LP, pokud je přidělený</w:t>
      </w:r>
      <w:r w:rsidR="009C057C">
        <w:t>.</w:t>
      </w:r>
    </w:p>
    <w:p w14:paraId="60EB4314" w14:textId="77777777" w:rsidR="009C057C" w:rsidRDefault="009C057C" w:rsidP="009C057C">
      <w:pPr>
        <w:pStyle w:val="Psmenoodstavce"/>
        <w:numPr>
          <w:ilvl w:val="0"/>
          <w:numId w:val="0"/>
        </w:numPr>
        <w:ind w:left="1418"/>
      </w:pPr>
    </w:p>
    <w:p w14:paraId="60EB4315" w14:textId="77777777" w:rsidR="00B57703" w:rsidRDefault="00B57703" w:rsidP="009C057C">
      <w:pPr>
        <w:pStyle w:val="Odstavecsmlouvy"/>
        <w:numPr>
          <w:ilvl w:val="0"/>
          <w:numId w:val="0"/>
        </w:numPr>
        <w:ind w:left="567"/>
      </w:pPr>
    </w:p>
    <w:p w14:paraId="60EB4316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0EB43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18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0EB4319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0EB431A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</w:t>
      </w:r>
      <w:r w:rsidRPr="00512AB9">
        <w:lastRenderedPageBreak/>
        <w:t xml:space="preserve">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0EB43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1C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0EB431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1E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0EB431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2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60EB432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22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0EB432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24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0EB432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EB4326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0EB4327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0EB4328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0EB4329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2A" w14:textId="57925F3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667036">
        <w:t>541/2020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60EB432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2C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60EB432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41E47E" w14:textId="2035F316" w:rsidR="006A5CD1" w:rsidRDefault="006A5CD1" w:rsidP="006A5CD1">
      <w:pPr>
        <w:pStyle w:val="Odstavecsmlouvy"/>
      </w:pPr>
      <w:bookmarkStart w:id="9" w:name="_Hlk126045554"/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průměrnou roční míru inflace za předchozí kalendářní rok </w:t>
      </w:r>
      <w:r w:rsidRPr="006E1A4C">
        <w:t xml:space="preserve">zveřejněnou Českým statistickým úřadem, nejvýše však o 5 % (i v případě, že míra inflace za předchozí kalendářní rok bude vyšší) a to vždy k 1. 4. </w:t>
      </w:r>
      <w:r w:rsidRPr="00552B40">
        <w:t>přísl</w:t>
      </w:r>
      <w:r w:rsidR="0078211D">
        <w:t>ušného roku, počínaje 1. 4. 2024</w:t>
      </w:r>
      <w:r w:rsidRPr="00552B40">
        <w:t>. Zvýšení jednotkových cen dle Přílohy č. 1 této smlouvy o inflaci je Prodávající povinen Kupujícímu oznámit nejpozději</w:t>
      </w:r>
      <w:r w:rsidRPr="006E1A4C">
        <w:t xml:space="preserve"> do 15. 3. příslušného roku, jinak toto právo navýšit jednotkové ceny dle Přílohy č. 1 této smlouvy v příslušném roce zaniká.</w:t>
      </w:r>
    </w:p>
    <w:bookmarkEnd w:id="9"/>
    <w:p w14:paraId="52E77756" w14:textId="77777777" w:rsidR="006A5CD1" w:rsidRPr="006E1A4C" w:rsidRDefault="006A5CD1" w:rsidP="006A5CD1">
      <w:pPr>
        <w:pStyle w:val="Odstavecsmlouvy"/>
        <w:numPr>
          <w:ilvl w:val="0"/>
          <w:numId w:val="0"/>
        </w:numPr>
      </w:pPr>
    </w:p>
    <w:p w14:paraId="14D9F59D" w14:textId="77777777" w:rsidR="006A5CD1" w:rsidRDefault="006A5CD1" w:rsidP="006A5CD1">
      <w:pPr>
        <w:pStyle w:val="Odstavecsmlouvy"/>
      </w:pPr>
      <w:r w:rsidRPr="006E1A4C">
        <w:t xml:space="preserve">Ustanovení </w:t>
      </w:r>
      <w:proofErr w:type="gramStart"/>
      <w:r w:rsidRPr="006E1A4C">
        <w:t>čl. V.</w:t>
      </w:r>
      <w:r>
        <w:t xml:space="preserve"> </w:t>
      </w:r>
      <w:r w:rsidRPr="006E1A4C">
        <w:t>4  této</w:t>
      </w:r>
      <w:proofErr w:type="gramEnd"/>
      <w:r w:rsidRPr="006E1A4C">
        <w:t xml:space="preserve"> smlouvy se použije pouze v případě, že průměrná roční míra inflace za předchozí kalendářní rok bude vyšší nebo rovna 2 %. V případě záporné míry inflace se kupní cena nesnižuje.</w:t>
      </w:r>
    </w:p>
    <w:p w14:paraId="08B03392" w14:textId="77777777" w:rsidR="006A5CD1" w:rsidRDefault="006A5CD1" w:rsidP="006A5CD1">
      <w:pPr>
        <w:pStyle w:val="Odstavecsmlouvy"/>
        <w:numPr>
          <w:ilvl w:val="0"/>
          <w:numId w:val="0"/>
        </w:numPr>
        <w:ind w:left="567"/>
      </w:pPr>
    </w:p>
    <w:p w14:paraId="6AB72FF8" w14:textId="4A5D3D30" w:rsidR="006A5CD1" w:rsidRPr="00566630" w:rsidRDefault="006A5CD1" w:rsidP="006A5CD1">
      <w:pPr>
        <w:pStyle w:val="Odstavecsmlouvy"/>
      </w:pPr>
      <w:r>
        <w:rPr>
          <w:shd w:val="clear" w:color="auto" w:fill="FFFFFF"/>
        </w:rPr>
        <w:lastRenderedPageBreak/>
        <w:t>Prodávající se zavazuje písemně informovat kupujícího o změně regulačních předpisů mající vliv na cenu léčivých přípravků, které jsou předmětem plnění této smlouvy. V případě, že dojde ke snížení/zvýšení úhradových cen předmětu plnění, je prodávající povinen provést snížení/zvýšení kupní ceny dodatkem k této smlouvě.</w:t>
      </w:r>
    </w:p>
    <w:p w14:paraId="60EB4331" w14:textId="77777777" w:rsidR="009C057C" w:rsidRDefault="009C057C" w:rsidP="000C1FD1">
      <w:pPr>
        <w:pStyle w:val="Odstavecsmlouvy"/>
        <w:numPr>
          <w:ilvl w:val="0"/>
          <w:numId w:val="0"/>
        </w:numPr>
        <w:ind w:left="567"/>
      </w:pPr>
    </w:p>
    <w:p w14:paraId="60EB4332" w14:textId="77777777" w:rsidR="000C1FD1" w:rsidRDefault="000C1FD1" w:rsidP="000C1FD1">
      <w:pPr>
        <w:pStyle w:val="Nadpis3"/>
      </w:pPr>
      <w:r>
        <w:t>Platební podmínky</w:t>
      </w:r>
    </w:p>
    <w:p w14:paraId="60EB4333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34" w14:textId="6727FAB4" w:rsidR="000C1FD1" w:rsidRPr="00B16CF2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B16CF2">
        <w:t xml:space="preserve">k jednotlivým </w:t>
      </w:r>
      <w:r w:rsidR="00B16CF2" w:rsidRPr="00B16CF2">
        <w:t>o</w:t>
      </w:r>
      <w:r w:rsidRPr="00B16CF2">
        <w:t xml:space="preserve">bjednávkám. </w:t>
      </w:r>
    </w:p>
    <w:p w14:paraId="60EB433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36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60EB4337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38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0EB4339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0EB433A" w14:textId="77777777" w:rsidR="000C1FD1" w:rsidRDefault="000C1FD1" w:rsidP="000C1FD1">
      <w:pPr>
        <w:pStyle w:val="Psmenoodstavce"/>
      </w:pPr>
      <w:r>
        <w:t>evidenční číslo daňového dokladu;</w:t>
      </w:r>
    </w:p>
    <w:p w14:paraId="60EB433B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0EB433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0EB433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0EB433E" w14:textId="77777777" w:rsidR="000C1FD1" w:rsidRDefault="000C1FD1" w:rsidP="000C1FD1">
      <w:pPr>
        <w:pStyle w:val="Psmenoodstavce"/>
      </w:pPr>
      <w:r>
        <w:t>datum splatnosti;</w:t>
      </w:r>
    </w:p>
    <w:p w14:paraId="60EB433F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0EB4340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60EB4341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60EB4342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60EB4343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0EB4344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0EB4345" w14:textId="24FDBB06" w:rsidR="00754D50" w:rsidRDefault="00E8544B" w:rsidP="00754D50">
      <w:pPr>
        <w:pStyle w:val="Psmenoodstavce"/>
      </w:pPr>
      <w:r>
        <w:t>kód VZP u tzv. ZUM a LP, pokud je přidělený</w:t>
      </w:r>
      <w:r w:rsidR="009C057C">
        <w:t>.</w:t>
      </w:r>
    </w:p>
    <w:p w14:paraId="60EB434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7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0EB434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9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0EB434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B63C217" w14:textId="77777777" w:rsidR="00E9008E" w:rsidRDefault="00E9008E" w:rsidP="00E9008E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0EB434C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D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0EB434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4F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</w:t>
      </w:r>
      <w:r w:rsidRPr="00257643">
        <w:rPr>
          <w:color w:val="000000"/>
        </w:rPr>
        <w:lastRenderedPageBreak/>
        <w:t>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0EB4350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0EB4351" w14:textId="50302B5D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</w:p>
    <w:p w14:paraId="60EB4352" w14:textId="77777777" w:rsidR="00EE6269" w:rsidRDefault="00EE6269" w:rsidP="000C1FD1">
      <w:pPr>
        <w:rPr>
          <w:b/>
          <w:bCs/>
        </w:rPr>
      </w:pPr>
    </w:p>
    <w:p w14:paraId="60EB4353" w14:textId="77777777" w:rsidR="009C057C" w:rsidRDefault="009C057C" w:rsidP="000C1FD1">
      <w:pPr>
        <w:rPr>
          <w:b/>
          <w:bCs/>
        </w:rPr>
      </w:pPr>
    </w:p>
    <w:bookmarkEnd w:id="0"/>
    <w:p w14:paraId="60EB4354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0EB4355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0EB43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0EB435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0EB4358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0EB4359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0EB435A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60EB435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0EB435C" w14:textId="29A096D3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="00FD23D4">
        <w:rPr>
          <w:b/>
        </w:rPr>
        <w:t>minimálně 5</w:t>
      </w:r>
      <w:r w:rsidRPr="00CD098E">
        <w:rPr>
          <w:b/>
        </w:rPr>
        <w:t>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0EB435D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0EB435E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60EB435F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0EB4360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0EB436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0EB436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0EB4363" w14:textId="77777777" w:rsidR="00726B26" w:rsidRDefault="00726B26" w:rsidP="00726B26">
      <w:pPr>
        <w:jc w:val="center"/>
        <w:rPr>
          <w:b/>
          <w:bCs/>
        </w:rPr>
      </w:pPr>
    </w:p>
    <w:p w14:paraId="60EB4364" w14:textId="77777777" w:rsidR="009C057C" w:rsidRPr="002B77A6" w:rsidRDefault="009C057C" w:rsidP="00726B26">
      <w:pPr>
        <w:jc w:val="center"/>
        <w:rPr>
          <w:b/>
          <w:bCs/>
        </w:rPr>
      </w:pPr>
    </w:p>
    <w:p w14:paraId="60EB4365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0EB4366" w14:textId="77777777" w:rsidR="00726B26" w:rsidRPr="002B77A6" w:rsidRDefault="00726B26" w:rsidP="00726B26">
      <w:pPr>
        <w:jc w:val="center"/>
        <w:rPr>
          <w:b/>
          <w:bCs/>
        </w:rPr>
      </w:pPr>
    </w:p>
    <w:p w14:paraId="60EB4367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0EB4368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0EB4369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60EB436A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0EB436B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0EB436C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0EB436D" w14:textId="77777777" w:rsidR="009F5A27" w:rsidRPr="009F5A27" w:rsidRDefault="009F5A27" w:rsidP="009F5A27">
      <w:pPr>
        <w:pStyle w:val="Odstavecsmlouvy"/>
      </w:pPr>
      <w:r w:rsidRPr="009F5A27">
        <w:lastRenderedPageBreak/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0EB436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0EB436F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0EB4370" w14:textId="77777777" w:rsidR="00EE6269" w:rsidRDefault="00EE6269" w:rsidP="00726B26">
      <w:pPr>
        <w:jc w:val="center"/>
        <w:rPr>
          <w:b/>
          <w:bCs/>
        </w:rPr>
      </w:pPr>
    </w:p>
    <w:p w14:paraId="60EB4371" w14:textId="77777777" w:rsidR="009C057C" w:rsidRDefault="009C057C" w:rsidP="00726B26">
      <w:pPr>
        <w:jc w:val="center"/>
        <w:rPr>
          <w:b/>
          <w:bCs/>
        </w:rPr>
      </w:pPr>
    </w:p>
    <w:p w14:paraId="60EB4372" w14:textId="77777777" w:rsidR="00726B26" w:rsidRDefault="00726B26" w:rsidP="00C92C8B">
      <w:pPr>
        <w:pStyle w:val="Nadpis1"/>
      </w:pPr>
      <w:r w:rsidRPr="002B77A6">
        <w:t>Závěrečná ujednání</w:t>
      </w:r>
    </w:p>
    <w:p w14:paraId="60EB4373" w14:textId="77777777" w:rsidR="00726B26" w:rsidRPr="002B77A6" w:rsidRDefault="00726B26" w:rsidP="00726B26">
      <w:pPr>
        <w:jc w:val="center"/>
        <w:rPr>
          <w:b/>
          <w:bCs/>
        </w:rPr>
      </w:pPr>
    </w:p>
    <w:p w14:paraId="363103A0" w14:textId="11868C3F" w:rsidR="00E9008E" w:rsidRDefault="00150469" w:rsidP="00E9008E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71BEF712" w14:textId="77777777" w:rsidR="00E9008E" w:rsidRDefault="00E9008E" w:rsidP="00E9008E">
      <w:pPr>
        <w:pStyle w:val="Odstavecsmlouvy"/>
        <w:numPr>
          <w:ilvl w:val="0"/>
          <w:numId w:val="0"/>
        </w:numPr>
        <w:ind w:left="567"/>
      </w:pPr>
    </w:p>
    <w:p w14:paraId="60EB4377" w14:textId="4DF9B197" w:rsidR="009F5A27" w:rsidRPr="00E9008E" w:rsidRDefault="00E9008E" w:rsidP="00E9008E">
      <w:pPr>
        <w:pStyle w:val="Odstavecsmlouvy"/>
      </w:pPr>
      <w:r>
        <w:t xml:space="preserve">Tato smlouva nabývá platnosti dnem podpisu obou smluvních stran a </w:t>
      </w:r>
      <w:r w:rsidRPr="00E9008E">
        <w:rPr>
          <w:b/>
        </w:rPr>
        <w:t>účinnosti dnem uveřejnění</w:t>
      </w:r>
      <w:r>
        <w:t xml:space="preserve"> v registru smluv podle zákona o registru smluv a </w:t>
      </w:r>
      <w:r w:rsidRPr="009F5A27">
        <w:t xml:space="preserve">je uzavřena na dobu </w:t>
      </w:r>
      <w:r w:rsidRPr="00E9008E">
        <w:rPr>
          <w:b/>
        </w:rPr>
        <w:t>čtyř let</w:t>
      </w:r>
      <w:r>
        <w:rPr>
          <w:b/>
        </w:rPr>
        <w:t>.</w:t>
      </w:r>
    </w:p>
    <w:p w14:paraId="7F1EC5F8" w14:textId="77777777" w:rsidR="00E9008E" w:rsidRDefault="00E9008E" w:rsidP="00E9008E">
      <w:pPr>
        <w:pStyle w:val="Odstavecsmlouvy"/>
        <w:numPr>
          <w:ilvl w:val="0"/>
          <w:numId w:val="0"/>
        </w:numPr>
        <w:ind w:left="567"/>
      </w:pPr>
    </w:p>
    <w:p w14:paraId="60EB4378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0EB4379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0EB437A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15CC9021" w14:textId="351E2E47" w:rsidR="00E9008E" w:rsidRDefault="00E9008E" w:rsidP="00E9008E">
      <w:pPr>
        <w:pStyle w:val="Odstavecsmlouvy"/>
        <w:numPr>
          <w:ilvl w:val="0"/>
          <w:numId w:val="0"/>
        </w:numPr>
      </w:pPr>
    </w:p>
    <w:p w14:paraId="761D425B" w14:textId="1901ED8D" w:rsidR="00E9008E" w:rsidRDefault="00E9008E" w:rsidP="00E9008E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7A02ED2C" w14:textId="77777777" w:rsidR="00E9008E" w:rsidRDefault="00E9008E" w:rsidP="00E9008E">
      <w:pPr>
        <w:pStyle w:val="Odstavecsmlouvy"/>
        <w:numPr>
          <w:ilvl w:val="0"/>
          <w:numId w:val="0"/>
        </w:numPr>
        <w:ind w:left="567"/>
      </w:pPr>
    </w:p>
    <w:p w14:paraId="60EB437C" w14:textId="78775A35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0EB437D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7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EB437F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0EB4380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0EB4381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82" w14:textId="77777777" w:rsidR="001D71E3" w:rsidRDefault="00726B26" w:rsidP="001D71E3">
      <w:pPr>
        <w:pStyle w:val="Odstavecsmlouvy"/>
      </w:pPr>
      <w:r w:rsidRPr="001D71E3">
        <w:t xml:space="preserve"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</w:t>
      </w:r>
      <w:r w:rsidRPr="001D71E3">
        <w:lastRenderedPageBreak/>
        <w:t>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0EB4383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84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0EB4385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298F846" w14:textId="77777777" w:rsidR="00E9008E" w:rsidRPr="00766CF0" w:rsidRDefault="00E9008E" w:rsidP="00E9008E">
      <w:pPr>
        <w:pStyle w:val="Odstavecsmlouvy"/>
        <w:rPr>
          <w:snapToGrid w:val="0"/>
        </w:rPr>
      </w:pPr>
      <w:r w:rsidRPr="00766CF0">
        <w:rPr>
          <w:snapToGrid w:val="0"/>
        </w:rPr>
        <w:t>Tato smlouva je sepsána ve třech vyhotoveních stejné platnosti a závaznosti, přičemž Kupující obdrží dvě vyhotovení a Prodávající obdrží jedno vyhotovení. Případně je tato smlouva vyhotovena elektronicky a podepsána uznávaným elektronickým podpisem.</w:t>
      </w:r>
    </w:p>
    <w:p w14:paraId="60EB4387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0EB4388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0EB4389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0EB438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0EB438B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0EB438C" w14:textId="77777777" w:rsidR="004A45B0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60EB438D" w14:textId="77777777" w:rsidR="009C057C" w:rsidRPr="00D722DC" w:rsidRDefault="009C057C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0EB4391" w14:textId="77777777" w:rsidTr="005B49AA">
        <w:tc>
          <w:tcPr>
            <w:tcW w:w="4077" w:type="dxa"/>
            <w:shd w:val="clear" w:color="auto" w:fill="auto"/>
          </w:tcPr>
          <w:p w14:paraId="60EB438E" w14:textId="2BB7C89A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552BBB">
              <w:rPr>
                <w:sz w:val="22"/>
                <w:szCs w:val="22"/>
              </w:rPr>
              <w:t>e Veverské Bítýšce,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552BBB">
              <w:rPr>
                <w:sz w:val="22"/>
                <w:szCs w:val="22"/>
              </w:rPr>
              <w:t xml:space="preserve"> 27. 7. 2023</w:t>
            </w:r>
          </w:p>
        </w:tc>
        <w:tc>
          <w:tcPr>
            <w:tcW w:w="1134" w:type="dxa"/>
            <w:shd w:val="clear" w:color="auto" w:fill="auto"/>
          </w:tcPr>
          <w:p w14:paraId="60EB43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0EB4390" w14:textId="44977378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552BBB">
              <w:rPr>
                <w:sz w:val="22"/>
                <w:szCs w:val="22"/>
              </w:rPr>
              <w:t xml:space="preserve"> 4. 8. 2023</w:t>
            </w:r>
            <w:bookmarkStart w:id="10" w:name="_GoBack"/>
            <w:bookmarkEnd w:id="10"/>
          </w:p>
        </w:tc>
      </w:tr>
      <w:tr w:rsidR="004A45B0" w:rsidRPr="00D722DC" w14:paraId="60EB439A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0EB439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4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5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EB439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EB43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0EB439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0EB43A1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0EB439B" w14:textId="285ECC60" w:rsidR="004A45B0" w:rsidRPr="00D722DC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HARTMANN – RICO a.s. </w:t>
            </w:r>
          </w:p>
          <w:p w14:paraId="36E4BBE4" w14:textId="77777777" w:rsidR="004A45B0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Tomáš Groh  </w:t>
            </w:r>
          </w:p>
          <w:p w14:paraId="719B9914" w14:textId="77777777" w:rsidR="00875B96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83964BE" w14:textId="77777777" w:rsidR="00875B96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07242D4B" w14:textId="77777777" w:rsidR="00875B96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65DB7BB4" w14:textId="77777777" w:rsidR="00875B96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2B5513D9" w14:textId="77777777" w:rsidR="00875B96" w:rsidRDefault="00875B96" w:rsidP="005B49AA">
            <w:pPr>
              <w:pStyle w:val="slovn"/>
              <w:numPr>
                <w:ilvl w:val="0"/>
                <w:numId w:val="0"/>
              </w:numPr>
              <w:pBdr>
                <w:bottom w:val="single" w:sz="6" w:space="1" w:color="auto"/>
              </w:pBd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22DA32AA" w14:textId="77777777" w:rsidR="00875B96" w:rsidRPr="00EC0511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C0511">
              <w:rPr>
                <w:b/>
                <w:bCs/>
                <w:sz w:val="22"/>
                <w:szCs w:val="22"/>
              </w:rPr>
              <w:t xml:space="preserve">HARTMANN – RICO a.s. </w:t>
            </w:r>
          </w:p>
          <w:p w14:paraId="0272B6F7" w14:textId="77777777" w:rsidR="00875B96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Marek </w:t>
            </w:r>
            <w:proofErr w:type="spellStart"/>
            <w:r>
              <w:rPr>
                <w:sz w:val="22"/>
                <w:szCs w:val="22"/>
              </w:rPr>
              <w:t>Třeška</w:t>
            </w:r>
            <w:proofErr w:type="spellEnd"/>
            <w:r>
              <w:rPr>
                <w:sz w:val="22"/>
                <w:szCs w:val="22"/>
              </w:rPr>
              <w:t>, MBA</w:t>
            </w:r>
          </w:p>
          <w:p w14:paraId="60EB439C" w14:textId="56744204" w:rsidR="00875B96" w:rsidRPr="00D722DC" w:rsidRDefault="00875B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 představenstva  </w:t>
            </w:r>
          </w:p>
        </w:tc>
        <w:tc>
          <w:tcPr>
            <w:tcW w:w="1134" w:type="dxa"/>
            <w:shd w:val="clear" w:color="auto" w:fill="auto"/>
          </w:tcPr>
          <w:p w14:paraId="60EB439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0EB439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0EB439F" w14:textId="019B48E2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 xml:space="preserve">MUDr. </w:t>
            </w:r>
            <w:r w:rsidR="00682F7D">
              <w:rPr>
                <w:sz w:val="22"/>
                <w:szCs w:val="22"/>
              </w:rPr>
              <w:t>Ivo Rovný</w:t>
            </w:r>
            <w:r w:rsidRPr="00D722DC">
              <w:rPr>
                <w:sz w:val="22"/>
                <w:szCs w:val="22"/>
              </w:rPr>
              <w:t>, MBA, ředitel</w:t>
            </w:r>
          </w:p>
          <w:p w14:paraId="60EB43A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60EB43A2" w14:textId="77777777" w:rsidR="000729CF" w:rsidRPr="00D722DC" w:rsidRDefault="000729CF" w:rsidP="000729CF"/>
    <w:p w14:paraId="2502E700" w14:textId="77777777" w:rsidR="00290482" w:rsidRDefault="000729CF" w:rsidP="007E416F">
      <w:pPr>
        <w:jc w:val="center"/>
        <w:sectPr w:rsidR="00290482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  <w:r>
        <w:br w:type="page"/>
      </w:r>
    </w:p>
    <w:p w14:paraId="60EB43A3" w14:textId="28461E3E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0EB43A4" w14:textId="77777777" w:rsidR="007E416F" w:rsidRPr="000729CF" w:rsidRDefault="007E416F" w:rsidP="007E416F">
      <w:pPr>
        <w:jc w:val="center"/>
        <w:rPr>
          <w:b/>
        </w:rPr>
      </w:pPr>
    </w:p>
    <w:p w14:paraId="60EB43A5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73DF1440" w14:textId="0C8C0094" w:rsidR="00290482" w:rsidRPr="00076420" w:rsidRDefault="00290482" w:rsidP="00290482">
      <w:pPr>
        <w:suppressAutoHyphens/>
        <w:rPr>
          <w:color w:val="000000"/>
        </w:rPr>
      </w:pPr>
    </w:p>
    <w:p w14:paraId="5018C2F3" w14:textId="77777777" w:rsidR="00290482" w:rsidRPr="00076420" w:rsidRDefault="00290482" w:rsidP="00290482"/>
    <w:tbl>
      <w:tblPr>
        <w:tblStyle w:val="Mkatabulky"/>
        <w:tblW w:w="13325" w:type="dxa"/>
        <w:tblInd w:w="108" w:type="dxa"/>
        <w:tblLook w:val="04A0" w:firstRow="1" w:lastRow="0" w:firstColumn="1" w:lastColumn="0" w:noHBand="0" w:noVBand="1"/>
      </w:tblPr>
      <w:tblGrid>
        <w:gridCol w:w="2850"/>
        <w:gridCol w:w="1970"/>
        <w:gridCol w:w="1559"/>
        <w:gridCol w:w="1559"/>
        <w:gridCol w:w="1701"/>
        <w:gridCol w:w="1701"/>
        <w:gridCol w:w="1985"/>
      </w:tblGrid>
      <w:tr w:rsidR="00290482" w:rsidRPr="00076420" w14:paraId="7F81208F" w14:textId="77777777" w:rsidTr="00B854E4">
        <w:tc>
          <w:tcPr>
            <w:tcW w:w="2850" w:type="dxa"/>
          </w:tcPr>
          <w:p w14:paraId="60FBCD1A" w14:textId="77777777" w:rsidR="00290482" w:rsidRPr="00076420" w:rsidRDefault="00290482" w:rsidP="00B854E4">
            <w:r>
              <w:t>Název</w:t>
            </w:r>
          </w:p>
        </w:tc>
        <w:tc>
          <w:tcPr>
            <w:tcW w:w="1970" w:type="dxa"/>
          </w:tcPr>
          <w:p w14:paraId="36F83CB5" w14:textId="77777777" w:rsidR="00290482" w:rsidRDefault="00290482" w:rsidP="00B854E4">
            <w:r>
              <w:t>Katalogové číslo</w:t>
            </w:r>
          </w:p>
        </w:tc>
        <w:tc>
          <w:tcPr>
            <w:tcW w:w="1559" w:type="dxa"/>
          </w:tcPr>
          <w:p w14:paraId="6C3DB28F" w14:textId="77777777" w:rsidR="00290482" w:rsidRDefault="00290482" w:rsidP="00B854E4">
            <w:r>
              <w:t>Kód VZ</w:t>
            </w:r>
          </w:p>
        </w:tc>
        <w:tc>
          <w:tcPr>
            <w:tcW w:w="1559" w:type="dxa"/>
          </w:tcPr>
          <w:p w14:paraId="15F80ABE" w14:textId="77777777" w:rsidR="00290482" w:rsidRDefault="00290482" w:rsidP="00B854E4">
            <w:r>
              <w:t>T</w:t>
            </w:r>
            <w:r w:rsidRPr="00FD4260">
              <w:t>řída míry rizika</w:t>
            </w:r>
          </w:p>
        </w:tc>
        <w:tc>
          <w:tcPr>
            <w:tcW w:w="1701" w:type="dxa"/>
          </w:tcPr>
          <w:p w14:paraId="67C0D8FD" w14:textId="77777777" w:rsidR="00290482" w:rsidRPr="00076420" w:rsidRDefault="00290482" w:rsidP="00B854E4">
            <w:r>
              <w:t>Cena za 1 ks bez DPH</w:t>
            </w:r>
          </w:p>
        </w:tc>
        <w:tc>
          <w:tcPr>
            <w:tcW w:w="1701" w:type="dxa"/>
          </w:tcPr>
          <w:p w14:paraId="6C514410" w14:textId="77777777" w:rsidR="00290482" w:rsidRPr="00076420" w:rsidRDefault="00290482" w:rsidP="00B854E4">
            <w:r>
              <w:t>Výše DPH</w:t>
            </w:r>
          </w:p>
        </w:tc>
        <w:tc>
          <w:tcPr>
            <w:tcW w:w="1985" w:type="dxa"/>
          </w:tcPr>
          <w:p w14:paraId="04AD1812" w14:textId="77777777" w:rsidR="00290482" w:rsidRPr="00076420" w:rsidRDefault="00290482" w:rsidP="00B854E4">
            <w:r>
              <w:t>Cena za 1 ks včetně DPH</w:t>
            </w:r>
          </w:p>
        </w:tc>
      </w:tr>
      <w:tr w:rsidR="00290482" w:rsidRPr="00A735F8" w14:paraId="374C8A11" w14:textId="77777777" w:rsidTr="00B854E4">
        <w:tc>
          <w:tcPr>
            <w:tcW w:w="2850" w:type="dxa"/>
          </w:tcPr>
          <w:p w14:paraId="17CB0CBB" w14:textId="77777777" w:rsidR="00290482" w:rsidRPr="00A735F8" w:rsidRDefault="00290482" w:rsidP="00B854E4">
            <w:r w:rsidRPr="003A00DF">
              <w:t>Plenkové kalhotky denní pro dospělé mobilní pacienty</w:t>
            </w:r>
            <w:r>
              <w:t>, denní</w:t>
            </w:r>
            <w:r w:rsidRPr="00A735F8">
              <w:t xml:space="preserve"> – velikost M</w:t>
            </w:r>
          </w:p>
        </w:tc>
        <w:tc>
          <w:tcPr>
            <w:tcW w:w="1970" w:type="dxa"/>
          </w:tcPr>
          <w:p w14:paraId="63B4224C" w14:textId="77777777" w:rsidR="00290482" w:rsidRPr="00A735F8" w:rsidRDefault="00290482" w:rsidP="00B854E4">
            <w:pPr>
              <w:jc w:val="center"/>
            </w:pPr>
            <w:r>
              <w:t>915832</w:t>
            </w:r>
          </w:p>
        </w:tc>
        <w:tc>
          <w:tcPr>
            <w:tcW w:w="1559" w:type="dxa"/>
          </w:tcPr>
          <w:p w14:paraId="10949893" w14:textId="77777777" w:rsidR="00290482" w:rsidRPr="00A735F8" w:rsidRDefault="00290482" w:rsidP="00B854E4"/>
        </w:tc>
        <w:tc>
          <w:tcPr>
            <w:tcW w:w="1559" w:type="dxa"/>
          </w:tcPr>
          <w:p w14:paraId="2FAE0683" w14:textId="77777777" w:rsidR="00290482" w:rsidRPr="00A735F8" w:rsidRDefault="00290482" w:rsidP="00B854E4">
            <w:pPr>
              <w:jc w:val="center"/>
            </w:pPr>
            <w:proofErr w:type="gramStart"/>
            <w:r>
              <w:t>Tř.1</w:t>
            </w:r>
            <w:proofErr w:type="gramEnd"/>
          </w:p>
        </w:tc>
        <w:tc>
          <w:tcPr>
            <w:tcW w:w="1701" w:type="dxa"/>
          </w:tcPr>
          <w:p w14:paraId="423C9187" w14:textId="77777777" w:rsidR="00290482" w:rsidRPr="00A735F8" w:rsidRDefault="00290482" w:rsidP="00B854E4">
            <w:pPr>
              <w:jc w:val="center"/>
            </w:pPr>
            <w:r>
              <w:t>14,30 Kč</w:t>
            </w:r>
          </w:p>
        </w:tc>
        <w:tc>
          <w:tcPr>
            <w:tcW w:w="1701" w:type="dxa"/>
          </w:tcPr>
          <w:p w14:paraId="28A7BBE4" w14:textId="77777777" w:rsidR="00290482" w:rsidRPr="00A735F8" w:rsidRDefault="00290482" w:rsidP="00B854E4">
            <w:pPr>
              <w:jc w:val="center"/>
            </w:pPr>
            <w:r>
              <w:t>15%</w:t>
            </w:r>
          </w:p>
        </w:tc>
        <w:tc>
          <w:tcPr>
            <w:tcW w:w="1985" w:type="dxa"/>
          </w:tcPr>
          <w:p w14:paraId="45DFD71F" w14:textId="77777777" w:rsidR="00290482" w:rsidRPr="00A735F8" w:rsidRDefault="00290482" w:rsidP="00B854E4">
            <w:pPr>
              <w:jc w:val="center"/>
            </w:pPr>
            <w:r>
              <w:t>16,45 Kč</w:t>
            </w:r>
          </w:p>
        </w:tc>
      </w:tr>
      <w:tr w:rsidR="00290482" w:rsidRPr="00A735F8" w14:paraId="329F860B" w14:textId="77777777" w:rsidTr="00B854E4">
        <w:tc>
          <w:tcPr>
            <w:tcW w:w="2850" w:type="dxa"/>
          </w:tcPr>
          <w:p w14:paraId="0E5984CC" w14:textId="77777777" w:rsidR="00290482" w:rsidRPr="00A735F8" w:rsidRDefault="00290482" w:rsidP="00B854E4">
            <w:r w:rsidRPr="003A00DF">
              <w:t>Plenkové kalhotky denní pro dospělé mobilní pacienty</w:t>
            </w:r>
            <w:r>
              <w:t>, denní</w:t>
            </w:r>
            <w:r w:rsidRPr="00A735F8">
              <w:t xml:space="preserve"> – velikost </w:t>
            </w:r>
            <w:r>
              <w:t>L</w:t>
            </w:r>
          </w:p>
        </w:tc>
        <w:tc>
          <w:tcPr>
            <w:tcW w:w="1970" w:type="dxa"/>
          </w:tcPr>
          <w:p w14:paraId="1B4838B0" w14:textId="77777777" w:rsidR="00290482" w:rsidRPr="00A735F8" w:rsidRDefault="00290482" w:rsidP="00B854E4">
            <w:pPr>
              <w:jc w:val="center"/>
            </w:pPr>
            <w:r>
              <w:t>915833</w:t>
            </w:r>
          </w:p>
        </w:tc>
        <w:tc>
          <w:tcPr>
            <w:tcW w:w="1559" w:type="dxa"/>
          </w:tcPr>
          <w:p w14:paraId="3CB382B7" w14:textId="77777777" w:rsidR="00290482" w:rsidRPr="00A735F8" w:rsidRDefault="00290482" w:rsidP="00B854E4"/>
        </w:tc>
        <w:tc>
          <w:tcPr>
            <w:tcW w:w="1559" w:type="dxa"/>
          </w:tcPr>
          <w:p w14:paraId="4DAA8AF5" w14:textId="77777777" w:rsidR="00290482" w:rsidRPr="00A735F8" w:rsidRDefault="00290482" w:rsidP="00B854E4">
            <w:pPr>
              <w:jc w:val="center"/>
            </w:pPr>
            <w:proofErr w:type="gramStart"/>
            <w:r>
              <w:t>Tř.1</w:t>
            </w:r>
            <w:proofErr w:type="gramEnd"/>
          </w:p>
        </w:tc>
        <w:tc>
          <w:tcPr>
            <w:tcW w:w="1701" w:type="dxa"/>
          </w:tcPr>
          <w:p w14:paraId="22A1C919" w14:textId="77777777" w:rsidR="00290482" w:rsidRPr="00A735F8" w:rsidRDefault="00290482" w:rsidP="00B854E4">
            <w:pPr>
              <w:jc w:val="center"/>
            </w:pPr>
            <w:r>
              <w:t>16,61 Kč</w:t>
            </w:r>
          </w:p>
        </w:tc>
        <w:tc>
          <w:tcPr>
            <w:tcW w:w="1701" w:type="dxa"/>
          </w:tcPr>
          <w:p w14:paraId="33AC93BB" w14:textId="77777777" w:rsidR="00290482" w:rsidRPr="00A735F8" w:rsidRDefault="00290482" w:rsidP="00B854E4">
            <w:pPr>
              <w:jc w:val="center"/>
            </w:pPr>
            <w:r>
              <w:t>15%</w:t>
            </w:r>
          </w:p>
        </w:tc>
        <w:tc>
          <w:tcPr>
            <w:tcW w:w="1985" w:type="dxa"/>
          </w:tcPr>
          <w:p w14:paraId="7EAC49FE" w14:textId="77777777" w:rsidR="00290482" w:rsidRPr="00A735F8" w:rsidRDefault="00290482" w:rsidP="00B854E4">
            <w:pPr>
              <w:jc w:val="center"/>
            </w:pPr>
            <w:r>
              <w:t xml:space="preserve">19,10 Kč </w:t>
            </w:r>
          </w:p>
        </w:tc>
      </w:tr>
      <w:tr w:rsidR="00290482" w:rsidRPr="00A735F8" w14:paraId="583F78B8" w14:textId="77777777" w:rsidTr="00B854E4">
        <w:tc>
          <w:tcPr>
            <w:tcW w:w="2850" w:type="dxa"/>
          </w:tcPr>
          <w:p w14:paraId="2CE615B6" w14:textId="77777777" w:rsidR="00290482" w:rsidRPr="00A735F8" w:rsidRDefault="00290482" w:rsidP="00B854E4">
            <w:r w:rsidRPr="003A00DF">
              <w:t>Plenkové kalhotky denní pro dospělé mobilní pacienty</w:t>
            </w:r>
            <w:r>
              <w:t>, denní</w:t>
            </w:r>
            <w:r w:rsidRPr="00A735F8">
              <w:t xml:space="preserve"> – velikost </w:t>
            </w:r>
            <w:r>
              <w:t>XL</w:t>
            </w:r>
          </w:p>
        </w:tc>
        <w:tc>
          <w:tcPr>
            <w:tcW w:w="1970" w:type="dxa"/>
          </w:tcPr>
          <w:p w14:paraId="11DBA60F" w14:textId="77777777" w:rsidR="00290482" w:rsidRPr="00A735F8" w:rsidRDefault="00290482" w:rsidP="00B854E4">
            <w:pPr>
              <w:jc w:val="center"/>
            </w:pPr>
            <w:r>
              <w:t>915834</w:t>
            </w:r>
          </w:p>
        </w:tc>
        <w:tc>
          <w:tcPr>
            <w:tcW w:w="1559" w:type="dxa"/>
          </w:tcPr>
          <w:p w14:paraId="327E571B" w14:textId="77777777" w:rsidR="00290482" w:rsidRPr="00A735F8" w:rsidRDefault="00290482" w:rsidP="00B854E4"/>
        </w:tc>
        <w:tc>
          <w:tcPr>
            <w:tcW w:w="1559" w:type="dxa"/>
          </w:tcPr>
          <w:p w14:paraId="33E06F7D" w14:textId="77777777" w:rsidR="00290482" w:rsidRPr="00A735F8" w:rsidRDefault="00290482" w:rsidP="00B854E4">
            <w:pPr>
              <w:jc w:val="center"/>
            </w:pPr>
            <w:proofErr w:type="gramStart"/>
            <w:r>
              <w:t>Tř.1</w:t>
            </w:r>
            <w:proofErr w:type="gramEnd"/>
          </w:p>
        </w:tc>
        <w:tc>
          <w:tcPr>
            <w:tcW w:w="1701" w:type="dxa"/>
          </w:tcPr>
          <w:p w14:paraId="4421EF98" w14:textId="77777777" w:rsidR="00290482" w:rsidRPr="00A735F8" w:rsidRDefault="00290482" w:rsidP="00B854E4">
            <w:pPr>
              <w:jc w:val="center"/>
            </w:pPr>
            <w:r>
              <w:t>21,01 Kč</w:t>
            </w:r>
          </w:p>
        </w:tc>
        <w:tc>
          <w:tcPr>
            <w:tcW w:w="1701" w:type="dxa"/>
          </w:tcPr>
          <w:p w14:paraId="64F1643F" w14:textId="77777777" w:rsidR="00290482" w:rsidRPr="00A735F8" w:rsidRDefault="00290482" w:rsidP="00B854E4">
            <w:pPr>
              <w:jc w:val="center"/>
            </w:pPr>
            <w:r>
              <w:t>15%</w:t>
            </w:r>
          </w:p>
        </w:tc>
        <w:tc>
          <w:tcPr>
            <w:tcW w:w="1985" w:type="dxa"/>
          </w:tcPr>
          <w:p w14:paraId="1B9FB069" w14:textId="77777777" w:rsidR="00290482" w:rsidRPr="00A735F8" w:rsidRDefault="00290482" w:rsidP="00B854E4">
            <w:pPr>
              <w:jc w:val="center"/>
            </w:pPr>
            <w:r>
              <w:t xml:space="preserve">24,16 Kč </w:t>
            </w:r>
          </w:p>
        </w:tc>
      </w:tr>
    </w:tbl>
    <w:p w14:paraId="16071D1D" w14:textId="77777777" w:rsidR="00290482" w:rsidRDefault="00290482" w:rsidP="00290482"/>
    <w:p w14:paraId="29F49516" w14:textId="77777777" w:rsidR="00290482" w:rsidRDefault="00290482" w:rsidP="00290482"/>
    <w:tbl>
      <w:tblPr>
        <w:tblStyle w:val="Mkatabulky"/>
        <w:tblW w:w="13325" w:type="dxa"/>
        <w:tblInd w:w="108" w:type="dxa"/>
        <w:tblLook w:val="04A0" w:firstRow="1" w:lastRow="0" w:firstColumn="1" w:lastColumn="0" w:noHBand="0" w:noVBand="1"/>
      </w:tblPr>
      <w:tblGrid>
        <w:gridCol w:w="13325"/>
      </w:tblGrid>
      <w:tr w:rsidR="00290482" w:rsidRPr="00076420" w14:paraId="03642D20" w14:textId="77777777" w:rsidTr="00B854E4">
        <w:tc>
          <w:tcPr>
            <w:tcW w:w="7938" w:type="dxa"/>
          </w:tcPr>
          <w:p w14:paraId="270845A2" w14:textId="77777777" w:rsidR="00290482" w:rsidRPr="00626B85" w:rsidRDefault="00290482" w:rsidP="00B854E4">
            <w:pPr>
              <w:rPr>
                <w:b/>
              </w:rPr>
            </w:pPr>
            <w:r>
              <w:rPr>
                <w:b/>
              </w:rPr>
              <w:t>Celková cena za 4</w:t>
            </w:r>
            <w:r w:rsidRPr="00626B85">
              <w:rPr>
                <w:b/>
              </w:rPr>
              <w:t xml:space="preserve"> roky bez </w:t>
            </w:r>
            <w:proofErr w:type="gramStart"/>
            <w:r w:rsidRPr="00626B85">
              <w:rPr>
                <w:b/>
              </w:rPr>
              <w:t>DPH</w:t>
            </w:r>
            <w:r>
              <w:rPr>
                <w:b/>
              </w:rPr>
              <w:t xml:space="preserve">                                                       1 533 510</w:t>
            </w:r>
            <w:proofErr w:type="gramEnd"/>
            <w:r>
              <w:rPr>
                <w:b/>
              </w:rPr>
              <w:t xml:space="preserve"> Kč </w:t>
            </w:r>
          </w:p>
        </w:tc>
      </w:tr>
      <w:tr w:rsidR="00290482" w:rsidRPr="00076420" w14:paraId="39770284" w14:textId="77777777" w:rsidTr="00B854E4">
        <w:tc>
          <w:tcPr>
            <w:tcW w:w="7938" w:type="dxa"/>
          </w:tcPr>
          <w:p w14:paraId="3523CCDD" w14:textId="77777777" w:rsidR="00290482" w:rsidRPr="00076420" w:rsidRDefault="00290482" w:rsidP="00B854E4">
            <w:r>
              <w:t xml:space="preserve">Výše </w:t>
            </w:r>
            <w:proofErr w:type="gramStart"/>
            <w:r>
              <w:t xml:space="preserve">DPH                                                                                                 </w:t>
            </w:r>
            <w:r w:rsidRPr="00584D5E">
              <w:t>230</w:t>
            </w:r>
            <w:r>
              <w:t> </w:t>
            </w:r>
            <w:r w:rsidRPr="00584D5E">
              <w:t>100</w:t>
            </w:r>
            <w:proofErr w:type="gramEnd"/>
            <w:r>
              <w:t xml:space="preserve"> Kč</w:t>
            </w:r>
          </w:p>
        </w:tc>
      </w:tr>
      <w:tr w:rsidR="00290482" w:rsidRPr="00076420" w14:paraId="476BC5B1" w14:textId="77777777" w:rsidTr="00B854E4">
        <w:tc>
          <w:tcPr>
            <w:tcW w:w="7938" w:type="dxa"/>
          </w:tcPr>
          <w:p w14:paraId="25A85FB1" w14:textId="77777777" w:rsidR="00290482" w:rsidRPr="00076420" w:rsidRDefault="00290482" w:rsidP="00B854E4">
            <w:r>
              <w:t xml:space="preserve">Celková cena za 4 roky včetně </w:t>
            </w:r>
            <w:proofErr w:type="gramStart"/>
            <w:r>
              <w:t>DPH                                                     1 763 610</w:t>
            </w:r>
            <w:proofErr w:type="gramEnd"/>
            <w:r>
              <w:t xml:space="preserve"> Kč </w:t>
            </w:r>
          </w:p>
        </w:tc>
      </w:tr>
    </w:tbl>
    <w:p w14:paraId="60EB43A8" w14:textId="77777777" w:rsidR="00AA34DF" w:rsidRDefault="00AA34DF" w:rsidP="00023008"/>
    <w:sectPr w:rsidR="00AA34DF" w:rsidSect="00290482">
      <w:pgSz w:w="16838" w:h="11906" w:orient="landscape"/>
      <w:pgMar w:top="902" w:right="1418" w:bottom="9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50F06" w14:textId="77777777" w:rsidR="008A2541" w:rsidRDefault="008A2541" w:rsidP="006337DC">
      <w:r>
        <w:separator/>
      </w:r>
    </w:p>
  </w:endnote>
  <w:endnote w:type="continuationSeparator" w:id="0">
    <w:p w14:paraId="7B0C9300" w14:textId="77777777" w:rsidR="008A2541" w:rsidRDefault="008A254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B43B0" w14:textId="2E6F5F26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52BBB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0EB43B1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B43B2" w14:textId="4B27301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2BBB">
      <w:rPr>
        <w:noProof/>
      </w:rPr>
      <w:t>9</w:t>
    </w:r>
    <w:r>
      <w:fldChar w:fldCharType="end"/>
    </w:r>
  </w:p>
  <w:p w14:paraId="60EB43B3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77A05" w14:textId="77777777" w:rsidR="008A2541" w:rsidRDefault="008A2541" w:rsidP="006337DC">
      <w:r>
        <w:separator/>
      </w:r>
    </w:p>
  </w:footnote>
  <w:footnote w:type="continuationSeparator" w:id="0">
    <w:p w14:paraId="7B3B0F03" w14:textId="77777777" w:rsidR="008A2541" w:rsidRDefault="008A254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3D24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0482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9554F"/>
    <w:rsid w:val="003A1C2B"/>
    <w:rsid w:val="003A4E43"/>
    <w:rsid w:val="003A6ED7"/>
    <w:rsid w:val="003B0E7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2B40"/>
    <w:rsid w:val="00552BBB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66955"/>
    <w:rsid w:val="00667036"/>
    <w:rsid w:val="006714E5"/>
    <w:rsid w:val="00674566"/>
    <w:rsid w:val="006778A2"/>
    <w:rsid w:val="00682B01"/>
    <w:rsid w:val="00682F7D"/>
    <w:rsid w:val="00684BFA"/>
    <w:rsid w:val="006913C4"/>
    <w:rsid w:val="006925A2"/>
    <w:rsid w:val="00692870"/>
    <w:rsid w:val="0069784C"/>
    <w:rsid w:val="006A0496"/>
    <w:rsid w:val="006A5CD1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211D"/>
    <w:rsid w:val="00786DD8"/>
    <w:rsid w:val="007930D9"/>
    <w:rsid w:val="00797312"/>
    <w:rsid w:val="007A32F9"/>
    <w:rsid w:val="007B298D"/>
    <w:rsid w:val="007B4F60"/>
    <w:rsid w:val="007B5200"/>
    <w:rsid w:val="007B5FDD"/>
    <w:rsid w:val="007B7568"/>
    <w:rsid w:val="007C2750"/>
    <w:rsid w:val="007D0D56"/>
    <w:rsid w:val="007D13B2"/>
    <w:rsid w:val="007D3523"/>
    <w:rsid w:val="007E0459"/>
    <w:rsid w:val="007E416F"/>
    <w:rsid w:val="007F0866"/>
    <w:rsid w:val="007F216E"/>
    <w:rsid w:val="007F2D01"/>
    <w:rsid w:val="00801C57"/>
    <w:rsid w:val="00803984"/>
    <w:rsid w:val="00806564"/>
    <w:rsid w:val="008111D1"/>
    <w:rsid w:val="00812478"/>
    <w:rsid w:val="00812EA1"/>
    <w:rsid w:val="00817EEC"/>
    <w:rsid w:val="00825B3C"/>
    <w:rsid w:val="00826135"/>
    <w:rsid w:val="008316A7"/>
    <w:rsid w:val="00836A00"/>
    <w:rsid w:val="00836D9F"/>
    <w:rsid w:val="00840B4E"/>
    <w:rsid w:val="00842397"/>
    <w:rsid w:val="00844063"/>
    <w:rsid w:val="00846663"/>
    <w:rsid w:val="00846A30"/>
    <w:rsid w:val="008470BF"/>
    <w:rsid w:val="00853FFE"/>
    <w:rsid w:val="008559D7"/>
    <w:rsid w:val="0086234D"/>
    <w:rsid w:val="00862350"/>
    <w:rsid w:val="00862EBA"/>
    <w:rsid w:val="00863E04"/>
    <w:rsid w:val="00870AAC"/>
    <w:rsid w:val="0087360F"/>
    <w:rsid w:val="00875B50"/>
    <w:rsid w:val="00875B96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2541"/>
    <w:rsid w:val="008A57E9"/>
    <w:rsid w:val="008B263D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6B15"/>
    <w:rsid w:val="0093035F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057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CF2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6F59"/>
    <w:rsid w:val="00B67019"/>
    <w:rsid w:val="00B673DC"/>
    <w:rsid w:val="00B71170"/>
    <w:rsid w:val="00B72383"/>
    <w:rsid w:val="00B72644"/>
    <w:rsid w:val="00B72B18"/>
    <w:rsid w:val="00B757F1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0FAA"/>
    <w:rsid w:val="00D04AD5"/>
    <w:rsid w:val="00D050E6"/>
    <w:rsid w:val="00D0617B"/>
    <w:rsid w:val="00D064ED"/>
    <w:rsid w:val="00D14C81"/>
    <w:rsid w:val="00D15E7A"/>
    <w:rsid w:val="00D20310"/>
    <w:rsid w:val="00D221A4"/>
    <w:rsid w:val="00D25F81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DF69F1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544B"/>
    <w:rsid w:val="00E9008E"/>
    <w:rsid w:val="00EA0296"/>
    <w:rsid w:val="00EA1A12"/>
    <w:rsid w:val="00EA2854"/>
    <w:rsid w:val="00EA4C8B"/>
    <w:rsid w:val="00EB2D15"/>
    <w:rsid w:val="00EB3860"/>
    <w:rsid w:val="00EC0511"/>
    <w:rsid w:val="00EC330C"/>
    <w:rsid w:val="00EC6A23"/>
    <w:rsid w:val="00ED0547"/>
    <w:rsid w:val="00ED151D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23D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0EB42B8"/>
  <w15:docId w15:val="{2D518984-A982-413E-A81D-F6E7CAD0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2DWAXVAW3MHF-1557676565-9</_dlc_DocId>
    <_dlc_DocIdUrl xmlns="a7e37686-00e6-405d-9032-d05dd3ba55a9">
      <Url>https://vis.fnbrno.cz/c012/WebVZVZ/_layouts/15/DocIdRedir.aspx?ID=2DWAXVAW3MHF-1557676565-9</Url>
      <Description>2DWAXVAW3MHF-1557676565-9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28D984B7AE94C93230BF54F63EB65" ma:contentTypeVersion="3" ma:contentTypeDescription="Vytvoří nový dokument" ma:contentTypeScope="" ma:versionID="5341ca86972080db3b2cff2894e173e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a7e37686-00e6-405d-9032-d05dd3ba55a9"/>
  </ds:schemaRefs>
</ds:datastoreItem>
</file>

<file path=customXml/itemProps4.xml><?xml version="1.0" encoding="utf-8"?>
<ds:datastoreItem xmlns:ds="http://schemas.openxmlformats.org/officeDocument/2006/customXml" ds:itemID="{3742F89E-4610-4630-92A9-1AD7D6D9E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4C1B6C5-D433-4D52-B848-3D407046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3268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Havelková Veronika</cp:lastModifiedBy>
  <cp:revision>8</cp:revision>
  <cp:lastPrinted>2023-02-28T08:33:00Z</cp:lastPrinted>
  <dcterms:created xsi:type="dcterms:W3CDTF">2023-02-08T08:16:00Z</dcterms:created>
  <dcterms:modified xsi:type="dcterms:W3CDTF">2023-08-04T08:45:00Z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2383a49e-5042-4a51-8481-24d8a64c3c8f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0x0101009C428D984B7AE94C93230BF54F63EB65</vt:lpwstr>
  </property>
</Properties>
</file>