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F4C2" w14:textId="77777777" w:rsidR="00A165A2" w:rsidRDefault="009B1840">
      <w:pPr>
        <w:pStyle w:val="NoList1"/>
        <w:jc w:val="right"/>
        <w:rPr>
          <w:rFonts w:ascii="Arial" w:eastAsia="Arial" w:hAnsi="Arial" w:cs="Arial"/>
          <w:b/>
          <w:spacing w:val="8"/>
          <w:sz w:val="22"/>
          <w:szCs w:val="22"/>
          <w:lang w:val="cs-CZ"/>
        </w:rPr>
      </w:pPr>
      <w:r>
        <w:rPr>
          <w:rFonts w:ascii="Arial" w:eastAsia="Arial" w:hAnsi="Arial" w:cs="Arial"/>
          <w:lang w:val="cs-CZ"/>
        </w:rPr>
        <w:pict w14:anchorId="5694182A">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4B3987">
        <w:rPr>
          <w:rFonts w:ascii="Arial" w:eastAsia="Arial" w:hAnsi="Arial" w:cs="Arial"/>
          <w:spacing w:val="14"/>
          <w:lang w:val="cs-CZ"/>
        </w:rPr>
        <w:t xml:space="preserve"> </w:t>
      </w:r>
      <w:r w:rsidR="004B3987">
        <w:rPr>
          <w:rFonts w:ascii="Arial" w:eastAsia="Arial" w:hAnsi="Arial" w:cs="Arial"/>
          <w:b/>
          <w:i/>
          <w:spacing w:val="8"/>
          <w:sz w:val="28"/>
          <w:lang w:val="cs-CZ"/>
        </w:rPr>
        <w:t xml:space="preserve"> </w:t>
      </w:r>
      <w:r w:rsidR="004B3987">
        <w:rPr>
          <w:noProof/>
        </w:rPr>
        <mc:AlternateContent>
          <mc:Choice Requires="wps">
            <w:drawing>
              <wp:inline distT="0" distB="0" distL="0" distR="0" wp14:anchorId="0A6FFA66" wp14:editId="04E5C731">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5C5C48E" w14:textId="77777777" w:rsidR="00A165A2" w:rsidRDefault="004B3987">
                            <w:pPr>
                              <w:spacing w:after="60"/>
                              <w:jc w:val="center"/>
                            </w:pPr>
                            <w:r>
                              <w:rPr>
                                <w:sz w:val="18"/>
                              </w:rPr>
                              <w:t>MZE-46096/2023-12122</w:t>
                            </w:r>
                          </w:p>
                          <w:p w14:paraId="6F126887" w14:textId="77777777" w:rsidR="00A165A2" w:rsidRDefault="004B3987">
                            <w:pPr>
                              <w:jc w:val="center"/>
                            </w:pPr>
                            <w:r>
                              <w:rPr>
                                <w:noProof/>
                              </w:rPr>
                              <w:drawing>
                                <wp:inline distT="0" distB="0" distL="0" distR="0" wp14:anchorId="66291C93" wp14:editId="523A1D0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041074B" w14:textId="77777777" w:rsidR="00A165A2" w:rsidRDefault="004B3987">
                            <w:pPr>
                              <w:jc w:val="center"/>
                            </w:pPr>
                            <w:r>
                              <w:rPr>
                                <w:sz w:val="18"/>
                              </w:rPr>
                              <w:t>mzedms026478756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A6FFA6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65C5C48E" w14:textId="77777777" w:rsidR="00A165A2" w:rsidRDefault="004B3987">
                      <w:pPr>
                        <w:spacing w:after="60"/>
                        <w:jc w:val="center"/>
                      </w:pPr>
                      <w:r>
                        <w:rPr>
                          <w:sz w:val="18"/>
                        </w:rPr>
                        <w:t>MZE-46096/2023-12122</w:t>
                      </w:r>
                    </w:p>
                    <w:p w14:paraId="6F126887" w14:textId="77777777" w:rsidR="00A165A2" w:rsidRDefault="004B3987">
                      <w:pPr>
                        <w:jc w:val="center"/>
                      </w:pPr>
                      <w:r>
                        <w:rPr>
                          <w:noProof/>
                        </w:rPr>
                        <w:drawing>
                          <wp:inline distT="0" distB="0" distL="0" distR="0" wp14:anchorId="66291C93" wp14:editId="523A1D0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041074B" w14:textId="77777777" w:rsidR="00A165A2" w:rsidRDefault="004B3987">
                      <w:pPr>
                        <w:jc w:val="center"/>
                      </w:pPr>
                      <w:r>
                        <w:rPr>
                          <w:sz w:val="18"/>
                        </w:rPr>
                        <w:t>mzedms026478756</w:t>
                      </w:r>
                    </w:p>
                  </w:txbxContent>
                </v:textbox>
                <w10:anchorlock/>
              </v:rect>
            </w:pict>
          </mc:Fallback>
        </mc:AlternateContent>
      </w:r>
    </w:p>
    <w:p w14:paraId="103184C8" w14:textId="77777777" w:rsidR="00A165A2" w:rsidRDefault="004B3987">
      <w:pPr>
        <w:rPr>
          <w:szCs w:val="22"/>
        </w:rPr>
      </w:pPr>
      <w:r>
        <w:rPr>
          <w:szCs w:val="22"/>
        </w:rPr>
        <w:t xml:space="preserve"> </w:t>
      </w:r>
    </w:p>
    <w:p w14:paraId="56BF9903" w14:textId="77777777" w:rsidR="00A165A2" w:rsidRDefault="004B3987">
      <w:pPr>
        <w:tabs>
          <w:tab w:val="left" w:pos="6946"/>
        </w:tabs>
        <w:jc w:val="center"/>
        <w:rPr>
          <w:b/>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Z36810</w:t>
      </w:r>
    </w:p>
    <w:p w14:paraId="0F5DF650" w14:textId="77777777" w:rsidR="00A165A2" w:rsidRDefault="00A165A2">
      <w:pPr>
        <w:tabs>
          <w:tab w:val="left" w:pos="6946"/>
        </w:tabs>
        <w:jc w:val="center"/>
        <w:rPr>
          <w:b/>
          <w:caps/>
          <w:szCs w:val="22"/>
        </w:rPr>
      </w:pPr>
    </w:p>
    <w:p w14:paraId="22BF15F5" w14:textId="77777777" w:rsidR="00A165A2" w:rsidRDefault="00A165A2">
      <w:pPr>
        <w:jc w:val="center"/>
        <w:rPr>
          <w:b/>
          <w:caps/>
          <w:szCs w:val="22"/>
        </w:rPr>
      </w:pPr>
    </w:p>
    <w:p w14:paraId="17BA2901" w14:textId="77777777" w:rsidR="00A165A2" w:rsidRDefault="004B3987">
      <w:pPr>
        <w:rPr>
          <w:b/>
          <w:caps/>
          <w:szCs w:val="22"/>
        </w:rPr>
      </w:pPr>
      <w:r>
        <w:rPr>
          <w:b/>
          <w:caps/>
          <w:szCs w:val="22"/>
        </w:rPr>
        <w:t>a – věcné zadání</w:t>
      </w:r>
    </w:p>
    <w:p w14:paraId="5BC3CC66" w14:textId="77777777" w:rsidR="00A165A2" w:rsidRDefault="004B3987">
      <w:pPr>
        <w:pStyle w:val="Nadpis1"/>
        <w:numPr>
          <w:ilvl w:val="0"/>
          <w:numId w:val="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165A2" w14:paraId="4241A280" w14:textId="77777777">
        <w:tc>
          <w:tcPr>
            <w:tcW w:w="1701" w:type="dxa"/>
            <w:tcBorders>
              <w:top w:val="single" w:sz="8" w:space="0" w:color="auto"/>
              <w:left w:val="single" w:sz="8" w:space="0" w:color="auto"/>
              <w:bottom w:val="single" w:sz="8" w:space="0" w:color="auto"/>
            </w:tcBorders>
            <w:vAlign w:val="center"/>
          </w:tcPr>
          <w:p w14:paraId="01855860" w14:textId="77777777" w:rsidR="00A165A2" w:rsidRDefault="004B398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39BFCE4" w14:textId="77777777" w:rsidR="00A165A2" w:rsidRDefault="004B3987">
            <w:pPr>
              <w:pStyle w:val="Tabulka"/>
              <w:rPr>
                <w:b/>
                <w:bCs w:val="0"/>
                <w:szCs w:val="22"/>
              </w:rPr>
            </w:pPr>
            <w:r>
              <w:rPr>
                <w:b/>
                <w:bCs w:val="0"/>
                <w:szCs w:val="22"/>
              </w:rPr>
              <w:t>744</w:t>
            </w:r>
          </w:p>
        </w:tc>
      </w:tr>
    </w:tbl>
    <w:p w14:paraId="6B03EEA0" w14:textId="77777777" w:rsidR="00A165A2" w:rsidRDefault="00A165A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A165A2" w14:paraId="34B2C04C" w14:textId="77777777">
        <w:tc>
          <w:tcPr>
            <w:tcW w:w="2246" w:type="dxa"/>
            <w:tcBorders>
              <w:top w:val="single" w:sz="8" w:space="0" w:color="auto"/>
              <w:left w:val="single" w:sz="8" w:space="0" w:color="auto"/>
            </w:tcBorders>
            <w:vAlign w:val="center"/>
          </w:tcPr>
          <w:p w14:paraId="10E66012" w14:textId="77777777" w:rsidR="00A165A2" w:rsidRDefault="004B3987">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71005466" w14:textId="77777777" w:rsidR="00A165A2" w:rsidRDefault="004B3987">
            <w:pPr>
              <w:pStyle w:val="Tabulka"/>
              <w:rPr>
                <w:b/>
                <w:szCs w:val="22"/>
              </w:rPr>
            </w:pPr>
            <w:r>
              <w:t>Úprava kontrolních sestav AEKO v aplikaci EPH</w:t>
            </w:r>
          </w:p>
        </w:tc>
      </w:tr>
      <w:tr w:rsidR="00A165A2" w14:paraId="5AA2EB07" w14:textId="77777777">
        <w:tc>
          <w:tcPr>
            <w:tcW w:w="3392" w:type="dxa"/>
            <w:gridSpan w:val="2"/>
            <w:tcBorders>
              <w:left w:val="single" w:sz="8" w:space="0" w:color="auto"/>
              <w:bottom w:val="single" w:sz="8" w:space="0" w:color="auto"/>
            </w:tcBorders>
            <w:vAlign w:val="center"/>
          </w:tcPr>
          <w:p w14:paraId="4887E52C" w14:textId="77777777" w:rsidR="00A165A2" w:rsidRDefault="004B3987">
            <w:pPr>
              <w:pStyle w:val="Tabulka"/>
              <w:rPr>
                <w:rStyle w:val="Siln"/>
                <w:b w:val="0"/>
                <w:szCs w:val="22"/>
              </w:rPr>
            </w:pPr>
            <w:r>
              <w:rPr>
                <w:rStyle w:val="Siln"/>
                <w:szCs w:val="22"/>
              </w:rPr>
              <w:t>Datum předložení požadavku:</w:t>
            </w:r>
          </w:p>
        </w:tc>
        <w:sdt>
          <w:sdtPr>
            <w:rPr>
              <w:szCs w:val="22"/>
            </w:rPr>
            <w:id w:val="1670597228"/>
            <w:date w:fullDate="2023-06-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06FA05A" w14:textId="77777777" w:rsidR="00A165A2" w:rsidRDefault="004B3987">
                <w:pPr>
                  <w:pStyle w:val="Tabulka"/>
                  <w:rPr>
                    <w:szCs w:val="22"/>
                  </w:rPr>
                </w:pPr>
                <w:r>
                  <w:rPr>
                    <w:szCs w:val="22"/>
                  </w:rPr>
                  <w:t>19.6.2023</w:t>
                </w:r>
              </w:p>
            </w:tc>
          </w:sdtContent>
        </w:sdt>
        <w:tc>
          <w:tcPr>
            <w:tcW w:w="3383" w:type="dxa"/>
            <w:tcBorders>
              <w:left w:val="dotted" w:sz="4" w:space="0" w:color="auto"/>
              <w:bottom w:val="single" w:sz="8" w:space="0" w:color="auto"/>
            </w:tcBorders>
            <w:vAlign w:val="center"/>
          </w:tcPr>
          <w:p w14:paraId="75676E97" w14:textId="77777777" w:rsidR="00A165A2" w:rsidRDefault="004B3987">
            <w:pPr>
              <w:pStyle w:val="Tabulka"/>
              <w:rPr>
                <w:rStyle w:val="Siln"/>
                <w:b w:val="0"/>
                <w:szCs w:val="22"/>
              </w:rPr>
            </w:pPr>
            <w:r>
              <w:rPr>
                <w:rStyle w:val="Siln"/>
                <w:szCs w:val="22"/>
              </w:rPr>
              <w:t>Požadované datum nasazení:</w:t>
            </w:r>
          </w:p>
        </w:tc>
        <w:sdt>
          <w:sdtPr>
            <w:rPr>
              <w:szCs w:val="22"/>
            </w:rPr>
            <w:id w:val="-1745104504"/>
            <w:date w:fullDate="2023-08-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C0A8527" w14:textId="77777777" w:rsidR="00A165A2" w:rsidRDefault="004B3987">
                <w:pPr>
                  <w:pStyle w:val="Tabulka"/>
                  <w:rPr>
                    <w:szCs w:val="22"/>
                  </w:rPr>
                </w:pPr>
                <w:r>
                  <w:rPr>
                    <w:szCs w:val="22"/>
                  </w:rPr>
                  <w:t>31.8.2023</w:t>
                </w:r>
              </w:p>
            </w:tc>
          </w:sdtContent>
        </w:sdt>
      </w:tr>
    </w:tbl>
    <w:p w14:paraId="371F5EC9" w14:textId="77777777" w:rsidR="00A165A2" w:rsidRDefault="00A165A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165A2" w14:paraId="4649C22A" w14:textId="77777777">
        <w:tc>
          <w:tcPr>
            <w:tcW w:w="2258" w:type="dxa"/>
            <w:tcBorders>
              <w:top w:val="single" w:sz="8" w:space="0" w:color="auto"/>
              <w:left w:val="single" w:sz="8" w:space="0" w:color="auto"/>
              <w:bottom w:val="single" w:sz="8" w:space="0" w:color="auto"/>
            </w:tcBorders>
            <w:vAlign w:val="center"/>
          </w:tcPr>
          <w:p w14:paraId="4984066F" w14:textId="77777777" w:rsidR="00A165A2" w:rsidRDefault="004B398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8F799C0" w14:textId="77777777" w:rsidR="00A165A2" w:rsidRDefault="004B398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DD25B40" w14:textId="77777777" w:rsidR="00A165A2" w:rsidRDefault="004B398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A0393CC" w14:textId="77777777" w:rsidR="00A165A2" w:rsidRDefault="004B398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6AAA2EC" w14:textId="77777777" w:rsidR="00A165A2" w:rsidRDefault="00A165A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165A2" w14:paraId="0E84EF62" w14:textId="77777777">
        <w:tc>
          <w:tcPr>
            <w:tcW w:w="983" w:type="dxa"/>
            <w:vMerge w:val="restart"/>
            <w:tcBorders>
              <w:top w:val="single" w:sz="8" w:space="0" w:color="auto"/>
              <w:left w:val="single" w:sz="8" w:space="0" w:color="auto"/>
            </w:tcBorders>
            <w:vAlign w:val="center"/>
          </w:tcPr>
          <w:p w14:paraId="2B38ED29" w14:textId="77777777" w:rsidR="00A165A2" w:rsidRDefault="004B398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1EF04ED" w14:textId="77777777" w:rsidR="00A165A2" w:rsidRDefault="004B398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99CD96F" w14:textId="77777777" w:rsidR="00A165A2" w:rsidRDefault="004B398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14E28ED" w14:textId="77777777" w:rsidR="00A165A2" w:rsidRDefault="004B3987">
            <w:pPr>
              <w:pStyle w:val="Tabulka"/>
              <w:rPr>
                <w:szCs w:val="22"/>
              </w:rPr>
            </w:pPr>
            <w:r>
              <w:rPr>
                <w:szCs w:val="22"/>
              </w:rPr>
              <w:t>EPH</w:t>
            </w:r>
          </w:p>
        </w:tc>
      </w:tr>
      <w:tr w:rsidR="00A165A2" w14:paraId="42B60267" w14:textId="77777777">
        <w:tc>
          <w:tcPr>
            <w:tcW w:w="983" w:type="dxa"/>
            <w:vMerge/>
            <w:tcBorders>
              <w:left w:val="single" w:sz="8" w:space="0" w:color="auto"/>
            </w:tcBorders>
            <w:vAlign w:val="center"/>
          </w:tcPr>
          <w:p w14:paraId="1CE02991" w14:textId="77777777" w:rsidR="00A165A2" w:rsidRDefault="00A165A2">
            <w:pPr>
              <w:pStyle w:val="Tabulka"/>
              <w:rPr>
                <w:szCs w:val="22"/>
              </w:rPr>
            </w:pPr>
          </w:p>
        </w:tc>
        <w:tc>
          <w:tcPr>
            <w:tcW w:w="1911" w:type="dxa"/>
            <w:vMerge/>
            <w:tcBorders>
              <w:bottom w:val="dotted" w:sz="4" w:space="0" w:color="auto"/>
            </w:tcBorders>
            <w:vAlign w:val="center"/>
          </w:tcPr>
          <w:p w14:paraId="5EA76489" w14:textId="77777777" w:rsidR="00A165A2" w:rsidRDefault="00A165A2">
            <w:pPr>
              <w:pStyle w:val="Tabulka"/>
              <w:rPr>
                <w:szCs w:val="22"/>
              </w:rPr>
            </w:pPr>
          </w:p>
        </w:tc>
        <w:tc>
          <w:tcPr>
            <w:tcW w:w="1491" w:type="dxa"/>
            <w:tcBorders>
              <w:bottom w:val="dotted" w:sz="4" w:space="0" w:color="auto"/>
            </w:tcBorders>
            <w:vAlign w:val="center"/>
          </w:tcPr>
          <w:p w14:paraId="56C8B2D6" w14:textId="77777777" w:rsidR="00A165A2" w:rsidRDefault="004B398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C819820" w14:textId="77777777" w:rsidR="00A165A2" w:rsidRDefault="004B398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165A2" w14:paraId="592E390C" w14:textId="77777777">
        <w:tc>
          <w:tcPr>
            <w:tcW w:w="983" w:type="dxa"/>
            <w:vMerge/>
            <w:tcBorders>
              <w:left w:val="single" w:sz="8" w:space="0" w:color="auto"/>
              <w:bottom w:val="single" w:sz="8" w:space="0" w:color="auto"/>
            </w:tcBorders>
            <w:vAlign w:val="center"/>
          </w:tcPr>
          <w:p w14:paraId="5B871025" w14:textId="77777777" w:rsidR="00A165A2" w:rsidRDefault="00A165A2">
            <w:pPr>
              <w:pStyle w:val="Tabulka"/>
              <w:rPr>
                <w:szCs w:val="22"/>
              </w:rPr>
            </w:pPr>
          </w:p>
        </w:tc>
        <w:tc>
          <w:tcPr>
            <w:tcW w:w="1911" w:type="dxa"/>
            <w:tcBorders>
              <w:top w:val="dotted" w:sz="4" w:space="0" w:color="auto"/>
              <w:bottom w:val="single" w:sz="8" w:space="0" w:color="auto"/>
            </w:tcBorders>
            <w:vAlign w:val="center"/>
          </w:tcPr>
          <w:p w14:paraId="67833667" w14:textId="77777777" w:rsidR="00A165A2" w:rsidRDefault="004B398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FCAFAE4" w14:textId="77777777" w:rsidR="00A165A2" w:rsidRDefault="004B398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907BEC5" w14:textId="77777777" w:rsidR="00A165A2" w:rsidRDefault="004B398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D4F6503" w14:textId="77777777" w:rsidR="00A165A2" w:rsidRDefault="00A165A2">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417"/>
        <w:gridCol w:w="2410"/>
      </w:tblGrid>
      <w:tr w:rsidR="00A165A2" w14:paraId="43C9B476" w14:textId="77777777">
        <w:tc>
          <w:tcPr>
            <w:tcW w:w="2537" w:type="dxa"/>
            <w:tcBorders>
              <w:top w:val="single" w:sz="8" w:space="0" w:color="auto"/>
              <w:left w:val="single" w:sz="8" w:space="0" w:color="auto"/>
              <w:bottom w:val="single" w:sz="8" w:space="0" w:color="auto"/>
            </w:tcBorders>
            <w:vAlign w:val="center"/>
          </w:tcPr>
          <w:p w14:paraId="49E31442" w14:textId="77777777" w:rsidR="00A165A2" w:rsidRDefault="004B3987">
            <w:pPr>
              <w:pStyle w:val="Tabulka"/>
              <w:rPr>
                <w:b/>
                <w:szCs w:val="22"/>
              </w:rPr>
            </w:pPr>
            <w:r>
              <w:rPr>
                <w:b/>
                <w:szCs w:val="22"/>
              </w:rPr>
              <w:t>Role</w:t>
            </w:r>
          </w:p>
        </w:tc>
        <w:tc>
          <w:tcPr>
            <w:tcW w:w="1843" w:type="dxa"/>
            <w:tcBorders>
              <w:top w:val="single" w:sz="8" w:space="0" w:color="auto"/>
              <w:bottom w:val="single" w:sz="8" w:space="0" w:color="auto"/>
            </w:tcBorders>
            <w:vAlign w:val="center"/>
          </w:tcPr>
          <w:p w14:paraId="278CFE98" w14:textId="77777777" w:rsidR="00A165A2" w:rsidRDefault="004B3987">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670FE628" w14:textId="77777777" w:rsidR="00A165A2" w:rsidRDefault="004B3987">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67FD7DAC" w14:textId="77777777" w:rsidR="00A165A2" w:rsidRDefault="004B3987">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02CB13F8" w14:textId="77777777" w:rsidR="00A165A2" w:rsidRDefault="004B3987">
            <w:pPr>
              <w:pStyle w:val="Tabulka"/>
              <w:rPr>
                <w:b/>
                <w:szCs w:val="22"/>
              </w:rPr>
            </w:pPr>
            <w:r>
              <w:rPr>
                <w:b/>
                <w:szCs w:val="22"/>
              </w:rPr>
              <w:t>E-mail</w:t>
            </w:r>
          </w:p>
        </w:tc>
      </w:tr>
      <w:tr w:rsidR="00A165A2" w14:paraId="468CBF94" w14:textId="77777777">
        <w:trPr>
          <w:trHeight w:hRule="exact" w:val="20"/>
        </w:trPr>
        <w:tc>
          <w:tcPr>
            <w:tcW w:w="2537" w:type="dxa"/>
            <w:tcBorders>
              <w:top w:val="single" w:sz="8" w:space="0" w:color="auto"/>
              <w:left w:val="dotted" w:sz="4" w:space="0" w:color="auto"/>
            </w:tcBorders>
            <w:vAlign w:val="center"/>
          </w:tcPr>
          <w:p w14:paraId="2C1CE285" w14:textId="77777777" w:rsidR="00A165A2" w:rsidRDefault="00A165A2">
            <w:pPr>
              <w:pStyle w:val="Tabulka"/>
              <w:rPr>
                <w:b/>
                <w:szCs w:val="22"/>
              </w:rPr>
            </w:pPr>
          </w:p>
        </w:tc>
        <w:tc>
          <w:tcPr>
            <w:tcW w:w="1843" w:type="dxa"/>
            <w:tcBorders>
              <w:top w:val="single" w:sz="8" w:space="0" w:color="auto"/>
            </w:tcBorders>
            <w:vAlign w:val="center"/>
          </w:tcPr>
          <w:p w14:paraId="6B2AD604" w14:textId="77777777" w:rsidR="00A165A2" w:rsidRDefault="00A165A2">
            <w:pPr>
              <w:pStyle w:val="Tabulka"/>
              <w:rPr>
                <w:sz w:val="20"/>
                <w:szCs w:val="20"/>
              </w:rPr>
            </w:pPr>
          </w:p>
        </w:tc>
        <w:tc>
          <w:tcPr>
            <w:tcW w:w="1701" w:type="dxa"/>
            <w:tcBorders>
              <w:top w:val="single" w:sz="8" w:space="0" w:color="auto"/>
            </w:tcBorders>
            <w:vAlign w:val="center"/>
          </w:tcPr>
          <w:p w14:paraId="65613F27" w14:textId="77777777" w:rsidR="00A165A2" w:rsidRDefault="00A165A2">
            <w:pPr>
              <w:pStyle w:val="Tabulka"/>
              <w:rPr>
                <w:rStyle w:val="Siln"/>
                <w:b w:val="0"/>
                <w:sz w:val="20"/>
                <w:szCs w:val="20"/>
              </w:rPr>
            </w:pPr>
          </w:p>
        </w:tc>
        <w:tc>
          <w:tcPr>
            <w:tcW w:w="1417" w:type="dxa"/>
            <w:tcBorders>
              <w:top w:val="single" w:sz="8" w:space="0" w:color="auto"/>
            </w:tcBorders>
            <w:vAlign w:val="center"/>
          </w:tcPr>
          <w:p w14:paraId="5EC0A3FE" w14:textId="77777777" w:rsidR="00A165A2" w:rsidRDefault="00A165A2">
            <w:pPr>
              <w:pStyle w:val="Tabulka"/>
              <w:rPr>
                <w:sz w:val="20"/>
                <w:szCs w:val="20"/>
              </w:rPr>
            </w:pPr>
          </w:p>
        </w:tc>
        <w:tc>
          <w:tcPr>
            <w:tcW w:w="2410" w:type="dxa"/>
            <w:tcBorders>
              <w:top w:val="single" w:sz="8" w:space="0" w:color="auto"/>
              <w:right w:val="dotted" w:sz="4" w:space="0" w:color="auto"/>
            </w:tcBorders>
            <w:vAlign w:val="center"/>
          </w:tcPr>
          <w:p w14:paraId="1F602589" w14:textId="77777777" w:rsidR="00A165A2" w:rsidRDefault="00A165A2">
            <w:pPr>
              <w:pStyle w:val="Tabulka"/>
              <w:rPr>
                <w:sz w:val="20"/>
                <w:szCs w:val="20"/>
              </w:rPr>
            </w:pPr>
          </w:p>
        </w:tc>
      </w:tr>
      <w:tr w:rsidR="00A165A2" w14:paraId="6F86A623" w14:textId="77777777">
        <w:trPr>
          <w:trHeight w:val="511"/>
        </w:trPr>
        <w:tc>
          <w:tcPr>
            <w:tcW w:w="2537" w:type="dxa"/>
            <w:tcBorders>
              <w:top w:val="dotted" w:sz="4" w:space="0" w:color="auto"/>
              <w:left w:val="dotted" w:sz="4" w:space="0" w:color="auto"/>
            </w:tcBorders>
            <w:vAlign w:val="center"/>
          </w:tcPr>
          <w:p w14:paraId="209E5D32" w14:textId="77777777" w:rsidR="00A165A2" w:rsidRDefault="004B3987">
            <w:pPr>
              <w:pStyle w:val="Tabulka"/>
              <w:rPr>
                <w:szCs w:val="22"/>
              </w:rPr>
            </w:pPr>
            <w:r>
              <w:rPr>
                <w:sz w:val="20"/>
                <w:szCs w:val="20"/>
              </w:rPr>
              <w:t>Žadatel/Věcný garant</w:t>
            </w:r>
          </w:p>
        </w:tc>
        <w:tc>
          <w:tcPr>
            <w:tcW w:w="1843" w:type="dxa"/>
            <w:tcBorders>
              <w:top w:val="dotted" w:sz="4" w:space="0" w:color="auto"/>
            </w:tcBorders>
            <w:vAlign w:val="center"/>
          </w:tcPr>
          <w:p w14:paraId="766A0520" w14:textId="77777777" w:rsidR="00A165A2" w:rsidRDefault="004B3987">
            <w:pPr>
              <w:pStyle w:val="Tabulka"/>
              <w:rPr>
                <w:bCs w:val="0"/>
                <w:sz w:val="20"/>
                <w:szCs w:val="20"/>
              </w:rPr>
            </w:pPr>
            <w:r>
              <w:rPr>
                <w:bCs w:val="0"/>
                <w:sz w:val="20"/>
                <w:szCs w:val="20"/>
              </w:rPr>
              <w:t>David Kuna</w:t>
            </w:r>
          </w:p>
          <w:p w14:paraId="5C53A525" w14:textId="77777777" w:rsidR="00A165A2" w:rsidRDefault="00A165A2">
            <w:pPr>
              <w:pStyle w:val="Tabulka"/>
              <w:rPr>
                <w:bCs w:val="0"/>
                <w:sz w:val="20"/>
                <w:szCs w:val="20"/>
              </w:rPr>
            </w:pPr>
          </w:p>
        </w:tc>
        <w:tc>
          <w:tcPr>
            <w:tcW w:w="1701" w:type="dxa"/>
            <w:tcBorders>
              <w:top w:val="dotted" w:sz="4" w:space="0" w:color="auto"/>
            </w:tcBorders>
          </w:tcPr>
          <w:p w14:paraId="0FF3547C" w14:textId="77777777" w:rsidR="00A165A2" w:rsidRDefault="004B3987">
            <w:pPr>
              <w:pStyle w:val="Tabulka"/>
              <w:rPr>
                <w:rStyle w:val="Siln"/>
                <w:b w:val="0"/>
                <w:sz w:val="20"/>
                <w:szCs w:val="20"/>
              </w:rPr>
            </w:pPr>
            <w:r>
              <w:t>Mze/14130</w:t>
            </w:r>
          </w:p>
        </w:tc>
        <w:tc>
          <w:tcPr>
            <w:tcW w:w="1417" w:type="dxa"/>
            <w:tcBorders>
              <w:top w:val="dotted" w:sz="4" w:space="0" w:color="auto"/>
            </w:tcBorders>
          </w:tcPr>
          <w:p w14:paraId="04FCDCF0" w14:textId="77777777" w:rsidR="00A165A2" w:rsidRDefault="004B3987">
            <w:pPr>
              <w:pStyle w:val="Tabulka"/>
              <w:rPr>
                <w:sz w:val="20"/>
                <w:szCs w:val="20"/>
              </w:rPr>
            </w:pPr>
            <w:r>
              <w:t>221812595</w:t>
            </w:r>
          </w:p>
        </w:tc>
        <w:tc>
          <w:tcPr>
            <w:tcW w:w="2410" w:type="dxa"/>
            <w:tcBorders>
              <w:top w:val="dotted" w:sz="4" w:space="0" w:color="auto"/>
              <w:right w:val="dotted" w:sz="4" w:space="0" w:color="auto"/>
            </w:tcBorders>
          </w:tcPr>
          <w:p w14:paraId="73B48607" w14:textId="77777777" w:rsidR="00A165A2" w:rsidRDefault="004B3987">
            <w:pPr>
              <w:pStyle w:val="Tabulka"/>
              <w:rPr>
                <w:sz w:val="20"/>
                <w:szCs w:val="20"/>
              </w:rPr>
            </w:pPr>
            <w:r>
              <w:t>David.Kuna@mze.cz</w:t>
            </w:r>
          </w:p>
        </w:tc>
      </w:tr>
      <w:tr w:rsidR="00A165A2" w14:paraId="6CD4B592" w14:textId="77777777">
        <w:tc>
          <w:tcPr>
            <w:tcW w:w="2537" w:type="dxa"/>
            <w:tcBorders>
              <w:top w:val="dotted" w:sz="4" w:space="0" w:color="auto"/>
              <w:left w:val="dotted" w:sz="4" w:space="0" w:color="auto"/>
            </w:tcBorders>
            <w:vAlign w:val="center"/>
          </w:tcPr>
          <w:p w14:paraId="1BA086A0" w14:textId="77777777" w:rsidR="00A165A2" w:rsidRDefault="004B3987">
            <w:pPr>
              <w:pStyle w:val="Tabulka"/>
              <w:rPr>
                <w:sz w:val="20"/>
                <w:szCs w:val="20"/>
              </w:rPr>
            </w:pPr>
            <w:r>
              <w:rPr>
                <w:sz w:val="20"/>
                <w:szCs w:val="20"/>
              </w:rPr>
              <w:t>Žadatel/Věcný garant</w:t>
            </w:r>
          </w:p>
        </w:tc>
        <w:tc>
          <w:tcPr>
            <w:tcW w:w="1843" w:type="dxa"/>
            <w:tcBorders>
              <w:top w:val="dotted" w:sz="4" w:space="0" w:color="auto"/>
            </w:tcBorders>
            <w:vAlign w:val="center"/>
          </w:tcPr>
          <w:p w14:paraId="78596FFA" w14:textId="77777777" w:rsidR="00A165A2" w:rsidRDefault="004B3987">
            <w:pPr>
              <w:pStyle w:val="Tabulka"/>
              <w:rPr>
                <w:bCs w:val="0"/>
                <w:sz w:val="20"/>
                <w:szCs w:val="20"/>
              </w:rPr>
            </w:pPr>
            <w:r>
              <w:rPr>
                <w:bCs w:val="0"/>
                <w:sz w:val="20"/>
                <w:szCs w:val="20"/>
              </w:rPr>
              <w:t>Zdeněk Trnka</w:t>
            </w:r>
          </w:p>
        </w:tc>
        <w:tc>
          <w:tcPr>
            <w:tcW w:w="1701" w:type="dxa"/>
            <w:tcBorders>
              <w:top w:val="dotted" w:sz="4" w:space="0" w:color="auto"/>
            </w:tcBorders>
            <w:vAlign w:val="center"/>
          </w:tcPr>
          <w:p w14:paraId="1A29D171" w14:textId="77777777" w:rsidR="00A165A2" w:rsidRDefault="004B3987">
            <w:pPr>
              <w:pStyle w:val="Tabulka"/>
              <w:rPr>
                <w:rStyle w:val="Siln"/>
                <w:b w:val="0"/>
                <w:sz w:val="20"/>
                <w:szCs w:val="20"/>
              </w:rPr>
            </w:pPr>
            <w:r>
              <w:rPr>
                <w:rStyle w:val="Siln"/>
                <w:sz w:val="20"/>
                <w:szCs w:val="20"/>
              </w:rPr>
              <w:t>MZe/13120</w:t>
            </w:r>
          </w:p>
        </w:tc>
        <w:tc>
          <w:tcPr>
            <w:tcW w:w="1417" w:type="dxa"/>
            <w:tcBorders>
              <w:top w:val="dotted" w:sz="4" w:space="0" w:color="auto"/>
            </w:tcBorders>
            <w:vAlign w:val="center"/>
          </w:tcPr>
          <w:p w14:paraId="5154AD33" w14:textId="77777777" w:rsidR="00A165A2" w:rsidRDefault="004B3987">
            <w:pPr>
              <w:pStyle w:val="Tabulka"/>
              <w:rPr>
                <w:sz w:val="20"/>
                <w:szCs w:val="20"/>
              </w:rPr>
            </w:pPr>
            <w:r>
              <w:rPr>
                <w:sz w:val="20"/>
                <w:szCs w:val="20"/>
              </w:rPr>
              <w:t>221 813 024</w:t>
            </w:r>
          </w:p>
        </w:tc>
        <w:tc>
          <w:tcPr>
            <w:tcW w:w="2410" w:type="dxa"/>
            <w:tcBorders>
              <w:top w:val="dotted" w:sz="4" w:space="0" w:color="auto"/>
              <w:right w:val="dotted" w:sz="4" w:space="0" w:color="auto"/>
            </w:tcBorders>
            <w:vAlign w:val="center"/>
          </w:tcPr>
          <w:p w14:paraId="38854C81" w14:textId="77777777" w:rsidR="00A165A2" w:rsidRDefault="004B3987">
            <w:pPr>
              <w:pStyle w:val="Tabulka"/>
              <w:rPr>
                <w:sz w:val="20"/>
                <w:szCs w:val="20"/>
              </w:rPr>
            </w:pPr>
            <w:r>
              <w:rPr>
                <w:sz w:val="20"/>
                <w:szCs w:val="20"/>
              </w:rPr>
              <w:t>Zdenek.Trnka@mze.cz</w:t>
            </w:r>
          </w:p>
        </w:tc>
      </w:tr>
      <w:tr w:rsidR="00A165A2" w14:paraId="5BF56844" w14:textId="77777777">
        <w:tc>
          <w:tcPr>
            <w:tcW w:w="2537" w:type="dxa"/>
            <w:tcBorders>
              <w:left w:val="dotted" w:sz="4" w:space="0" w:color="auto"/>
            </w:tcBorders>
            <w:vAlign w:val="center"/>
          </w:tcPr>
          <w:p w14:paraId="37469189" w14:textId="77777777" w:rsidR="00A165A2" w:rsidRDefault="004B3987">
            <w:pPr>
              <w:pStyle w:val="Tabulka"/>
              <w:rPr>
                <w:szCs w:val="22"/>
              </w:rPr>
            </w:pPr>
            <w:r>
              <w:rPr>
                <w:sz w:val="20"/>
                <w:szCs w:val="20"/>
              </w:rPr>
              <w:t xml:space="preserve">Koordinátor změny </w:t>
            </w:r>
          </w:p>
        </w:tc>
        <w:tc>
          <w:tcPr>
            <w:tcW w:w="1843" w:type="dxa"/>
            <w:vAlign w:val="center"/>
          </w:tcPr>
          <w:p w14:paraId="2949F309" w14:textId="77777777" w:rsidR="00A165A2" w:rsidRDefault="004B3987">
            <w:pPr>
              <w:pStyle w:val="Tabulka"/>
              <w:rPr>
                <w:rFonts w:ascii="ArialMT2" w:hAnsi="ArialMT2" w:cs="ArialMT2"/>
                <w:sz w:val="20"/>
                <w:szCs w:val="20"/>
                <w:lang w:eastAsia="cs-CZ"/>
              </w:rPr>
            </w:pPr>
            <w:r>
              <w:rPr>
                <w:sz w:val="20"/>
                <w:szCs w:val="20"/>
              </w:rPr>
              <w:t>Jiří Bukovský</w:t>
            </w:r>
          </w:p>
        </w:tc>
        <w:tc>
          <w:tcPr>
            <w:tcW w:w="1701" w:type="dxa"/>
            <w:vAlign w:val="center"/>
          </w:tcPr>
          <w:p w14:paraId="14FD77F0" w14:textId="77777777" w:rsidR="00A165A2" w:rsidRDefault="004B3987">
            <w:pPr>
              <w:pStyle w:val="Tabulka"/>
              <w:rPr>
                <w:rStyle w:val="Siln"/>
                <w:b w:val="0"/>
                <w:sz w:val="20"/>
                <w:szCs w:val="20"/>
              </w:rPr>
            </w:pPr>
            <w:r>
              <w:rPr>
                <w:sz w:val="20"/>
                <w:szCs w:val="20"/>
              </w:rPr>
              <w:t>MZe/11121</w:t>
            </w:r>
          </w:p>
        </w:tc>
        <w:tc>
          <w:tcPr>
            <w:tcW w:w="1417" w:type="dxa"/>
            <w:vAlign w:val="center"/>
          </w:tcPr>
          <w:p w14:paraId="5AEEF998" w14:textId="77777777" w:rsidR="00A165A2" w:rsidRDefault="004B3987">
            <w:pPr>
              <w:pStyle w:val="Tabulka"/>
              <w:rPr>
                <w:sz w:val="20"/>
                <w:szCs w:val="20"/>
              </w:rPr>
            </w:pPr>
            <w:r>
              <w:rPr>
                <w:sz w:val="20"/>
                <w:szCs w:val="20"/>
              </w:rPr>
              <w:t>221812710</w:t>
            </w:r>
          </w:p>
        </w:tc>
        <w:tc>
          <w:tcPr>
            <w:tcW w:w="2410" w:type="dxa"/>
            <w:tcBorders>
              <w:right w:val="dotted" w:sz="4" w:space="0" w:color="auto"/>
            </w:tcBorders>
            <w:vAlign w:val="center"/>
          </w:tcPr>
          <w:p w14:paraId="1CEA1A08" w14:textId="77777777" w:rsidR="00A165A2" w:rsidRDefault="009B1840">
            <w:pPr>
              <w:pStyle w:val="Tabulka"/>
              <w:rPr>
                <w:sz w:val="20"/>
                <w:szCs w:val="20"/>
              </w:rPr>
            </w:pPr>
            <w:hyperlink r:id="rId9" w:history="1">
              <w:r w:rsidR="004B3987">
                <w:rPr>
                  <w:rStyle w:val="Hypertextovodkaz"/>
                  <w:sz w:val="20"/>
                  <w:szCs w:val="20"/>
                </w:rPr>
                <w:t>Jiri.Bukovsky@mze.cz</w:t>
              </w:r>
            </w:hyperlink>
            <w:r w:rsidR="004B3987">
              <w:rPr>
                <w:sz w:val="20"/>
                <w:szCs w:val="20"/>
              </w:rPr>
              <w:t xml:space="preserve"> </w:t>
            </w:r>
          </w:p>
        </w:tc>
      </w:tr>
      <w:tr w:rsidR="00A165A2" w14:paraId="71FDBAC3" w14:textId="77777777">
        <w:tc>
          <w:tcPr>
            <w:tcW w:w="2537" w:type="dxa"/>
            <w:tcBorders>
              <w:left w:val="dotted" w:sz="4" w:space="0" w:color="auto"/>
            </w:tcBorders>
            <w:vAlign w:val="center"/>
          </w:tcPr>
          <w:p w14:paraId="70ADDDDB" w14:textId="77777777" w:rsidR="00A165A2" w:rsidRDefault="004B3987">
            <w:pPr>
              <w:pStyle w:val="Tabulka"/>
              <w:rPr>
                <w:szCs w:val="22"/>
              </w:rPr>
            </w:pPr>
            <w:r>
              <w:rPr>
                <w:sz w:val="20"/>
                <w:szCs w:val="20"/>
              </w:rPr>
              <w:t>Poskytovatel / dodavatel:</w:t>
            </w:r>
          </w:p>
        </w:tc>
        <w:tc>
          <w:tcPr>
            <w:tcW w:w="1843" w:type="dxa"/>
            <w:vAlign w:val="center"/>
          </w:tcPr>
          <w:p w14:paraId="5924FCA3" w14:textId="6D5C53AE" w:rsidR="00A165A2" w:rsidRDefault="009B1840">
            <w:pPr>
              <w:pStyle w:val="Tabulka"/>
              <w:rPr>
                <w:sz w:val="20"/>
                <w:szCs w:val="20"/>
              </w:rPr>
            </w:pPr>
            <w:proofErr w:type="spellStart"/>
            <w:r>
              <w:rPr>
                <w:sz w:val="20"/>
                <w:szCs w:val="20"/>
              </w:rPr>
              <w:t>xxx</w:t>
            </w:r>
            <w:proofErr w:type="spellEnd"/>
          </w:p>
        </w:tc>
        <w:tc>
          <w:tcPr>
            <w:tcW w:w="1701" w:type="dxa"/>
            <w:vAlign w:val="center"/>
          </w:tcPr>
          <w:p w14:paraId="7AFCF093" w14:textId="77777777" w:rsidR="00A165A2" w:rsidRDefault="004B3987">
            <w:pPr>
              <w:pStyle w:val="Tabulka"/>
              <w:rPr>
                <w:rStyle w:val="Siln"/>
                <w:b w:val="0"/>
                <w:sz w:val="20"/>
                <w:szCs w:val="20"/>
              </w:rPr>
            </w:pPr>
            <w:r>
              <w:rPr>
                <w:sz w:val="20"/>
                <w:szCs w:val="20"/>
              </w:rPr>
              <w:t>O2ITS</w:t>
            </w:r>
          </w:p>
        </w:tc>
        <w:tc>
          <w:tcPr>
            <w:tcW w:w="1417" w:type="dxa"/>
            <w:vAlign w:val="center"/>
          </w:tcPr>
          <w:p w14:paraId="54A61ECD" w14:textId="5D17ADA0" w:rsidR="00A165A2" w:rsidRDefault="009B1840">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03F891CB" w14:textId="44E083DB" w:rsidR="00A165A2" w:rsidRDefault="009B1840">
            <w:pPr>
              <w:pStyle w:val="Tabulka"/>
              <w:rPr>
                <w:sz w:val="20"/>
                <w:szCs w:val="20"/>
              </w:rPr>
            </w:pPr>
            <w:proofErr w:type="spellStart"/>
            <w:r>
              <w:t>xxx</w:t>
            </w:r>
            <w:proofErr w:type="spellEnd"/>
          </w:p>
        </w:tc>
      </w:tr>
    </w:tbl>
    <w:p w14:paraId="2DF2B683" w14:textId="77777777" w:rsidR="00A165A2" w:rsidRDefault="00A165A2">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A165A2" w14:paraId="09E53D32" w14:textId="77777777">
        <w:trPr>
          <w:trHeight w:val="397"/>
        </w:trPr>
        <w:tc>
          <w:tcPr>
            <w:tcW w:w="1681" w:type="dxa"/>
            <w:vAlign w:val="center"/>
          </w:tcPr>
          <w:p w14:paraId="53509A2D" w14:textId="77777777" w:rsidR="00A165A2" w:rsidRDefault="004B3987">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5637A157" w14:textId="77777777" w:rsidR="00A165A2" w:rsidRDefault="004B3987">
            <w:pPr>
              <w:pStyle w:val="Tabulka"/>
              <w:rPr>
                <w:szCs w:val="22"/>
              </w:rPr>
            </w:pPr>
            <w:r>
              <w:rPr>
                <w:szCs w:val="22"/>
              </w:rPr>
              <w:t>S2019-0043; DMS 391-2019-11150;</w:t>
            </w:r>
          </w:p>
        </w:tc>
        <w:tc>
          <w:tcPr>
            <w:tcW w:w="1276" w:type="dxa"/>
            <w:tcBorders>
              <w:top w:val="single" w:sz="8" w:space="0" w:color="auto"/>
              <w:left w:val="dotted" w:sz="4" w:space="0" w:color="auto"/>
              <w:bottom w:val="single" w:sz="8" w:space="0" w:color="auto"/>
            </w:tcBorders>
            <w:vAlign w:val="center"/>
          </w:tcPr>
          <w:p w14:paraId="2F355D26" w14:textId="77777777" w:rsidR="00A165A2" w:rsidRDefault="004B3987">
            <w:pPr>
              <w:pStyle w:val="Tabulka"/>
              <w:rPr>
                <w:rStyle w:val="Siln"/>
                <w:b w:val="0"/>
                <w:szCs w:val="22"/>
              </w:rPr>
            </w:pPr>
            <w:r>
              <w:rPr>
                <w:rStyle w:val="Siln"/>
                <w:szCs w:val="22"/>
              </w:rPr>
              <w:t>KL:</w:t>
            </w:r>
          </w:p>
        </w:tc>
        <w:tc>
          <w:tcPr>
            <w:tcW w:w="2410" w:type="dxa"/>
            <w:vAlign w:val="center"/>
          </w:tcPr>
          <w:p w14:paraId="2D434CC7" w14:textId="77777777" w:rsidR="00A165A2" w:rsidRDefault="004B3987">
            <w:pPr>
              <w:pStyle w:val="Tabulka"/>
              <w:rPr>
                <w:szCs w:val="22"/>
              </w:rPr>
            </w:pPr>
            <w:r>
              <w:rPr>
                <w:szCs w:val="22"/>
              </w:rPr>
              <w:t>KL HR-001</w:t>
            </w:r>
          </w:p>
        </w:tc>
      </w:tr>
    </w:tbl>
    <w:p w14:paraId="3A6964E8" w14:textId="77777777" w:rsidR="00A165A2" w:rsidRDefault="00A165A2">
      <w:pPr>
        <w:rPr>
          <w:szCs w:val="22"/>
        </w:rPr>
      </w:pPr>
    </w:p>
    <w:p w14:paraId="7850E587" w14:textId="77777777" w:rsidR="00A165A2" w:rsidRDefault="004B3987">
      <w:pPr>
        <w:pStyle w:val="Nadpis1"/>
        <w:numPr>
          <w:ilvl w:val="0"/>
          <w:numId w:val="2"/>
        </w:numPr>
        <w:ind w:left="284" w:hanging="284"/>
        <w:rPr>
          <w:szCs w:val="22"/>
        </w:rPr>
      </w:pPr>
      <w:r>
        <w:rPr>
          <w:szCs w:val="22"/>
        </w:rPr>
        <w:t>Stručný popis a odůvodnění požadavku</w:t>
      </w:r>
    </w:p>
    <w:p w14:paraId="528276A9" w14:textId="77777777" w:rsidR="00A165A2" w:rsidRDefault="004B3987">
      <w:pPr>
        <w:pStyle w:val="Nadpis2"/>
        <w:numPr>
          <w:ilvl w:val="1"/>
          <w:numId w:val="2"/>
        </w:numPr>
      </w:pPr>
      <w:r>
        <w:t>Popis požadavku</w:t>
      </w:r>
    </w:p>
    <w:p w14:paraId="720F0CBB" w14:textId="77777777" w:rsidR="00A165A2" w:rsidRDefault="004B3987">
      <w:pPr>
        <w:spacing w:after="120"/>
      </w:pPr>
      <w:r>
        <w:t>Předmětem požadavku je úprava aplikace EPH, respektive doplnění kontrolních sestav pro nové AEKO 2023+, jehož kontrolní podmínky jsou odlišné od stávajícího období 2014-2022.</w:t>
      </w:r>
    </w:p>
    <w:p w14:paraId="46684BE2" w14:textId="77777777" w:rsidR="00A165A2" w:rsidRDefault="004B3987">
      <w:pPr>
        <w:spacing w:after="120"/>
      </w:pPr>
      <w:r>
        <w:t>Mechanismus kontroly bude respektovat dosavadní strukturu, tj. rozdělení na 4 dílčí sekce kontrolních bodů a bude pracovat s novými závazky, které EPH získává z LPIS ve view AEKOEZ_ZAVAZKY.</w:t>
      </w:r>
    </w:p>
    <w:p w14:paraId="2A33F0F3" w14:textId="77777777" w:rsidR="00A165A2" w:rsidRDefault="004B3987">
      <w:pPr>
        <w:spacing w:after="120"/>
      </w:pPr>
      <w:r>
        <w:t>Úprava bude realizována již na platformě EAGRIAPP2 (tj.mimo původní programový kód v IAS) a bude použita implementována do předaných dat v rámci JUDEH pro potřeby kontrol ÚKZÚZ nad předanými daty za rok 2023.</w:t>
      </w:r>
    </w:p>
    <w:p w14:paraId="25AF5792" w14:textId="77777777" w:rsidR="00A165A2" w:rsidRDefault="004B3987">
      <w:pPr>
        <w:spacing w:after="120"/>
      </w:pPr>
      <w:r>
        <w:t xml:space="preserve">Součástí PZ je úprava aplikace EPH v návaznosti na novelu rostlinolékařského zákona </w:t>
      </w:r>
      <w:bookmarkStart w:id="0" w:name="_Hlk138919526"/>
      <w:r>
        <w:t>č. 326/2004 Sb.</w:t>
      </w:r>
      <w:bookmarkEnd w:id="0"/>
      <w:r>
        <w:t>, ve věci elektronického předávání dat evidence POR. V rámci PZ 717 jsou realizovány webové služby pro příjem dat evidence POR a pro poskytování chybníků. Navázání EPH na tyto webové služby je předmětem tohoto PZ.</w:t>
      </w:r>
    </w:p>
    <w:p w14:paraId="52BF45D8" w14:textId="77777777" w:rsidR="00A165A2" w:rsidRDefault="004B3987">
      <w:pPr>
        <w:pStyle w:val="Nadpis2"/>
        <w:numPr>
          <w:ilvl w:val="1"/>
          <w:numId w:val="2"/>
        </w:numPr>
      </w:pPr>
      <w:r>
        <w:lastRenderedPageBreak/>
        <w:t>Odůvodnění požadované změny (změny právních předpisů, přínosy)</w:t>
      </w:r>
    </w:p>
    <w:p w14:paraId="0EE74617" w14:textId="77777777" w:rsidR="00A165A2" w:rsidRDefault="004B3987">
      <w:r>
        <w:t>Změna je vyvolána novým právním předpisem upravujícím podmínky AEKO nařízení vlády č. 80/2023 Sb.,</w:t>
      </w:r>
    </w:p>
    <w:p w14:paraId="597892EE" w14:textId="77777777" w:rsidR="00A165A2" w:rsidRDefault="004B3987">
      <w:r>
        <w:t>Implementace je navržena tak, aby jeden programový kód zajistil kontrolu jak v rámci aplikace EPH pro farmáře, tak v rámci předaných dat ÚKZÚZ (doposud byly kontroly realizovány na dvou místech – v aplikaci EPH i v aplikaci kontrolního modulu ÚKZÚZ).</w:t>
      </w:r>
    </w:p>
    <w:p w14:paraId="01A9A59B" w14:textId="77777777" w:rsidR="00A165A2" w:rsidRDefault="004B3987">
      <w:pPr>
        <w:rPr>
          <w:color w:val="000000"/>
          <w:szCs w:val="22"/>
          <w:lang w:eastAsia="cs-CZ"/>
        </w:rPr>
      </w:pPr>
      <w:r>
        <w:t xml:space="preserve">Úprava EPH za účelem předávání elektronické evidence POR </w:t>
      </w:r>
      <w:bookmarkStart w:id="1" w:name="_Hlk74203836"/>
      <w:r>
        <w:rPr>
          <w:color w:val="000000"/>
          <w:szCs w:val="22"/>
          <w:lang w:eastAsia="cs-CZ"/>
        </w:rPr>
        <w:t xml:space="preserve">reaguje na nutnost  zajištění </w:t>
      </w:r>
      <w:bookmarkEnd w:id="1"/>
      <w:r>
        <w:rPr>
          <w:color w:val="000000"/>
          <w:szCs w:val="22"/>
          <w:lang w:eastAsia="cs-CZ"/>
        </w:rPr>
        <w:t>implementace novely rostlinolékařského zákona</w:t>
      </w:r>
      <w:r>
        <w:t xml:space="preserve"> č. 326/2004 Sb.</w:t>
      </w:r>
      <w:r>
        <w:rPr>
          <w:color w:val="000000"/>
          <w:szCs w:val="22"/>
          <w:lang w:eastAsia="cs-CZ"/>
        </w:rPr>
        <w:t>, jmenovitě § 60 odst. 7 a návazné provádějící vyhlášky</w:t>
      </w:r>
    </w:p>
    <w:p w14:paraId="6442E96C" w14:textId="77777777" w:rsidR="00A165A2" w:rsidRDefault="00A165A2"/>
    <w:p w14:paraId="7601C453" w14:textId="77777777" w:rsidR="00A165A2" w:rsidRDefault="004B3987">
      <w:pPr>
        <w:pStyle w:val="Nadpis2"/>
        <w:numPr>
          <w:ilvl w:val="1"/>
          <w:numId w:val="2"/>
        </w:numPr>
      </w:pPr>
      <w:r>
        <w:t>Rizika nerealizace</w:t>
      </w:r>
    </w:p>
    <w:p w14:paraId="3CD5A5A1" w14:textId="77777777" w:rsidR="00A165A2" w:rsidRDefault="004B3987">
      <w:pPr>
        <w:autoSpaceDE w:val="0"/>
        <w:autoSpaceDN w:val="0"/>
        <w:adjustRightInd w:val="0"/>
        <w:rPr>
          <w:szCs w:val="22"/>
          <w:lang w:eastAsia="cs-CZ"/>
        </w:rPr>
      </w:pPr>
      <w:r>
        <w:rPr>
          <w:szCs w:val="22"/>
          <w:lang w:eastAsia="cs-CZ"/>
        </w:rPr>
        <w:t xml:space="preserve">V případě neprovedení </w:t>
      </w:r>
    </w:p>
    <w:p w14:paraId="6B3FE688" w14:textId="77777777" w:rsidR="00A165A2" w:rsidRDefault="004B3987">
      <w:pPr>
        <w:pStyle w:val="Odstavecseseznamem"/>
        <w:numPr>
          <w:ilvl w:val="0"/>
          <w:numId w:val="14"/>
        </w:numPr>
        <w:autoSpaceDE w:val="0"/>
        <w:autoSpaceDN w:val="0"/>
        <w:adjustRightInd w:val="0"/>
        <w:jc w:val="both"/>
        <w:rPr>
          <w:rFonts w:cs="Arial"/>
          <w:szCs w:val="22"/>
          <w:lang w:eastAsia="cs-CZ"/>
        </w:rPr>
      </w:pPr>
      <w:r>
        <w:rPr>
          <w:rFonts w:cs="Arial"/>
          <w:szCs w:val="22"/>
          <w:lang w:eastAsia="cs-CZ"/>
        </w:rPr>
        <w:t>Nebudou systémově kontrolovány podmínky AEKO, což je nežádoucí stav jak pro kontroly ÚKZÚZ, tak pro EPH, kde si zemědělci dosavadní sestavy hojně využívali.</w:t>
      </w:r>
    </w:p>
    <w:p w14:paraId="0D7BCF78" w14:textId="77777777" w:rsidR="00A165A2" w:rsidRDefault="004B3987">
      <w:pPr>
        <w:pStyle w:val="Odstavecseseznamem"/>
        <w:numPr>
          <w:ilvl w:val="0"/>
          <w:numId w:val="14"/>
        </w:numPr>
        <w:autoSpaceDE w:val="0"/>
        <w:autoSpaceDN w:val="0"/>
        <w:adjustRightInd w:val="0"/>
        <w:jc w:val="both"/>
        <w:rPr>
          <w:rFonts w:cs="Arial"/>
          <w:szCs w:val="22"/>
          <w:lang w:eastAsia="cs-CZ"/>
        </w:rPr>
      </w:pPr>
      <w:r>
        <w:rPr>
          <w:rFonts w:cs="Arial"/>
          <w:szCs w:val="22"/>
          <w:lang w:eastAsia="cs-CZ"/>
        </w:rPr>
        <w:t xml:space="preserve">Nebude zajištěno předávání dat el. evidence POR v souladu s novelou </w:t>
      </w:r>
      <w:r>
        <w:rPr>
          <w:rFonts w:cs="Arial"/>
          <w:color w:val="000000"/>
          <w:szCs w:val="22"/>
          <w:lang w:eastAsia="cs-CZ"/>
        </w:rPr>
        <w:t>rostlinolékařského zákon a naplněna tak zákonná povinnost.</w:t>
      </w:r>
    </w:p>
    <w:p w14:paraId="61D2DCF9" w14:textId="77777777" w:rsidR="00A165A2" w:rsidRDefault="00A165A2">
      <w:pPr>
        <w:autoSpaceDE w:val="0"/>
        <w:autoSpaceDN w:val="0"/>
        <w:adjustRightInd w:val="0"/>
        <w:rPr>
          <w:b/>
        </w:rPr>
      </w:pPr>
    </w:p>
    <w:p w14:paraId="71742701" w14:textId="77777777" w:rsidR="00A165A2" w:rsidRDefault="004B3987">
      <w:pPr>
        <w:pStyle w:val="Nadpis1"/>
        <w:numPr>
          <w:ilvl w:val="0"/>
          <w:numId w:val="2"/>
        </w:numPr>
        <w:ind w:left="0" w:hanging="1566"/>
      </w:pPr>
      <w:r>
        <w:t>3   Podrobný popis požadavku.</w:t>
      </w:r>
    </w:p>
    <w:p w14:paraId="10093672" w14:textId="77777777" w:rsidR="00A165A2" w:rsidRDefault="004B3987">
      <w:pPr>
        <w:pStyle w:val="Nadpis2"/>
        <w:numPr>
          <w:ilvl w:val="1"/>
          <w:numId w:val="2"/>
        </w:numPr>
      </w:pPr>
      <w:r>
        <w:t>Začlení do aplikace EPH</w:t>
      </w:r>
    </w:p>
    <w:p w14:paraId="4C7A683D" w14:textId="77777777" w:rsidR="00A165A2" w:rsidRDefault="004B3987">
      <w:r>
        <w:t>V rámci aplikace EPH bude v levém menu kontrolní sestavy doplněn odkaz AEKO závazky 2023+. Po spuštění odkazu dojde k přesměrování do prostředí EPH na platformě EAGRIAPP2, kde bude standardní zadávací formulář pro výběr sestavy:</w:t>
      </w:r>
    </w:p>
    <w:p w14:paraId="0EFDC82D" w14:textId="77777777" w:rsidR="00A165A2" w:rsidRDefault="004B3987">
      <w:pPr>
        <w:pStyle w:val="Odstavecseseznamem"/>
        <w:numPr>
          <w:ilvl w:val="0"/>
          <w:numId w:val="7"/>
        </w:numPr>
      </w:pPr>
      <w:r>
        <w:t>Výběr období</w:t>
      </w:r>
    </w:p>
    <w:p w14:paraId="38F51BEC" w14:textId="77777777" w:rsidR="00A165A2" w:rsidRDefault="004B3987">
      <w:pPr>
        <w:pStyle w:val="Odstavecseseznamem"/>
        <w:numPr>
          <w:ilvl w:val="0"/>
          <w:numId w:val="7"/>
        </w:numPr>
      </w:pPr>
      <w:r>
        <w:t>Výběr typu dílčích sestav</w:t>
      </w:r>
    </w:p>
    <w:p w14:paraId="2E3D01B4" w14:textId="77777777" w:rsidR="00A165A2" w:rsidRDefault="004B3987">
      <w:r>
        <w:t>Dílčí kontroly budou shodné, respektive dílče pozměněné jako doposud, tj:</w:t>
      </w:r>
    </w:p>
    <w:p w14:paraId="75772F7A" w14:textId="77777777" w:rsidR="00A165A2" w:rsidRDefault="004B3987">
      <w:pPr>
        <w:pStyle w:val="Odstavecseseznamem"/>
        <w:numPr>
          <w:ilvl w:val="0"/>
          <w:numId w:val="4"/>
        </w:numPr>
      </w:pPr>
      <w:r>
        <w:t>Kontrola maximálního limitu přívodu N (SUM_HNOJIVA)</w:t>
      </w:r>
    </w:p>
    <w:p w14:paraId="78655A65" w14:textId="77777777" w:rsidR="00A165A2" w:rsidRDefault="004B3987">
      <w:pPr>
        <w:pStyle w:val="Odstavecseseznamem"/>
        <w:numPr>
          <w:ilvl w:val="0"/>
          <w:numId w:val="4"/>
        </w:numPr>
      </w:pPr>
      <w:r>
        <w:t xml:space="preserve">Kontrola omezení jednotlivých aplikací hnojiv (IND_HNOJIVA) </w:t>
      </w:r>
    </w:p>
    <w:p w14:paraId="6349D74A" w14:textId="77777777" w:rsidR="00A165A2" w:rsidRDefault="004B3987">
      <w:pPr>
        <w:pStyle w:val="Odstavecseseznamem"/>
        <w:numPr>
          <w:ilvl w:val="0"/>
          <w:numId w:val="4"/>
        </w:numPr>
      </w:pPr>
      <w:r>
        <w:t>Kontrola minimálního a maximálního přísunu dusíku z pastvy u pastevních managementů (SUM_PASTVA)</w:t>
      </w:r>
    </w:p>
    <w:p w14:paraId="22D522CD" w14:textId="77777777" w:rsidR="00A165A2" w:rsidRDefault="004B3987">
      <w:pPr>
        <w:pStyle w:val="Odstavecseseznamem"/>
        <w:numPr>
          <w:ilvl w:val="0"/>
          <w:numId w:val="4"/>
        </w:numPr>
      </w:pPr>
      <w:r>
        <w:t>Kontrola omezení jednotlivých pastev (IND_PASTVA)</w:t>
      </w:r>
    </w:p>
    <w:p w14:paraId="65A4E20B" w14:textId="77777777" w:rsidR="00A165A2" w:rsidRDefault="004B3987">
      <w:r>
        <w:t>Příklad dnešní struktury v XLS:</w:t>
      </w:r>
    </w:p>
    <w:p w14:paraId="0180BC75" w14:textId="162999CB" w:rsidR="00A165A2" w:rsidRDefault="009B1840">
      <w:r>
        <w:rPr>
          <w:noProof/>
        </w:rPr>
        <w:t>xxx</w:t>
      </w:r>
    </w:p>
    <w:p w14:paraId="42CA7CAA" w14:textId="77777777" w:rsidR="00A165A2" w:rsidRDefault="004B3987">
      <w:r>
        <w:t>Po spuštění kontroly nově budou výsledky vypsány na stránku prohlížeče a nově bude umožněno:</w:t>
      </w:r>
    </w:p>
    <w:p w14:paraId="6D1D6D62" w14:textId="77777777" w:rsidR="00A165A2" w:rsidRDefault="004B3987">
      <w:pPr>
        <w:pStyle w:val="Odstavecseseznamem"/>
        <w:numPr>
          <w:ilvl w:val="0"/>
          <w:numId w:val="12"/>
        </w:numPr>
      </w:pPr>
      <w:r>
        <w:t>Z jednotlivé aplikace si prokliknout na detail aplikace</w:t>
      </w:r>
    </w:p>
    <w:p w14:paraId="1CFA35ED" w14:textId="77777777" w:rsidR="00A165A2" w:rsidRDefault="004B3987">
      <w:pPr>
        <w:pStyle w:val="Odstavecseseznamem"/>
        <w:numPr>
          <w:ilvl w:val="0"/>
          <w:numId w:val="12"/>
        </w:numPr>
      </w:pPr>
      <w:r>
        <w:t>V kontrolách, kde se pracuje se sumou přívodu N bude umožněno zobrazit seznam zahrnutých aplikací</w:t>
      </w:r>
    </w:p>
    <w:p w14:paraId="45F3792C" w14:textId="77777777" w:rsidR="00A165A2" w:rsidRDefault="004B3987">
      <w:pPr>
        <w:pStyle w:val="Odstavecseseznamem"/>
        <w:numPr>
          <w:ilvl w:val="0"/>
          <w:numId w:val="12"/>
        </w:numPr>
      </w:pPr>
      <w:r>
        <w:t>Tisk do XLS v totožné struktuře jako v současné době</w:t>
      </w:r>
    </w:p>
    <w:p w14:paraId="287C700B" w14:textId="77777777" w:rsidR="00A165A2" w:rsidRDefault="004B3987">
      <w:r>
        <w:t>Nad rámec současného řešení bude každý řádek s porušením ještě opatřen kódem chyby a bude existovat výpis zjištěných porušení, tj. sekce Porušení se strukturou:</w:t>
      </w:r>
    </w:p>
    <w:p w14:paraId="48E30E6B" w14:textId="77777777" w:rsidR="00A165A2" w:rsidRDefault="004B3987">
      <w:pPr>
        <w:pStyle w:val="Odstavecseseznamem"/>
        <w:numPr>
          <w:ilvl w:val="0"/>
          <w:numId w:val="13"/>
        </w:numPr>
      </w:pPr>
      <w:r>
        <w:t>Kód porušení</w:t>
      </w:r>
    </w:p>
    <w:p w14:paraId="49ACF018" w14:textId="77777777" w:rsidR="00A165A2" w:rsidRDefault="004B3987">
      <w:pPr>
        <w:pStyle w:val="Odstavecseseznamem"/>
        <w:numPr>
          <w:ilvl w:val="0"/>
          <w:numId w:val="13"/>
        </w:numPr>
      </w:pPr>
      <w:r>
        <w:t>Čtverec + Zkrácený kód</w:t>
      </w:r>
    </w:p>
    <w:p w14:paraId="0A839EAA" w14:textId="77777777" w:rsidR="00A165A2" w:rsidRDefault="004B3987">
      <w:pPr>
        <w:pStyle w:val="Odstavecseseznamem"/>
        <w:numPr>
          <w:ilvl w:val="0"/>
          <w:numId w:val="13"/>
        </w:numPr>
      </w:pPr>
      <w:r>
        <w:t>Název parcely</w:t>
      </w:r>
    </w:p>
    <w:p w14:paraId="766AA058" w14:textId="77777777" w:rsidR="00A165A2" w:rsidRDefault="004B3987">
      <w:pPr>
        <w:pStyle w:val="Odstavecseseznamem"/>
        <w:numPr>
          <w:ilvl w:val="0"/>
          <w:numId w:val="13"/>
        </w:numPr>
      </w:pPr>
      <w:r>
        <w:t xml:space="preserve">Datum aplikace/pastvy od </w:t>
      </w:r>
    </w:p>
    <w:p w14:paraId="73963FD5" w14:textId="77777777" w:rsidR="00A165A2" w:rsidRDefault="004B3987">
      <w:pPr>
        <w:pStyle w:val="Odstavecseseznamem"/>
        <w:numPr>
          <w:ilvl w:val="0"/>
          <w:numId w:val="13"/>
        </w:numPr>
      </w:pPr>
      <w:r>
        <w:t>Datum pastvy do</w:t>
      </w:r>
    </w:p>
    <w:p w14:paraId="661BD5EC" w14:textId="77777777" w:rsidR="00A165A2" w:rsidRDefault="004B3987">
      <w:pPr>
        <w:pStyle w:val="Odstavecseseznamem"/>
        <w:numPr>
          <w:ilvl w:val="0"/>
          <w:numId w:val="13"/>
        </w:numPr>
      </w:pPr>
      <w:r>
        <w:t>Hnojivo (v případě pastvy přepočet na výkaly)</w:t>
      </w:r>
    </w:p>
    <w:p w14:paraId="54EAAF33" w14:textId="77777777" w:rsidR="00A165A2" w:rsidRDefault="004B3987">
      <w:pPr>
        <w:pStyle w:val="Odstavecseseznamem"/>
        <w:numPr>
          <w:ilvl w:val="0"/>
          <w:numId w:val="13"/>
        </w:numPr>
      </w:pPr>
      <w:r>
        <w:t>Množství/ha</w:t>
      </w:r>
    </w:p>
    <w:p w14:paraId="4A502A04" w14:textId="77777777" w:rsidR="00A165A2" w:rsidRDefault="004B3987">
      <w:pPr>
        <w:pStyle w:val="Odstavecseseznamem"/>
        <w:numPr>
          <w:ilvl w:val="0"/>
          <w:numId w:val="13"/>
        </w:numPr>
      </w:pPr>
      <w:r>
        <w:t>Měrná jednotka</w:t>
      </w:r>
    </w:p>
    <w:p w14:paraId="0068CA47" w14:textId="77777777" w:rsidR="00A165A2" w:rsidRDefault="004B3987">
      <w:pPr>
        <w:pStyle w:val="Odstavecseseznamem"/>
        <w:numPr>
          <w:ilvl w:val="0"/>
          <w:numId w:val="13"/>
        </w:numPr>
      </w:pPr>
      <w:r>
        <w:t>Dávka N/ha</w:t>
      </w:r>
    </w:p>
    <w:p w14:paraId="4F24ABB5" w14:textId="77777777" w:rsidR="00A165A2" w:rsidRDefault="004B3987">
      <w:pPr>
        <w:pStyle w:val="Nadpis2"/>
        <w:numPr>
          <w:ilvl w:val="1"/>
          <w:numId w:val="2"/>
        </w:numPr>
      </w:pPr>
      <w:r>
        <w:t>Začlenění do aplikace JUDEH</w:t>
      </w:r>
    </w:p>
    <w:p w14:paraId="4CDC1526" w14:textId="77777777" w:rsidR="00A165A2" w:rsidRDefault="004B3987">
      <w:r>
        <w:t xml:space="preserve">Po předání dat proběhnou asynchronní kontroly tak jako se již realizují dnes pro kontrolu zákazu hnojení v rámci nitrátové směrnice. </w:t>
      </w:r>
    </w:p>
    <w:p w14:paraId="3224253A" w14:textId="77777777" w:rsidR="00A165A2" w:rsidRDefault="004B3987">
      <w:r>
        <w:t xml:space="preserve">Každý řádek předané aplikace bude kontrolován totožným algoritmem jako v případě EPH aplikací a chyby typu 2 a 4 budou vypisovány k danému řádku. Kontroly - min/max přívodu N za období (tj. typ 1 a 3) bude zapisován do nové datové struktury odpovídající přehledu DPB a kalendářnímu </w:t>
      </w:r>
      <w:r>
        <w:lastRenderedPageBreak/>
        <w:t>roku. Tato datová struktura bude rozšířena o sumární přívod N (přepočtený i nepřepočtený dle pravidel zápočtu N dle nitrátové směrnice).</w:t>
      </w:r>
    </w:p>
    <w:p w14:paraId="2FB4F46B" w14:textId="77777777" w:rsidR="00A165A2" w:rsidRDefault="004B3987">
      <w:r>
        <w:t>V případě zjištění více kódů chyb pro daný řádek, budou oddělovány středníkem.</w:t>
      </w:r>
    </w:p>
    <w:p w14:paraId="4C117840" w14:textId="77777777" w:rsidR="00A165A2" w:rsidRDefault="004B3987">
      <w:r>
        <w:t>Součástí je publikace view pro kontrolní modul LPIS.</w:t>
      </w:r>
    </w:p>
    <w:p w14:paraId="553EFEBF" w14:textId="77777777" w:rsidR="00A165A2" w:rsidRDefault="00A165A2"/>
    <w:p w14:paraId="6CBFDADF" w14:textId="77777777" w:rsidR="00A165A2" w:rsidRDefault="004B3987">
      <w:pPr>
        <w:pStyle w:val="Nadpis2"/>
        <w:numPr>
          <w:ilvl w:val="1"/>
          <w:numId w:val="2"/>
        </w:numPr>
      </w:pPr>
      <w:r>
        <w:t>Kontrolované body, kódy chyb</w:t>
      </w:r>
    </w:p>
    <w:p w14:paraId="173C9606" w14:textId="77777777" w:rsidR="00A165A2" w:rsidRDefault="004B3987">
      <w:r>
        <w:t>Algoritmus kontroly bude realizován pro závazky AEKO dle vloženého XLS.</w:t>
      </w:r>
    </w:p>
    <w:p w14:paraId="0A542525" w14:textId="69B496EF" w:rsidR="00A165A2" w:rsidRDefault="009B1840">
      <w:proofErr w:type="spellStart"/>
      <w:r>
        <w:t>xxx</w:t>
      </w:r>
      <w:proofErr w:type="spellEnd"/>
    </w:p>
    <w:p w14:paraId="5921C26C" w14:textId="77777777" w:rsidR="00A165A2" w:rsidRDefault="004B3987">
      <w:pPr>
        <w:pStyle w:val="Nadpis2"/>
        <w:numPr>
          <w:ilvl w:val="1"/>
          <w:numId w:val="2"/>
        </w:numPr>
      </w:pPr>
      <w:r>
        <w:t xml:space="preserve">Napojení EPH na webové </w:t>
      </w:r>
      <w:proofErr w:type="gramStart"/>
      <w:r>
        <w:t>služby  pro</w:t>
      </w:r>
      <w:proofErr w:type="gramEnd"/>
      <w:r>
        <w:t xml:space="preserve"> předávání dat evidence POR.</w:t>
      </w:r>
    </w:p>
    <w:p w14:paraId="7F2C9C19" w14:textId="77777777" w:rsidR="00A165A2" w:rsidRDefault="004B3987">
      <w:r>
        <w:t>Aplikace EPH se napojí na webové služby pro předávání dat do evidence POR takto:</w:t>
      </w:r>
    </w:p>
    <w:p w14:paraId="6D6D5660" w14:textId="77777777" w:rsidR="00A165A2" w:rsidRDefault="004B3987">
      <w:pPr>
        <w:pStyle w:val="Odstavecseseznamem"/>
        <w:numPr>
          <w:ilvl w:val="0"/>
          <w:numId w:val="1"/>
        </w:numPr>
      </w:pPr>
      <w:r>
        <w:t>V menu vznikne Předání dat ev. POR NOVÉ (dle vyhlášky). Odkaz přesměruje uživatele do přípravného prostředí v rámci EAGRIAPP2</w:t>
      </w:r>
    </w:p>
    <w:p w14:paraId="1697A547" w14:textId="77777777" w:rsidR="00A165A2" w:rsidRDefault="004B3987">
      <w:pPr>
        <w:pStyle w:val="Odstavecseseznamem"/>
        <w:numPr>
          <w:ilvl w:val="0"/>
          <w:numId w:val="1"/>
        </w:numPr>
      </w:pPr>
      <w:r>
        <w:t>V přípravném prostředí bude volba období pro načtení dat – default nejbližší předchozí 1.7. po konec předchozího měsíce</w:t>
      </w:r>
    </w:p>
    <w:p w14:paraId="52AC46C5" w14:textId="77777777" w:rsidR="00A165A2" w:rsidRDefault="004B3987">
      <w:pPr>
        <w:pStyle w:val="Odstavecseseznamem"/>
        <w:numPr>
          <w:ilvl w:val="0"/>
          <w:numId w:val="1"/>
        </w:numPr>
      </w:pPr>
      <w:r>
        <w:t>Po načtení dat budou data zobrazena na 3 záložkách:</w:t>
      </w:r>
    </w:p>
    <w:p w14:paraId="3623D353" w14:textId="77777777" w:rsidR="00A165A2" w:rsidRDefault="004B3987">
      <w:pPr>
        <w:pStyle w:val="Odstavecseseznamem"/>
        <w:numPr>
          <w:ilvl w:val="0"/>
          <w:numId w:val="11"/>
        </w:numPr>
      </w:pPr>
      <w:r>
        <w:t xml:space="preserve">Přehled osevu </w:t>
      </w:r>
    </w:p>
    <w:p w14:paraId="176EF63D" w14:textId="77777777" w:rsidR="00A165A2" w:rsidRDefault="004B3987">
      <w:pPr>
        <w:pStyle w:val="Odstavecseseznamem"/>
        <w:numPr>
          <w:ilvl w:val="0"/>
          <w:numId w:val="11"/>
        </w:numPr>
      </w:pPr>
      <w:r>
        <w:t>Přehled aplikací</w:t>
      </w:r>
    </w:p>
    <w:p w14:paraId="16E948E5" w14:textId="77777777" w:rsidR="00A165A2" w:rsidRDefault="004B3987">
      <w:pPr>
        <w:pStyle w:val="Odstavecseseznamem"/>
        <w:numPr>
          <w:ilvl w:val="0"/>
          <w:numId w:val="11"/>
        </w:numPr>
      </w:pPr>
      <w:r>
        <w:t>Sumarizace (Přehled plodin k 1.7. a k poslednímu datu předchozího měsíce; sumarizace spotřeby přípravků – dle přípravku, plodiny, dávky, škodlivého organismu)</w:t>
      </w:r>
    </w:p>
    <w:p w14:paraId="0E9E3EA7" w14:textId="77777777" w:rsidR="00A165A2" w:rsidRDefault="004B3987">
      <w:pPr>
        <w:pStyle w:val="Odstavecseseznamem"/>
        <w:numPr>
          <w:ilvl w:val="0"/>
          <w:numId w:val="6"/>
        </w:numPr>
        <w:jc w:val="both"/>
      </w:pPr>
      <w:r>
        <w:t>Z přípravného prostředí bude možné data odeslat. EPH zavolá službu EPOR_PPOR01A a v případě neúspěšného volání zobrazí chybu anebo hlášku s úspěchem předání a na základě zavolání chybníkové služby EPOR_CHPOR01A zobrazí propustné chyby.</w:t>
      </w:r>
    </w:p>
    <w:p w14:paraId="67D64EC1" w14:textId="77777777" w:rsidR="00A165A2" w:rsidRDefault="004B3987">
      <w:pPr>
        <w:pStyle w:val="Odstavecseseznamem"/>
        <w:numPr>
          <w:ilvl w:val="0"/>
          <w:numId w:val="6"/>
        </w:numPr>
        <w:jc w:val="both"/>
      </w:pPr>
      <w:r>
        <w:t>V archivu předaných dat POR bude doplněn záznam o předání a odkaz na zobrazení v aplikaci pro předávaná data evidence POR</w:t>
      </w:r>
    </w:p>
    <w:p w14:paraId="239823E6" w14:textId="77777777" w:rsidR="00A165A2" w:rsidRDefault="00A165A2"/>
    <w:p w14:paraId="1EA5E39B" w14:textId="77777777" w:rsidR="00A165A2" w:rsidRDefault="00A165A2"/>
    <w:p w14:paraId="5D197BDC" w14:textId="77777777" w:rsidR="00A165A2" w:rsidRDefault="004B3987">
      <w:pPr>
        <w:pStyle w:val="Nadpis1"/>
        <w:numPr>
          <w:ilvl w:val="0"/>
          <w:numId w:val="2"/>
        </w:numPr>
        <w:ind w:left="284" w:hanging="284"/>
        <w:rPr>
          <w:szCs w:val="22"/>
        </w:rPr>
      </w:pPr>
      <w:r>
        <w:rPr>
          <w:szCs w:val="22"/>
        </w:rPr>
        <w:t>Dopady na IS MZe</w:t>
      </w:r>
    </w:p>
    <w:p w14:paraId="35B19CDC" w14:textId="77777777" w:rsidR="00A165A2" w:rsidRDefault="004B398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9DB7A03" w14:textId="77777777" w:rsidR="00A165A2" w:rsidRDefault="00A165A2">
      <w:pPr>
        <w:rPr>
          <w:sz w:val="16"/>
          <w:szCs w:val="16"/>
        </w:rPr>
      </w:pPr>
    </w:p>
    <w:p w14:paraId="73E4B9FA" w14:textId="77777777" w:rsidR="00A165A2" w:rsidRDefault="004B3987">
      <w:pPr>
        <w:pStyle w:val="Nadpis2"/>
        <w:numPr>
          <w:ilvl w:val="1"/>
          <w:numId w:val="2"/>
        </w:numPr>
      </w:pPr>
      <w:r>
        <w:t>Na provoz a infrastrukturu</w:t>
      </w:r>
    </w:p>
    <w:p w14:paraId="28BF9373" w14:textId="77777777" w:rsidR="00A165A2" w:rsidRDefault="004B3987">
      <w:r>
        <w:t>Nejsou známy</w:t>
      </w:r>
    </w:p>
    <w:p w14:paraId="58885E58" w14:textId="77777777" w:rsidR="00A165A2" w:rsidRDefault="004B3987">
      <w:pPr>
        <w:pStyle w:val="Nadpis2"/>
        <w:numPr>
          <w:ilvl w:val="1"/>
          <w:numId w:val="2"/>
        </w:numPr>
      </w:pPr>
      <w:r>
        <w:t>Na bezpečnost</w:t>
      </w:r>
    </w:p>
    <w:p w14:paraId="02983F52" w14:textId="77777777" w:rsidR="00A165A2" w:rsidRDefault="004B3987">
      <w:r>
        <w:t>Nejsou známy</w:t>
      </w:r>
    </w:p>
    <w:p w14:paraId="25C1EF1A" w14:textId="77777777" w:rsidR="00A165A2" w:rsidRDefault="004B3987">
      <w:pPr>
        <w:pStyle w:val="Nadpis2"/>
        <w:numPr>
          <w:ilvl w:val="1"/>
          <w:numId w:val="2"/>
        </w:numPr>
      </w:pPr>
      <w:r>
        <w:t>Na součinnost s dalšími systémy</w:t>
      </w:r>
    </w:p>
    <w:p w14:paraId="1BFE88C6" w14:textId="77777777" w:rsidR="00A165A2" w:rsidRDefault="004B3987">
      <w:r>
        <w:t>Nejsou známy</w:t>
      </w:r>
    </w:p>
    <w:p w14:paraId="0ED1D39F" w14:textId="77777777" w:rsidR="00A165A2" w:rsidRDefault="004B3987">
      <w:pPr>
        <w:pStyle w:val="Nadpis2"/>
        <w:numPr>
          <w:ilvl w:val="1"/>
          <w:numId w:val="2"/>
        </w:numPr>
      </w:pPr>
      <w:r>
        <w:t>Požadavky na součinnost AgriBus a EPO</w:t>
      </w:r>
    </w:p>
    <w:p w14:paraId="22B03D60" w14:textId="77777777" w:rsidR="00A165A2" w:rsidRDefault="004B3987">
      <w:r>
        <w:t>Nejsou známy</w:t>
      </w:r>
    </w:p>
    <w:p w14:paraId="5E2F51B5" w14:textId="77777777" w:rsidR="00A165A2" w:rsidRDefault="004B3987">
      <w:pPr>
        <w:rPr>
          <w:sz w:val="16"/>
          <w:szCs w:val="16"/>
        </w:rPr>
      </w:pPr>
      <w:r>
        <w:rPr>
          <w:sz w:val="16"/>
          <w:szCs w:val="16"/>
        </w:rPr>
        <w:t>(Pokud existují požadavky na součinnost Agribus, uveďte specifikaci služby ve formě strukturovaného požadavku (request) a odpovědi (response) s vyznačenou změnou.)</w:t>
      </w:r>
    </w:p>
    <w:p w14:paraId="585E71AE" w14:textId="77777777" w:rsidR="00A165A2" w:rsidRDefault="00A165A2">
      <w:pPr>
        <w:rPr>
          <w:sz w:val="16"/>
          <w:szCs w:val="16"/>
        </w:rPr>
      </w:pPr>
    </w:p>
    <w:p w14:paraId="3A3C13C0" w14:textId="77777777" w:rsidR="00A165A2" w:rsidRDefault="00A165A2">
      <w:pPr>
        <w:rPr>
          <w:sz w:val="16"/>
          <w:szCs w:val="16"/>
        </w:rPr>
      </w:pPr>
    </w:p>
    <w:p w14:paraId="2DCE8A0A" w14:textId="77777777" w:rsidR="00A165A2" w:rsidRDefault="004B3987">
      <w:pPr>
        <w:pStyle w:val="Nadpis1"/>
        <w:numPr>
          <w:ilvl w:val="0"/>
          <w:numId w:val="2"/>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A165A2" w14:paraId="446D383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7925A94" w14:textId="77777777" w:rsidR="00A165A2" w:rsidRDefault="004B3987">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74A9BB66" w14:textId="77777777" w:rsidR="00A165A2" w:rsidRDefault="004B3987">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E873DE1" w14:textId="77777777" w:rsidR="00A165A2" w:rsidRDefault="004B3987">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55DA41A" w14:textId="77777777" w:rsidR="00A165A2" w:rsidRDefault="004B3987">
            <w:pPr>
              <w:rPr>
                <w:b/>
                <w:bCs/>
                <w:szCs w:val="22"/>
                <w:lang w:eastAsia="cs-CZ"/>
              </w:rPr>
            </w:pPr>
            <w:r>
              <w:rPr>
                <w:b/>
                <w:bCs/>
                <w:szCs w:val="22"/>
                <w:lang w:eastAsia="cs-CZ"/>
              </w:rPr>
              <w:t>Garant</w:t>
            </w:r>
            <w:r>
              <w:rPr>
                <w:rStyle w:val="Odkaznavysvtlivky"/>
                <w:b/>
                <w:bCs/>
                <w:szCs w:val="22"/>
                <w:lang w:eastAsia="cs-CZ"/>
              </w:rPr>
              <w:endnoteReference w:id="10"/>
            </w:r>
          </w:p>
        </w:tc>
      </w:tr>
      <w:tr w:rsidR="00A165A2" w14:paraId="0C8D83F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D1337E1" w14:textId="77777777" w:rsidR="00A165A2" w:rsidRDefault="00A165A2">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555383A9" w14:textId="77777777" w:rsidR="00A165A2" w:rsidRDefault="00A165A2">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FEECAD3" w14:textId="77777777" w:rsidR="00A165A2" w:rsidRDefault="004B3987">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6E7F818" w14:textId="77777777" w:rsidR="00A165A2" w:rsidRDefault="004B3987">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0C255284" w14:textId="77777777" w:rsidR="00A165A2" w:rsidRDefault="004B3987">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0EDB425C" w14:textId="77777777" w:rsidR="00A165A2" w:rsidRDefault="00A165A2">
            <w:pPr>
              <w:rPr>
                <w:bCs/>
                <w:szCs w:val="22"/>
                <w:lang w:eastAsia="cs-CZ"/>
              </w:rPr>
            </w:pPr>
          </w:p>
        </w:tc>
      </w:tr>
      <w:tr w:rsidR="00A165A2" w14:paraId="56E370E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C0B50BA" w14:textId="77777777" w:rsidR="00A165A2" w:rsidRDefault="00A165A2">
            <w:pPr>
              <w:pStyle w:val="Odstavecseseznamem"/>
              <w:numPr>
                <w:ilvl w:val="0"/>
                <w:numId w:val="8"/>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924AE6F" w14:textId="77777777" w:rsidR="00A165A2" w:rsidRDefault="004B3987">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1F44C160" w14:textId="77777777" w:rsidR="00A165A2" w:rsidRDefault="004B3987">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BBB4CAE" w14:textId="77777777" w:rsidR="00A165A2" w:rsidRDefault="004B3987">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4B7969A8" w14:textId="77777777" w:rsidR="00A165A2" w:rsidRDefault="004B3987">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BD71F96" w14:textId="77777777" w:rsidR="00A165A2" w:rsidRDefault="00A165A2">
            <w:pPr>
              <w:rPr>
                <w:szCs w:val="22"/>
                <w:lang w:eastAsia="cs-CZ"/>
              </w:rPr>
            </w:pPr>
          </w:p>
        </w:tc>
      </w:tr>
      <w:tr w:rsidR="00A165A2" w14:paraId="6FF2209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ECBE4" w14:textId="77777777" w:rsidR="00A165A2" w:rsidRDefault="00A165A2">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90EDB4" w14:textId="77777777" w:rsidR="00A165A2" w:rsidRDefault="004B3987">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1FBE03D" w14:textId="77777777" w:rsidR="00A165A2" w:rsidRDefault="004B398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6D679CC" w14:textId="77777777" w:rsidR="00A165A2" w:rsidRDefault="004B398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D0B67D7" w14:textId="77777777" w:rsidR="00A165A2" w:rsidRDefault="004B398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99B900D" w14:textId="77777777" w:rsidR="00A165A2" w:rsidRDefault="00A165A2">
            <w:pPr>
              <w:rPr>
                <w:szCs w:val="22"/>
                <w:lang w:eastAsia="cs-CZ"/>
              </w:rPr>
            </w:pPr>
          </w:p>
        </w:tc>
      </w:tr>
      <w:tr w:rsidR="00A165A2" w14:paraId="6CEB6F1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D9CB00" w14:textId="77777777" w:rsidR="00A165A2" w:rsidRDefault="00A165A2">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4DA008" w14:textId="77777777" w:rsidR="00A165A2" w:rsidRDefault="004B3987">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901355D" w14:textId="77777777" w:rsidR="00A165A2" w:rsidRDefault="004B398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E68FE30" w14:textId="77777777" w:rsidR="00A165A2" w:rsidRDefault="004B398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EC4345" w14:textId="77777777" w:rsidR="00A165A2" w:rsidRDefault="004B398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EDD5AA6" w14:textId="77777777" w:rsidR="00A165A2" w:rsidRDefault="00A165A2">
            <w:pPr>
              <w:rPr>
                <w:szCs w:val="22"/>
                <w:lang w:eastAsia="cs-CZ"/>
              </w:rPr>
            </w:pPr>
          </w:p>
        </w:tc>
      </w:tr>
      <w:tr w:rsidR="00A165A2" w14:paraId="26E912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10B412" w14:textId="77777777" w:rsidR="00A165A2" w:rsidRDefault="00A165A2">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D8E8BC" w14:textId="77777777" w:rsidR="00A165A2" w:rsidRDefault="004B3987">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265581A" w14:textId="77777777" w:rsidR="00A165A2" w:rsidRDefault="004B398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4F1B530" w14:textId="77777777" w:rsidR="00A165A2" w:rsidRDefault="004B398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C0C0D1" w14:textId="77777777" w:rsidR="00A165A2" w:rsidRDefault="004B398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8B1C541" w14:textId="77777777" w:rsidR="00A165A2" w:rsidRDefault="004B3987">
            <w:pPr>
              <w:rPr>
                <w:szCs w:val="22"/>
                <w:lang w:eastAsia="cs-CZ"/>
              </w:rPr>
            </w:pPr>
            <w:r>
              <w:rPr>
                <w:szCs w:val="22"/>
                <w:lang w:eastAsia="cs-CZ"/>
              </w:rPr>
              <w:t>Věcný garant</w:t>
            </w:r>
          </w:p>
        </w:tc>
      </w:tr>
      <w:tr w:rsidR="00A165A2" w14:paraId="4D7C069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71C1F6" w14:textId="77777777" w:rsidR="00A165A2" w:rsidRDefault="00A165A2">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2AEE34" w14:textId="77777777" w:rsidR="00A165A2" w:rsidRDefault="004B3987">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B013A0D" w14:textId="77777777" w:rsidR="00A165A2" w:rsidRDefault="004B398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91CD38C" w14:textId="77777777" w:rsidR="00A165A2" w:rsidRDefault="004B398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1EC7EFF" w14:textId="77777777" w:rsidR="00A165A2" w:rsidRDefault="004B398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8D0CE03" w14:textId="77777777" w:rsidR="00A165A2" w:rsidRDefault="004B3987">
            <w:pPr>
              <w:rPr>
                <w:szCs w:val="22"/>
                <w:lang w:eastAsia="cs-CZ"/>
              </w:rPr>
            </w:pPr>
            <w:r>
              <w:rPr>
                <w:szCs w:val="22"/>
                <w:lang w:eastAsia="cs-CZ"/>
              </w:rPr>
              <w:t>OKB, OPPT</w:t>
            </w:r>
            <w:r>
              <w:rPr>
                <w:rStyle w:val="Odkaznavysvtlivky"/>
                <w:szCs w:val="22"/>
                <w:lang w:eastAsia="cs-CZ"/>
              </w:rPr>
              <w:endnoteReference w:id="12"/>
            </w:r>
          </w:p>
        </w:tc>
      </w:tr>
      <w:tr w:rsidR="00A165A2" w14:paraId="43C127F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164705" w14:textId="77777777" w:rsidR="00A165A2" w:rsidRDefault="00A165A2">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AF5512" w14:textId="77777777" w:rsidR="00A165A2" w:rsidRDefault="004B3987">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85F6D9A" w14:textId="77777777" w:rsidR="00A165A2" w:rsidRDefault="004B398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FFC9386" w14:textId="77777777" w:rsidR="00A165A2" w:rsidRDefault="004B3987">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B448B6" w14:textId="77777777" w:rsidR="00A165A2" w:rsidRDefault="004B3987">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A56171B" w14:textId="77777777" w:rsidR="00A165A2" w:rsidRDefault="00A165A2">
            <w:pPr>
              <w:rPr>
                <w:rStyle w:val="Odkaznakoment10"/>
                <w:rFonts w:eastAsia="Calibri"/>
              </w:rPr>
            </w:pPr>
          </w:p>
        </w:tc>
      </w:tr>
      <w:tr w:rsidR="00A165A2" w14:paraId="6F2B336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83C86" w14:textId="77777777" w:rsidR="00A165A2" w:rsidRDefault="00A165A2">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A6C72E" w14:textId="77777777" w:rsidR="00A165A2" w:rsidRDefault="004B3987">
            <w:pPr>
              <w:rPr>
                <w:szCs w:val="22"/>
                <w:lang w:eastAsia="cs-CZ"/>
              </w:rPr>
            </w:pPr>
            <w:r>
              <w:rPr>
                <w:szCs w:val="22"/>
                <w:lang w:eastAsia="cs-CZ"/>
              </w:rPr>
              <w:t xml:space="preserve">Webové služby – technická dokumentace dotčených webových služeb (WSDL, povolené </w:t>
            </w:r>
            <w:r>
              <w:rPr>
                <w:szCs w:val="22"/>
                <w:lang w:eastAsia="cs-CZ"/>
              </w:rPr>
              <w:lastRenderedPageBreak/>
              <w:t>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7341C21" w14:textId="77777777" w:rsidR="00A165A2" w:rsidRDefault="004B3987">
            <w:pPr>
              <w:rPr>
                <w:szCs w:val="22"/>
                <w:lang w:eastAsia="cs-CZ"/>
              </w:rPr>
            </w:pPr>
            <w:r>
              <w:rPr>
                <w:szCs w:val="22"/>
                <w:lang w:eastAsia="cs-CZ"/>
              </w:rPr>
              <w:lastRenderedPageBreak/>
              <w:t>NE</w:t>
            </w:r>
          </w:p>
        </w:tc>
        <w:tc>
          <w:tcPr>
            <w:tcW w:w="850" w:type="dxa"/>
            <w:tcBorders>
              <w:top w:val="dotted" w:sz="4" w:space="0" w:color="auto"/>
              <w:left w:val="dotted" w:sz="4" w:space="0" w:color="auto"/>
              <w:bottom w:val="dotted" w:sz="4" w:space="0" w:color="auto"/>
              <w:right w:val="dotted" w:sz="4" w:space="0" w:color="auto"/>
            </w:tcBorders>
            <w:vAlign w:val="center"/>
          </w:tcPr>
          <w:p w14:paraId="252817E6" w14:textId="77777777" w:rsidR="00A165A2" w:rsidRDefault="004B3987">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E299A6A" w14:textId="77777777" w:rsidR="00A165A2" w:rsidRDefault="004B3987">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D158F66" w14:textId="77777777" w:rsidR="00A165A2" w:rsidRDefault="00A165A2">
            <w:pPr>
              <w:rPr>
                <w:rStyle w:val="Odkaznakoment10"/>
                <w:rFonts w:eastAsia="Calibri"/>
              </w:rPr>
            </w:pPr>
          </w:p>
        </w:tc>
      </w:tr>
      <w:tr w:rsidR="00A165A2" w14:paraId="1B9C34D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6050FB" w14:textId="77777777" w:rsidR="00A165A2" w:rsidRDefault="00A165A2">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0FA78A" w14:textId="77777777" w:rsidR="00A165A2" w:rsidRDefault="004B3987">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49B4AB9" w14:textId="77777777" w:rsidR="00A165A2" w:rsidRDefault="004B3987">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48E8323" w14:textId="77777777" w:rsidR="00A165A2" w:rsidRDefault="004B3987">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A4986CA" w14:textId="77777777" w:rsidR="00A165A2" w:rsidRDefault="004B3987">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C4F29D" w14:textId="77777777" w:rsidR="00A165A2" w:rsidRDefault="00A165A2">
            <w:pPr>
              <w:rPr>
                <w:rStyle w:val="Odkaznakoment10"/>
                <w:rFonts w:eastAsia="Calibri"/>
              </w:rPr>
            </w:pPr>
          </w:p>
        </w:tc>
      </w:tr>
    </w:tbl>
    <w:p w14:paraId="52A42B11" w14:textId="77777777" w:rsidR="00A165A2" w:rsidRDefault="00A165A2"/>
    <w:p w14:paraId="7F151AE4" w14:textId="77777777" w:rsidR="00A165A2" w:rsidRDefault="004B3987">
      <w:pPr>
        <w:rPr>
          <w:b/>
        </w:rPr>
      </w:pPr>
      <w:r>
        <w:rPr>
          <w:b/>
        </w:rPr>
        <w:t>ROZSAH TECHNICKÉ DOKUMENTACE</w:t>
      </w:r>
    </w:p>
    <w:p w14:paraId="67B5965C" w14:textId="77777777" w:rsidR="00A165A2" w:rsidRDefault="004B3987">
      <w:pPr>
        <w:pStyle w:val="Odstavecseseznamem"/>
        <w:numPr>
          <w:ilvl w:val="0"/>
          <w:numId w:val="3"/>
        </w:numPr>
        <w:spacing w:after="120"/>
        <w:ind w:left="1060" w:hanging="703"/>
        <w:contextualSpacing w:val="0"/>
        <w:rPr>
          <w:b/>
        </w:rPr>
      </w:pPr>
      <w:r>
        <w:rPr>
          <w:b/>
        </w:rPr>
        <w:t xml:space="preserve">Sparx EA modelu (zejména ArchiMate modelu) </w:t>
      </w:r>
    </w:p>
    <w:p w14:paraId="3C56393D" w14:textId="77777777" w:rsidR="00A165A2" w:rsidRDefault="004B3987">
      <w:pPr>
        <w:pStyle w:val="Odstavecseseznamem"/>
        <w:ind w:left="1065"/>
      </w:pPr>
      <w:r>
        <w:t>V případě, že v rámci implementace dojde k jeho změnám oproti návrhu architektury připravenému jako součást analýzy, provede se aktualizace modelu. Sparx EA model by měl zahrnovat:</w:t>
      </w:r>
    </w:p>
    <w:p w14:paraId="52DEAFA0" w14:textId="77777777" w:rsidR="00A165A2" w:rsidRDefault="004B3987">
      <w:pPr>
        <w:pStyle w:val="Odstavecseseznamem"/>
        <w:numPr>
          <w:ilvl w:val="1"/>
          <w:numId w:val="3"/>
        </w:numPr>
        <w:ind w:left="1418" w:hanging="338"/>
      </w:pPr>
      <w:r>
        <w:t>aplikační komponenty tvořící řešení, případně dílčí komponenty v podobě ArchiMate Application Component,</w:t>
      </w:r>
    </w:p>
    <w:p w14:paraId="44047E7E" w14:textId="77777777" w:rsidR="00A165A2" w:rsidRDefault="004B3987">
      <w:pPr>
        <w:pStyle w:val="Odstavecseseznamem"/>
        <w:numPr>
          <w:ilvl w:val="1"/>
          <w:numId w:val="3"/>
        </w:numPr>
        <w:ind w:left="1418" w:hanging="338"/>
      </w:pPr>
      <w:r>
        <w:t>vymezení relevantních dílčích funkcionalit jako ArchiMate koncepty, Application Function přidělené k příslušné aplikační komponentě (Application Component),</w:t>
      </w:r>
    </w:p>
    <w:p w14:paraId="7B757ACA" w14:textId="77777777" w:rsidR="00A165A2" w:rsidRDefault="004B3987">
      <w:pPr>
        <w:pStyle w:val="Odstavecseseznamem"/>
        <w:numPr>
          <w:ilvl w:val="1"/>
          <w:numId w:val="3"/>
        </w:numPr>
        <w:ind w:left="1418" w:hanging="338"/>
      </w:pPr>
      <w:r>
        <w:t>prvky webových služeb reprezentované ArchiMate Application Service,</w:t>
      </w:r>
    </w:p>
    <w:p w14:paraId="64F4A179" w14:textId="77777777" w:rsidR="00A165A2" w:rsidRDefault="004B3987">
      <w:pPr>
        <w:pStyle w:val="Odstavecseseznamem"/>
        <w:numPr>
          <w:ilvl w:val="1"/>
          <w:numId w:val="3"/>
        </w:numPr>
        <w:ind w:left="1418" w:hanging="338"/>
      </w:pPr>
      <w:r>
        <w:t>hlavní datové objekty a číselníky reprezentovány ArchiMate Data Object,</w:t>
      </w:r>
    </w:p>
    <w:p w14:paraId="17E3962C" w14:textId="77777777" w:rsidR="00A165A2" w:rsidRDefault="004B3987">
      <w:pPr>
        <w:pStyle w:val="Odstavecseseznamem"/>
        <w:numPr>
          <w:ilvl w:val="1"/>
          <w:numId w:val="3"/>
        </w:numPr>
        <w:ind w:left="1418" w:hanging="338"/>
      </w:pPr>
      <w:r>
        <w:t>activity model/diagramy anebo sekvenční model/diagramy logiky zpracování definovaných typů dokumentů,</w:t>
      </w:r>
    </w:p>
    <w:p w14:paraId="1104C917" w14:textId="77777777" w:rsidR="00A165A2" w:rsidRDefault="004B3987">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7FA3262F" w14:textId="77777777" w:rsidR="00A165A2" w:rsidRDefault="004B3987">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30FCC712" w14:textId="77777777" w:rsidR="00A165A2" w:rsidRDefault="00A165A2"/>
    <w:p w14:paraId="6C6DC9E3" w14:textId="77777777" w:rsidR="00A165A2" w:rsidRDefault="004B3987">
      <w:pPr>
        <w:pStyle w:val="Odstavecseseznamem"/>
        <w:numPr>
          <w:ilvl w:val="0"/>
          <w:numId w:val="3"/>
        </w:numPr>
        <w:spacing w:after="120"/>
        <w:ind w:left="1060" w:hanging="703"/>
        <w:contextualSpacing w:val="0"/>
        <w:rPr>
          <w:b/>
        </w:rPr>
      </w:pPr>
      <w:r>
        <w:rPr>
          <w:b/>
        </w:rPr>
        <w:t>Bezpečnostní dokumentace</w:t>
      </w:r>
    </w:p>
    <w:p w14:paraId="4AE70D30" w14:textId="77777777" w:rsidR="00A165A2" w:rsidRDefault="004B3987">
      <w:pPr>
        <w:pStyle w:val="Odstavecseseznamem"/>
        <w:ind w:left="1065"/>
      </w:pPr>
      <w:r>
        <w:t>Jde o přehled bezpečnostních opatření, který jen odkazuje, kde v technické dokumentaci se nalézá jejich popis</w:t>
      </w:r>
    </w:p>
    <w:p w14:paraId="1CF1D0DE" w14:textId="77777777" w:rsidR="00A165A2" w:rsidRDefault="004B3987">
      <w:pPr>
        <w:pStyle w:val="Odstavecseseznamem"/>
        <w:ind w:left="1065"/>
      </w:pPr>
      <w:r>
        <w:t>Jedná se především o popis těchto bezpečnostních opatření (jsou-li relevantní):</w:t>
      </w:r>
    </w:p>
    <w:p w14:paraId="03E693BE" w14:textId="77777777" w:rsidR="00A165A2" w:rsidRDefault="004B3987">
      <w:pPr>
        <w:pStyle w:val="Odstavecseseznamem"/>
        <w:numPr>
          <w:ilvl w:val="1"/>
          <w:numId w:val="3"/>
        </w:numPr>
        <w:ind w:left="1418" w:hanging="338"/>
      </w:pPr>
      <w:r>
        <w:t>řízení přístupu, role, autentizace a autorizace, druhy a správa účtů,</w:t>
      </w:r>
    </w:p>
    <w:p w14:paraId="3FBE9140" w14:textId="77777777" w:rsidR="00A165A2" w:rsidRDefault="004B3987">
      <w:pPr>
        <w:pStyle w:val="Odstavecseseznamem"/>
        <w:numPr>
          <w:ilvl w:val="1"/>
          <w:numId w:val="3"/>
        </w:numPr>
        <w:ind w:left="1418" w:hanging="338"/>
      </w:pPr>
      <w:r>
        <w:t>omezení oprávnění (princip minimálních oprávnění),</w:t>
      </w:r>
    </w:p>
    <w:p w14:paraId="0CD72B0E" w14:textId="77777777" w:rsidR="00A165A2" w:rsidRDefault="004B3987">
      <w:pPr>
        <w:pStyle w:val="Odstavecseseznamem"/>
        <w:numPr>
          <w:ilvl w:val="1"/>
          <w:numId w:val="3"/>
        </w:numPr>
        <w:ind w:left="1418" w:hanging="338"/>
      </w:pPr>
      <w:r>
        <w:t>proces řízení účtů (přidělování/odebírání, vytváření/rušení),</w:t>
      </w:r>
    </w:p>
    <w:p w14:paraId="359B73A8" w14:textId="77777777" w:rsidR="00A165A2" w:rsidRDefault="004B3987">
      <w:pPr>
        <w:pStyle w:val="Odstavecseseznamem"/>
        <w:numPr>
          <w:ilvl w:val="1"/>
          <w:numId w:val="3"/>
        </w:numPr>
        <w:ind w:left="1418" w:hanging="338"/>
      </w:pPr>
      <w:r>
        <w:t>auditní mechanismy, napojení na SIEM (Syslog, SNP TRAP, Textový soubor, JDBC, Microsoft Event Log…),</w:t>
      </w:r>
    </w:p>
    <w:p w14:paraId="27B0B705" w14:textId="77777777" w:rsidR="00A165A2" w:rsidRDefault="004B3987">
      <w:pPr>
        <w:pStyle w:val="Odstavecseseznamem"/>
        <w:numPr>
          <w:ilvl w:val="1"/>
          <w:numId w:val="3"/>
        </w:numPr>
        <w:ind w:left="1418" w:hanging="338"/>
      </w:pPr>
      <w:r>
        <w:t>šifrování,</w:t>
      </w:r>
    </w:p>
    <w:p w14:paraId="4169FD21" w14:textId="77777777" w:rsidR="00A165A2" w:rsidRDefault="004B3987">
      <w:pPr>
        <w:pStyle w:val="Odstavecseseznamem"/>
        <w:numPr>
          <w:ilvl w:val="1"/>
          <w:numId w:val="3"/>
        </w:numPr>
        <w:ind w:left="1418" w:hanging="338"/>
      </w:pPr>
      <w:r>
        <w:t>zabezpečení webového rozhraní, je-li součástí systému,</w:t>
      </w:r>
    </w:p>
    <w:p w14:paraId="1A20AB50" w14:textId="77777777" w:rsidR="00A165A2" w:rsidRDefault="004B3987">
      <w:pPr>
        <w:pStyle w:val="Odstavecseseznamem"/>
        <w:numPr>
          <w:ilvl w:val="1"/>
          <w:numId w:val="3"/>
        </w:numPr>
        <w:ind w:left="1418" w:hanging="338"/>
      </w:pPr>
      <w:r>
        <w:t>certifikační autority a PKI,</w:t>
      </w:r>
    </w:p>
    <w:p w14:paraId="7258EB1C" w14:textId="77777777" w:rsidR="00A165A2" w:rsidRDefault="004B3987">
      <w:pPr>
        <w:pStyle w:val="Odstavecseseznamem"/>
        <w:numPr>
          <w:ilvl w:val="1"/>
          <w:numId w:val="3"/>
        </w:numPr>
        <w:ind w:left="1418" w:hanging="338"/>
      </w:pPr>
      <w:r>
        <w:t>zajištění integrity dat,</w:t>
      </w:r>
    </w:p>
    <w:p w14:paraId="58408336" w14:textId="77777777" w:rsidR="00A165A2" w:rsidRDefault="004B3987">
      <w:pPr>
        <w:pStyle w:val="Odstavecseseznamem"/>
        <w:numPr>
          <w:ilvl w:val="1"/>
          <w:numId w:val="3"/>
        </w:numPr>
        <w:ind w:left="1418" w:hanging="338"/>
      </w:pPr>
      <w:r>
        <w:t>zajištění dostupnosti dat (redundance, cluster, HA…),</w:t>
      </w:r>
    </w:p>
    <w:p w14:paraId="3DF69A24" w14:textId="77777777" w:rsidR="00A165A2" w:rsidRDefault="004B3987">
      <w:pPr>
        <w:pStyle w:val="Odstavecseseznamem"/>
        <w:numPr>
          <w:ilvl w:val="1"/>
          <w:numId w:val="3"/>
        </w:numPr>
        <w:ind w:left="1418" w:hanging="338"/>
      </w:pPr>
      <w:r>
        <w:t>zálohování, způsob, rozvrh,</w:t>
      </w:r>
    </w:p>
    <w:p w14:paraId="388423A8" w14:textId="77777777" w:rsidR="00A165A2" w:rsidRDefault="004B3987">
      <w:pPr>
        <w:pStyle w:val="Odstavecseseznamem"/>
        <w:numPr>
          <w:ilvl w:val="1"/>
          <w:numId w:val="3"/>
        </w:numPr>
        <w:ind w:left="1418" w:hanging="338"/>
      </w:pPr>
      <w:r>
        <w:t>obnovení ze zálohy (DRP) včetně předpokládané doby obnovy,</w:t>
      </w:r>
    </w:p>
    <w:p w14:paraId="4058AFEF" w14:textId="77777777" w:rsidR="00A165A2" w:rsidRDefault="004B3987">
      <w:pPr>
        <w:pStyle w:val="Odstavecseseznamem"/>
        <w:numPr>
          <w:ilvl w:val="1"/>
          <w:numId w:val="3"/>
        </w:numPr>
        <w:ind w:left="1418" w:hanging="338"/>
      </w:pPr>
      <w:r>
        <w:t>předpokládá se, že existuje síťové schéma, komunikační schéma a zdrojový kód.</w:t>
      </w:r>
    </w:p>
    <w:p w14:paraId="25623DBD" w14:textId="77777777" w:rsidR="00A165A2" w:rsidRDefault="004B3987">
      <w:pPr>
        <w:pStyle w:val="Nadpis3"/>
        <w:numPr>
          <w:ilvl w:val="2"/>
          <w:numId w:val="2"/>
        </w:numPr>
      </w:pPr>
      <w:r>
        <w:t xml:space="preserve"> Dohledové scénáře jsou požadovány, pokud Dodavatel potvrdí dopad na dohledové scénáře/nástroj. </w:t>
      </w:r>
    </w:p>
    <w:p w14:paraId="44E7544D" w14:textId="14304613" w:rsidR="00A165A2" w:rsidRDefault="004B398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999E33D" w14:textId="54CFAE4A" w:rsidR="00A165A2" w:rsidRDefault="004B3987">
      <w:pPr>
        <w:ind w:right="-427"/>
        <w:rPr>
          <w:sz w:val="18"/>
          <w:szCs w:val="18"/>
        </w:rPr>
      </w:pPr>
      <w:r>
        <w:rPr>
          <w:sz w:val="18"/>
          <w:szCs w:val="18"/>
        </w:rPr>
        <w:t xml:space="preserve">Provozně-technická dokumentace bude zpracována dle vzorového dokumentu, který je připojen – otevřete dvojklikem: </w:t>
      </w:r>
      <w:proofErr w:type="spellStart"/>
      <w:r w:rsidR="009B1840">
        <w:rPr>
          <w:sz w:val="18"/>
          <w:szCs w:val="18"/>
        </w:rPr>
        <w:t>xxx</w:t>
      </w:r>
      <w:proofErr w:type="spellEnd"/>
      <w:r>
        <w:rPr>
          <w:sz w:val="18"/>
          <w:szCs w:val="18"/>
        </w:rPr>
        <w:t xml:space="preserve">      </w:t>
      </w:r>
    </w:p>
    <w:p w14:paraId="1FAF9020" w14:textId="77777777" w:rsidR="00A165A2" w:rsidRDefault="004B3987">
      <w:pPr>
        <w:ind w:right="-427"/>
        <w:rPr>
          <w:szCs w:val="22"/>
        </w:rPr>
      </w:pPr>
      <w:r>
        <w:rPr>
          <w:szCs w:val="22"/>
        </w:rPr>
        <w:t xml:space="preserve">        </w:t>
      </w:r>
    </w:p>
    <w:p w14:paraId="2D38E3EF" w14:textId="77777777" w:rsidR="00A165A2" w:rsidRDefault="004B3987">
      <w:pPr>
        <w:pStyle w:val="Nadpis1"/>
        <w:numPr>
          <w:ilvl w:val="0"/>
          <w:numId w:val="2"/>
        </w:numPr>
        <w:ind w:left="284" w:hanging="284"/>
        <w:rPr>
          <w:szCs w:val="22"/>
        </w:rPr>
      </w:pPr>
      <w:r>
        <w:rPr>
          <w:szCs w:val="22"/>
        </w:rPr>
        <w:t>Akceptační kritéria</w:t>
      </w:r>
    </w:p>
    <w:p w14:paraId="7A8D0629" w14:textId="77777777" w:rsidR="00A165A2" w:rsidRDefault="004B3987">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F3257E5" w14:textId="77777777" w:rsidR="00A165A2" w:rsidRDefault="00A165A2">
      <w:pPr>
        <w:rPr>
          <w:szCs w:val="22"/>
        </w:rPr>
      </w:pPr>
    </w:p>
    <w:p w14:paraId="1962AF8E" w14:textId="77777777" w:rsidR="00A165A2" w:rsidRDefault="004B3987">
      <w:pPr>
        <w:pStyle w:val="Nadpis1"/>
        <w:numPr>
          <w:ilvl w:val="0"/>
          <w:numId w:val="2"/>
        </w:numPr>
        <w:ind w:left="284" w:hanging="284"/>
        <w:rPr>
          <w:szCs w:val="22"/>
        </w:rPr>
      </w:pPr>
      <w:r>
        <w:rPr>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165A2" w14:paraId="3AFB5D0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F5995F" w14:textId="77777777" w:rsidR="00A165A2" w:rsidRDefault="004B3987">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E09D9F4" w14:textId="77777777" w:rsidR="00A165A2" w:rsidRDefault="004B3987">
            <w:pPr>
              <w:rPr>
                <w:b/>
                <w:bCs/>
                <w:szCs w:val="22"/>
                <w:lang w:eastAsia="cs-CZ"/>
              </w:rPr>
            </w:pPr>
            <w:r>
              <w:rPr>
                <w:b/>
                <w:bCs/>
                <w:szCs w:val="22"/>
                <w:lang w:eastAsia="cs-CZ"/>
              </w:rPr>
              <w:t>Termín</w:t>
            </w:r>
          </w:p>
        </w:tc>
      </w:tr>
      <w:tr w:rsidR="00A165A2" w14:paraId="708200E4" w14:textId="77777777">
        <w:trPr>
          <w:trHeight w:val="284"/>
        </w:trPr>
        <w:tc>
          <w:tcPr>
            <w:tcW w:w="7655" w:type="dxa"/>
            <w:shd w:val="clear" w:color="auto" w:fill="auto"/>
            <w:noWrap/>
            <w:vAlign w:val="center"/>
          </w:tcPr>
          <w:p w14:paraId="582BB066" w14:textId="77777777" w:rsidR="00A165A2" w:rsidRDefault="004B3987">
            <w:pPr>
              <w:rPr>
                <w:szCs w:val="22"/>
                <w:lang w:eastAsia="cs-CZ"/>
              </w:rPr>
            </w:pPr>
            <w:r>
              <w:rPr>
                <w:szCs w:val="22"/>
                <w:lang w:eastAsia="cs-CZ"/>
              </w:rPr>
              <w:t xml:space="preserve">Zahájení prací </w:t>
            </w:r>
          </w:p>
        </w:tc>
        <w:tc>
          <w:tcPr>
            <w:tcW w:w="2116" w:type="dxa"/>
            <w:shd w:val="clear" w:color="auto" w:fill="auto"/>
            <w:vAlign w:val="center"/>
          </w:tcPr>
          <w:p w14:paraId="1F1B2C5F" w14:textId="77777777" w:rsidR="00A165A2" w:rsidRDefault="004B3987">
            <w:pPr>
              <w:ind w:left="360"/>
              <w:rPr>
                <w:szCs w:val="22"/>
                <w:lang w:eastAsia="cs-CZ"/>
              </w:rPr>
            </w:pPr>
            <w:r>
              <w:rPr>
                <w:szCs w:val="22"/>
                <w:lang w:eastAsia="cs-CZ"/>
              </w:rPr>
              <w:t>po objednání</w:t>
            </w:r>
          </w:p>
        </w:tc>
      </w:tr>
      <w:tr w:rsidR="00A165A2" w14:paraId="7EC9C7FB" w14:textId="77777777">
        <w:trPr>
          <w:trHeight w:val="284"/>
        </w:trPr>
        <w:tc>
          <w:tcPr>
            <w:tcW w:w="7655" w:type="dxa"/>
            <w:shd w:val="clear" w:color="auto" w:fill="auto"/>
            <w:noWrap/>
            <w:vAlign w:val="center"/>
          </w:tcPr>
          <w:p w14:paraId="46691680" w14:textId="77777777" w:rsidR="00A165A2" w:rsidRDefault="004B3987">
            <w:pPr>
              <w:rPr>
                <w:szCs w:val="22"/>
                <w:lang w:eastAsia="cs-CZ"/>
              </w:rPr>
            </w:pPr>
            <w:r>
              <w:rPr>
                <w:szCs w:val="22"/>
                <w:lang w:eastAsia="cs-CZ"/>
              </w:rPr>
              <w:t>Nasazení na test (=první export k ověření)</w:t>
            </w:r>
          </w:p>
        </w:tc>
        <w:tc>
          <w:tcPr>
            <w:tcW w:w="2116" w:type="dxa"/>
            <w:shd w:val="clear" w:color="auto" w:fill="auto"/>
            <w:vAlign w:val="center"/>
          </w:tcPr>
          <w:p w14:paraId="48910717" w14:textId="77777777" w:rsidR="00A165A2" w:rsidRDefault="004B3987">
            <w:pPr>
              <w:rPr>
                <w:szCs w:val="22"/>
                <w:lang w:eastAsia="cs-CZ"/>
              </w:rPr>
            </w:pPr>
            <w:r>
              <w:rPr>
                <w:szCs w:val="22"/>
                <w:lang w:eastAsia="cs-CZ"/>
              </w:rPr>
              <w:t>1.8.2023</w:t>
            </w:r>
          </w:p>
        </w:tc>
      </w:tr>
      <w:tr w:rsidR="00A165A2" w14:paraId="18F2C64A" w14:textId="77777777">
        <w:trPr>
          <w:trHeight w:val="284"/>
        </w:trPr>
        <w:tc>
          <w:tcPr>
            <w:tcW w:w="7655" w:type="dxa"/>
            <w:shd w:val="clear" w:color="auto" w:fill="auto"/>
            <w:noWrap/>
            <w:vAlign w:val="center"/>
          </w:tcPr>
          <w:p w14:paraId="1E09E517" w14:textId="77777777" w:rsidR="00A165A2" w:rsidRDefault="004B3987">
            <w:pPr>
              <w:rPr>
                <w:szCs w:val="22"/>
                <w:lang w:eastAsia="cs-CZ"/>
              </w:rPr>
            </w:pPr>
            <w:r>
              <w:rPr>
                <w:szCs w:val="22"/>
                <w:lang w:eastAsia="cs-CZ"/>
              </w:rPr>
              <w:t>Nasazení na provoz (=finální export)</w:t>
            </w:r>
          </w:p>
        </w:tc>
        <w:tc>
          <w:tcPr>
            <w:tcW w:w="2116" w:type="dxa"/>
            <w:shd w:val="clear" w:color="auto" w:fill="auto"/>
            <w:vAlign w:val="center"/>
          </w:tcPr>
          <w:p w14:paraId="7CA67566" w14:textId="77777777" w:rsidR="00A165A2" w:rsidRDefault="004B3987">
            <w:pPr>
              <w:rPr>
                <w:szCs w:val="22"/>
                <w:lang w:eastAsia="cs-CZ"/>
              </w:rPr>
            </w:pPr>
            <w:r>
              <w:rPr>
                <w:szCs w:val="22"/>
                <w:lang w:eastAsia="cs-CZ"/>
              </w:rPr>
              <w:t>25.08.2023</w:t>
            </w:r>
          </w:p>
        </w:tc>
      </w:tr>
      <w:tr w:rsidR="00A165A2" w14:paraId="7B14F7EC" w14:textId="77777777">
        <w:trPr>
          <w:trHeight w:val="284"/>
        </w:trPr>
        <w:tc>
          <w:tcPr>
            <w:tcW w:w="7655" w:type="dxa"/>
            <w:shd w:val="clear" w:color="auto" w:fill="auto"/>
            <w:noWrap/>
            <w:vAlign w:val="center"/>
          </w:tcPr>
          <w:p w14:paraId="34ADBEA7" w14:textId="77777777" w:rsidR="00A165A2" w:rsidRDefault="004B3987">
            <w:pPr>
              <w:rPr>
                <w:szCs w:val="22"/>
                <w:lang w:eastAsia="cs-CZ"/>
              </w:rPr>
            </w:pPr>
            <w:r>
              <w:rPr>
                <w:szCs w:val="22"/>
                <w:lang w:eastAsia="cs-CZ"/>
              </w:rPr>
              <w:t>Akceptace</w:t>
            </w:r>
          </w:p>
        </w:tc>
        <w:tc>
          <w:tcPr>
            <w:tcW w:w="2116" w:type="dxa"/>
            <w:shd w:val="clear" w:color="auto" w:fill="auto"/>
            <w:vAlign w:val="center"/>
          </w:tcPr>
          <w:p w14:paraId="0877E83C" w14:textId="77777777" w:rsidR="00A165A2" w:rsidRDefault="004B3987">
            <w:pPr>
              <w:rPr>
                <w:szCs w:val="22"/>
                <w:lang w:eastAsia="cs-CZ"/>
              </w:rPr>
            </w:pPr>
            <w:r>
              <w:rPr>
                <w:szCs w:val="22"/>
                <w:lang w:eastAsia="cs-CZ"/>
              </w:rPr>
              <w:t>31.08.2023</w:t>
            </w:r>
          </w:p>
        </w:tc>
      </w:tr>
    </w:tbl>
    <w:p w14:paraId="6E78066D" w14:textId="77777777" w:rsidR="00A165A2" w:rsidRDefault="00A165A2">
      <w:pPr>
        <w:rPr>
          <w:szCs w:val="22"/>
        </w:rPr>
      </w:pPr>
    </w:p>
    <w:p w14:paraId="0D9B80CE" w14:textId="77777777" w:rsidR="00A165A2" w:rsidRDefault="004B3987">
      <w:pPr>
        <w:pStyle w:val="Nadpis1"/>
        <w:numPr>
          <w:ilvl w:val="0"/>
          <w:numId w:val="2"/>
        </w:numPr>
        <w:ind w:left="284" w:hanging="284"/>
        <w:rPr>
          <w:szCs w:val="22"/>
        </w:rPr>
      </w:pPr>
      <w:r>
        <w:rPr>
          <w:szCs w:val="22"/>
        </w:rPr>
        <w:t>Přílohy</w:t>
      </w:r>
    </w:p>
    <w:p w14:paraId="21A92665" w14:textId="77777777" w:rsidR="00A165A2" w:rsidRDefault="004B3987">
      <w:pPr>
        <w:ind w:left="426"/>
        <w:rPr>
          <w:szCs w:val="22"/>
        </w:rPr>
      </w:pPr>
      <w:r>
        <w:rPr>
          <w:szCs w:val="22"/>
        </w:rPr>
        <w:t>1.</w:t>
      </w:r>
    </w:p>
    <w:p w14:paraId="7132B613" w14:textId="77777777" w:rsidR="00A165A2" w:rsidRDefault="004B3987">
      <w:pPr>
        <w:ind w:left="426"/>
        <w:rPr>
          <w:szCs w:val="22"/>
        </w:rPr>
      </w:pPr>
      <w:r>
        <w:rPr>
          <w:szCs w:val="22"/>
        </w:rPr>
        <w:t>2.</w:t>
      </w:r>
    </w:p>
    <w:p w14:paraId="417FD862" w14:textId="77777777" w:rsidR="00A165A2" w:rsidRDefault="00A165A2">
      <w:pPr>
        <w:ind w:left="426"/>
        <w:rPr>
          <w:szCs w:val="22"/>
        </w:rPr>
      </w:pPr>
    </w:p>
    <w:p w14:paraId="609D0D94" w14:textId="77777777" w:rsidR="00A165A2" w:rsidRDefault="00A165A2">
      <w:pPr>
        <w:rPr>
          <w:szCs w:val="22"/>
        </w:rPr>
      </w:pPr>
    </w:p>
    <w:p w14:paraId="041EC8C7" w14:textId="77777777" w:rsidR="00A165A2" w:rsidRDefault="00A165A2">
      <w:pPr>
        <w:ind w:left="426"/>
        <w:rPr>
          <w:szCs w:val="22"/>
        </w:rPr>
      </w:pPr>
    </w:p>
    <w:p w14:paraId="2C091DE3" w14:textId="77777777" w:rsidR="00A165A2" w:rsidRDefault="00A165A2">
      <w:pPr>
        <w:rPr>
          <w:szCs w:val="22"/>
        </w:rPr>
      </w:pPr>
    </w:p>
    <w:p w14:paraId="74CC4BA7" w14:textId="77777777" w:rsidR="00A165A2" w:rsidRDefault="004B3987">
      <w:pPr>
        <w:pStyle w:val="Nadpis1"/>
        <w:numPr>
          <w:ilvl w:val="0"/>
          <w:numId w:val="2"/>
        </w:numPr>
        <w:ind w:left="284" w:hanging="284"/>
        <w:rPr>
          <w:szCs w:val="22"/>
        </w:rPr>
      </w:pPr>
      <w:r>
        <w:rPr>
          <w:szCs w:val="22"/>
        </w:rPr>
        <w:t>Podpisová doložka</w:t>
      </w:r>
    </w:p>
    <w:tbl>
      <w:tblPr>
        <w:tblW w:w="952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66"/>
        <w:gridCol w:w="3077"/>
        <w:gridCol w:w="3077"/>
      </w:tblGrid>
      <w:tr w:rsidR="00A165A2" w14:paraId="79F5021B" w14:textId="77777777">
        <w:trPr>
          <w:trHeight w:val="657"/>
        </w:trPr>
        <w:tc>
          <w:tcPr>
            <w:tcW w:w="3366" w:type="dxa"/>
            <w:tcBorders>
              <w:top w:val="single" w:sz="8" w:space="0" w:color="auto"/>
              <w:left w:val="single" w:sz="8" w:space="0" w:color="auto"/>
              <w:bottom w:val="single" w:sz="8" w:space="0" w:color="auto"/>
            </w:tcBorders>
            <w:shd w:val="clear" w:color="auto" w:fill="auto"/>
            <w:noWrap/>
            <w:vAlign w:val="center"/>
            <w:hideMark/>
          </w:tcPr>
          <w:p w14:paraId="5C7F3CBA" w14:textId="77777777" w:rsidR="00A165A2" w:rsidRDefault="004B3987">
            <w:pPr>
              <w:rPr>
                <w:b/>
                <w:bCs/>
                <w:szCs w:val="22"/>
                <w:lang w:eastAsia="cs-CZ"/>
              </w:rPr>
            </w:pPr>
            <w:r>
              <w:rPr>
                <w:b/>
                <w:bCs/>
                <w:szCs w:val="22"/>
                <w:lang w:eastAsia="cs-CZ"/>
              </w:rPr>
              <w:t>Za resort MZe:</w:t>
            </w:r>
          </w:p>
        </w:tc>
        <w:tc>
          <w:tcPr>
            <w:tcW w:w="3077" w:type="dxa"/>
            <w:tcBorders>
              <w:top w:val="single" w:sz="8" w:space="0" w:color="auto"/>
              <w:bottom w:val="single" w:sz="8" w:space="0" w:color="auto"/>
            </w:tcBorders>
            <w:vAlign w:val="center"/>
          </w:tcPr>
          <w:p w14:paraId="18499D8A" w14:textId="77777777" w:rsidR="00A165A2" w:rsidRDefault="004B3987">
            <w:pPr>
              <w:rPr>
                <w:b/>
                <w:bCs/>
                <w:szCs w:val="22"/>
                <w:lang w:eastAsia="cs-CZ"/>
              </w:rPr>
            </w:pPr>
            <w:r>
              <w:rPr>
                <w:b/>
                <w:bCs/>
                <w:szCs w:val="22"/>
                <w:lang w:eastAsia="cs-CZ"/>
              </w:rPr>
              <w:t>Jméno:</w:t>
            </w:r>
          </w:p>
        </w:tc>
        <w:tc>
          <w:tcPr>
            <w:tcW w:w="3077" w:type="dxa"/>
            <w:tcBorders>
              <w:top w:val="single" w:sz="8" w:space="0" w:color="auto"/>
              <w:bottom w:val="single" w:sz="8" w:space="0" w:color="auto"/>
              <w:right w:val="single" w:sz="8" w:space="0" w:color="auto"/>
            </w:tcBorders>
            <w:shd w:val="clear" w:color="auto" w:fill="auto"/>
            <w:vAlign w:val="center"/>
          </w:tcPr>
          <w:p w14:paraId="5B2D752C" w14:textId="77777777" w:rsidR="00A165A2" w:rsidRDefault="004B3987">
            <w:pPr>
              <w:rPr>
                <w:b/>
                <w:bCs/>
                <w:szCs w:val="22"/>
                <w:lang w:eastAsia="cs-CZ"/>
              </w:rPr>
            </w:pPr>
            <w:r>
              <w:rPr>
                <w:b/>
                <w:bCs/>
                <w:szCs w:val="22"/>
                <w:lang w:eastAsia="cs-CZ"/>
              </w:rPr>
              <w:t>Podpis:</w:t>
            </w:r>
          </w:p>
        </w:tc>
      </w:tr>
      <w:tr w:rsidR="00A165A2" w14:paraId="6F99E503" w14:textId="77777777">
        <w:trPr>
          <w:trHeight w:val="869"/>
        </w:trPr>
        <w:tc>
          <w:tcPr>
            <w:tcW w:w="3366" w:type="dxa"/>
            <w:shd w:val="clear" w:color="auto" w:fill="auto"/>
            <w:noWrap/>
            <w:vAlign w:val="center"/>
            <w:hideMark/>
          </w:tcPr>
          <w:p w14:paraId="475EBFF1" w14:textId="77777777" w:rsidR="00A165A2" w:rsidRDefault="004B3987">
            <w:pPr>
              <w:rPr>
                <w:szCs w:val="22"/>
                <w:lang w:eastAsia="cs-CZ"/>
              </w:rPr>
            </w:pPr>
            <w:r>
              <w:rPr>
                <w:szCs w:val="22"/>
                <w:lang w:eastAsia="cs-CZ"/>
              </w:rPr>
              <w:t>Žadatel/věcný garant</w:t>
            </w:r>
          </w:p>
        </w:tc>
        <w:tc>
          <w:tcPr>
            <w:tcW w:w="3077" w:type="dxa"/>
            <w:vAlign w:val="center"/>
          </w:tcPr>
          <w:p w14:paraId="18F65D64" w14:textId="77777777" w:rsidR="00A165A2" w:rsidRDefault="004B3987">
            <w:pPr>
              <w:rPr>
                <w:szCs w:val="22"/>
                <w:lang w:eastAsia="cs-CZ"/>
              </w:rPr>
            </w:pPr>
            <w:r>
              <w:rPr>
                <w:szCs w:val="22"/>
                <w:lang w:eastAsia="cs-CZ"/>
              </w:rPr>
              <w:t>David Kuna</w:t>
            </w:r>
          </w:p>
        </w:tc>
        <w:tc>
          <w:tcPr>
            <w:tcW w:w="3077" w:type="dxa"/>
            <w:shd w:val="clear" w:color="auto" w:fill="auto"/>
            <w:vAlign w:val="center"/>
          </w:tcPr>
          <w:p w14:paraId="3E697AD4" w14:textId="77777777" w:rsidR="00A165A2" w:rsidRDefault="00A165A2">
            <w:pPr>
              <w:rPr>
                <w:szCs w:val="22"/>
                <w:lang w:eastAsia="cs-CZ"/>
              </w:rPr>
            </w:pPr>
          </w:p>
        </w:tc>
      </w:tr>
      <w:tr w:rsidR="00A165A2" w14:paraId="26880210" w14:textId="77777777">
        <w:trPr>
          <w:trHeight w:val="869"/>
        </w:trPr>
        <w:tc>
          <w:tcPr>
            <w:tcW w:w="3366" w:type="dxa"/>
            <w:shd w:val="clear" w:color="auto" w:fill="auto"/>
            <w:noWrap/>
            <w:vAlign w:val="center"/>
          </w:tcPr>
          <w:p w14:paraId="7DF3A7A9" w14:textId="77777777" w:rsidR="00A165A2" w:rsidRDefault="004B3987">
            <w:pPr>
              <w:rPr>
                <w:szCs w:val="22"/>
                <w:lang w:eastAsia="cs-CZ"/>
              </w:rPr>
            </w:pPr>
            <w:r>
              <w:rPr>
                <w:szCs w:val="22"/>
                <w:lang w:eastAsia="cs-CZ"/>
              </w:rPr>
              <w:t>Žadatel/věcný garant</w:t>
            </w:r>
          </w:p>
        </w:tc>
        <w:tc>
          <w:tcPr>
            <w:tcW w:w="3077" w:type="dxa"/>
            <w:vAlign w:val="center"/>
          </w:tcPr>
          <w:p w14:paraId="0773FD1A" w14:textId="77777777" w:rsidR="00A165A2" w:rsidRDefault="004B3987">
            <w:pPr>
              <w:rPr>
                <w:szCs w:val="22"/>
                <w:lang w:eastAsia="cs-CZ"/>
              </w:rPr>
            </w:pPr>
            <w:r>
              <w:rPr>
                <w:szCs w:val="22"/>
                <w:lang w:eastAsia="cs-CZ"/>
              </w:rPr>
              <w:t>Zdeněk Trnka</w:t>
            </w:r>
          </w:p>
        </w:tc>
        <w:tc>
          <w:tcPr>
            <w:tcW w:w="3077" w:type="dxa"/>
            <w:shd w:val="clear" w:color="auto" w:fill="auto"/>
            <w:vAlign w:val="center"/>
          </w:tcPr>
          <w:p w14:paraId="07C187EB" w14:textId="77777777" w:rsidR="00A165A2" w:rsidRDefault="00A165A2">
            <w:pPr>
              <w:rPr>
                <w:szCs w:val="22"/>
                <w:lang w:eastAsia="cs-CZ"/>
              </w:rPr>
            </w:pPr>
          </w:p>
        </w:tc>
      </w:tr>
      <w:tr w:rsidR="00A165A2" w14:paraId="01477502" w14:textId="77777777">
        <w:trPr>
          <w:trHeight w:val="869"/>
        </w:trPr>
        <w:tc>
          <w:tcPr>
            <w:tcW w:w="3366" w:type="dxa"/>
            <w:shd w:val="clear" w:color="auto" w:fill="auto"/>
            <w:noWrap/>
            <w:vAlign w:val="center"/>
          </w:tcPr>
          <w:p w14:paraId="4AC3E26C" w14:textId="77777777" w:rsidR="00A165A2" w:rsidRDefault="004B3987">
            <w:pPr>
              <w:rPr>
                <w:szCs w:val="22"/>
                <w:lang w:eastAsia="cs-CZ"/>
              </w:rPr>
            </w:pPr>
            <w:r>
              <w:rPr>
                <w:szCs w:val="22"/>
                <w:lang w:eastAsia="cs-CZ"/>
              </w:rPr>
              <w:t>Koordinátor změny:</w:t>
            </w:r>
          </w:p>
        </w:tc>
        <w:tc>
          <w:tcPr>
            <w:tcW w:w="3077" w:type="dxa"/>
            <w:vAlign w:val="center"/>
          </w:tcPr>
          <w:p w14:paraId="57D2356E" w14:textId="77777777" w:rsidR="00A165A2" w:rsidRDefault="004B3987">
            <w:pPr>
              <w:rPr>
                <w:szCs w:val="22"/>
                <w:lang w:eastAsia="cs-CZ"/>
              </w:rPr>
            </w:pPr>
            <w:r>
              <w:rPr>
                <w:szCs w:val="22"/>
                <w:lang w:eastAsia="cs-CZ"/>
              </w:rPr>
              <w:t>Jiří Bukovský</w:t>
            </w:r>
          </w:p>
        </w:tc>
        <w:tc>
          <w:tcPr>
            <w:tcW w:w="3077" w:type="dxa"/>
            <w:shd w:val="clear" w:color="auto" w:fill="auto"/>
            <w:vAlign w:val="center"/>
          </w:tcPr>
          <w:p w14:paraId="3658A1E4" w14:textId="77777777" w:rsidR="00A165A2" w:rsidRDefault="00A165A2">
            <w:pPr>
              <w:rPr>
                <w:szCs w:val="22"/>
                <w:lang w:eastAsia="cs-CZ"/>
              </w:rPr>
            </w:pPr>
          </w:p>
        </w:tc>
      </w:tr>
    </w:tbl>
    <w:p w14:paraId="2D6084A7" w14:textId="77777777" w:rsidR="00A165A2" w:rsidRDefault="00A165A2">
      <w:pPr>
        <w:rPr>
          <w:szCs w:val="22"/>
        </w:rPr>
      </w:pPr>
    </w:p>
    <w:p w14:paraId="6ACDB39D" w14:textId="77777777" w:rsidR="00A165A2" w:rsidRDefault="004B3987">
      <w:pPr>
        <w:rPr>
          <w:szCs w:val="22"/>
        </w:rPr>
      </w:pPr>
      <w:r>
        <w:rPr>
          <w:szCs w:val="22"/>
        </w:rPr>
        <w:br w:type="page"/>
      </w:r>
    </w:p>
    <w:p w14:paraId="7070752C" w14:textId="77777777" w:rsidR="00A165A2" w:rsidRDefault="00A165A2">
      <w:pPr>
        <w:rPr>
          <w:b/>
          <w:caps/>
          <w:szCs w:val="22"/>
        </w:rPr>
        <w:sectPr w:rsidR="00A165A2">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992" w:header="567" w:footer="567" w:gutter="0"/>
          <w:cols w:space="708"/>
          <w:titlePg/>
          <w:docGrid w:linePitch="360"/>
        </w:sectPr>
      </w:pPr>
    </w:p>
    <w:p w14:paraId="254C0735" w14:textId="77777777" w:rsidR="00A165A2" w:rsidRDefault="004B3987">
      <w:pPr>
        <w:rPr>
          <w:b/>
          <w:caps/>
          <w:szCs w:val="22"/>
        </w:rPr>
      </w:pPr>
      <w:r>
        <w:rPr>
          <w:b/>
          <w:caps/>
          <w:szCs w:val="22"/>
        </w:rPr>
        <w:lastRenderedPageBreak/>
        <w:t>B – nabídkA řešení k požadavku Z36810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165A2" w14:paraId="5DA272EA" w14:textId="77777777">
        <w:tc>
          <w:tcPr>
            <w:tcW w:w="1701" w:type="dxa"/>
            <w:tcBorders>
              <w:top w:val="single" w:sz="8" w:space="0" w:color="auto"/>
              <w:left w:val="single" w:sz="8" w:space="0" w:color="auto"/>
              <w:bottom w:val="single" w:sz="8" w:space="0" w:color="auto"/>
            </w:tcBorders>
            <w:vAlign w:val="center"/>
          </w:tcPr>
          <w:p w14:paraId="70BD3738" w14:textId="77777777" w:rsidR="00A165A2" w:rsidRDefault="004B398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25FC5DAD" w14:textId="77777777" w:rsidR="00A165A2" w:rsidRDefault="004B3987">
            <w:pPr>
              <w:pStyle w:val="Tabulka"/>
              <w:rPr>
                <w:szCs w:val="22"/>
              </w:rPr>
            </w:pPr>
            <w:r>
              <w:rPr>
                <w:szCs w:val="22"/>
              </w:rPr>
              <w:t>744</w:t>
            </w:r>
          </w:p>
        </w:tc>
      </w:tr>
    </w:tbl>
    <w:p w14:paraId="3C1F5645" w14:textId="77777777" w:rsidR="00A165A2" w:rsidRDefault="00A165A2">
      <w:pPr>
        <w:rPr>
          <w:caps/>
          <w:szCs w:val="22"/>
        </w:rPr>
      </w:pPr>
    </w:p>
    <w:p w14:paraId="193D780D" w14:textId="77777777" w:rsidR="00A165A2" w:rsidRDefault="004B3987">
      <w:pPr>
        <w:pStyle w:val="Nadpis1"/>
        <w:numPr>
          <w:ilvl w:val="0"/>
          <w:numId w:val="17"/>
        </w:numPr>
        <w:ind w:left="284" w:hanging="284"/>
        <w:rPr>
          <w:szCs w:val="22"/>
        </w:rPr>
      </w:pPr>
      <w:r>
        <w:rPr>
          <w:szCs w:val="22"/>
        </w:rPr>
        <w:t xml:space="preserve">Návrh konceptu technického řešení  </w:t>
      </w:r>
    </w:p>
    <w:p w14:paraId="66333C2C" w14:textId="77777777" w:rsidR="00A165A2" w:rsidRDefault="004B3987">
      <w:r>
        <w:t>Viz část A tohoto PZ, body 2 a 3.</w:t>
      </w:r>
    </w:p>
    <w:p w14:paraId="56985FB1" w14:textId="77777777" w:rsidR="00A165A2" w:rsidRDefault="004B3987">
      <w:r>
        <w:t>Kapitola 5 v části A byla upravena. Byly odstraněny výstupy, které u PZ nedávají smysl a nebyly dodány ani v PZ 620.</w:t>
      </w:r>
    </w:p>
    <w:p w14:paraId="2E9BDEDF" w14:textId="77777777" w:rsidR="00A165A2" w:rsidRDefault="00A165A2"/>
    <w:p w14:paraId="2CC1D51F" w14:textId="77777777" w:rsidR="00A165A2" w:rsidRDefault="004B3987">
      <w:pPr>
        <w:pStyle w:val="Nadpis1"/>
        <w:numPr>
          <w:ilvl w:val="0"/>
          <w:numId w:val="17"/>
        </w:numPr>
        <w:ind w:left="284" w:hanging="284"/>
        <w:rPr>
          <w:szCs w:val="22"/>
        </w:rPr>
      </w:pPr>
      <w:r>
        <w:rPr>
          <w:szCs w:val="22"/>
        </w:rPr>
        <w:t>Uživatelské a licenční zajištění pro Objednatele</w:t>
      </w:r>
    </w:p>
    <w:p w14:paraId="2319E460" w14:textId="77777777" w:rsidR="00A165A2" w:rsidRDefault="004B3987">
      <w:r>
        <w:t>V souladu s podmínkami smlouvy č. 391-2019-11150</w:t>
      </w:r>
    </w:p>
    <w:p w14:paraId="335AEFBF" w14:textId="77777777" w:rsidR="00A165A2" w:rsidRDefault="009B1840">
      <w:pPr>
        <w:pStyle w:val="Nadpis1"/>
        <w:numPr>
          <w:ilvl w:val="0"/>
          <w:numId w:val="17"/>
        </w:numPr>
        <w:ind w:left="284" w:hanging="284"/>
        <w:rPr>
          <w:szCs w:val="22"/>
        </w:rPr>
      </w:pPr>
      <w:r>
        <w:rPr>
          <w:rFonts w:cs="Times New Roman"/>
          <w:noProof/>
          <w:szCs w:val="21"/>
        </w:rPr>
        <w:object w:dxaOrig="1440" w:dyaOrig="1440" w14:anchorId="4958D5F8">
          <v:shape id="_x0000_s1027" type="#_x0000_t75" style="position:absolute;left:0;text-align:left;margin-left:443.75pt;margin-top:5.9pt;width:48.25pt;height:35.3pt;z-index:7168;visibility:visible" o:bordertopcolor="black" o:borderleftcolor="black" o:borderbottomcolor="black" o:borderrightcolor="black">
            <v:imagedata r:id="rId16" o:title=""/>
            <w10:wrap type="square"/>
          </v:shape>
          <o:OLEObject Type="Embed" ProgID="Word.Document.12" ShapeID="_x0000_s1027" DrawAspect="Icon" ObjectID="_1752662385" r:id="rId17"/>
        </w:object>
      </w:r>
      <w:r w:rsidR="004B3987">
        <w:rPr>
          <w:szCs w:val="22"/>
        </w:rPr>
        <w:t>Dopady do systémů MZe</w:t>
      </w:r>
    </w:p>
    <w:p w14:paraId="42AC470E" w14:textId="77777777" w:rsidR="00A165A2" w:rsidRDefault="004B3987">
      <w:pPr>
        <w:pStyle w:val="Nadpis1"/>
        <w:numPr>
          <w:ilvl w:val="1"/>
          <w:numId w:val="17"/>
        </w:numPr>
        <w:ind w:left="1440" w:hanging="292"/>
        <w:rPr>
          <w:szCs w:val="22"/>
        </w:rPr>
      </w:pPr>
      <w:r>
        <w:rPr>
          <w:szCs w:val="22"/>
        </w:rPr>
        <w:t>Na provoz a infrastrukturu</w:t>
      </w:r>
    </w:p>
    <w:p w14:paraId="662EC7AA" w14:textId="77777777" w:rsidR="00A165A2" w:rsidRDefault="004B3987">
      <w:pPr>
        <w:rPr>
          <w:sz w:val="18"/>
          <w:szCs w:val="18"/>
        </w:rPr>
      </w:pPr>
      <w:r>
        <w:rPr>
          <w:sz w:val="18"/>
          <w:szCs w:val="18"/>
        </w:rPr>
        <w:t xml:space="preserve">(Pozn.: V případě, že má změna dopady na síťovou infrastrukturu, doplňte tabulku v připojeném souboru - otevřete dvojklikem.)     </w:t>
      </w:r>
    </w:p>
    <w:p w14:paraId="2BAEADF5" w14:textId="77777777" w:rsidR="00A165A2" w:rsidRDefault="004B3987">
      <w:pPr>
        <w:pStyle w:val="Nadpis1"/>
        <w:numPr>
          <w:ilvl w:val="1"/>
          <w:numId w:val="17"/>
        </w:numPr>
        <w:ind w:left="1440" w:hanging="292"/>
        <w:rPr>
          <w:szCs w:val="22"/>
        </w:rPr>
      </w:pPr>
      <w:r>
        <w:rPr>
          <w:szCs w:val="22"/>
        </w:rPr>
        <w:t>Na bezpečnost</w:t>
      </w:r>
    </w:p>
    <w:p w14:paraId="67546ABD" w14:textId="77777777" w:rsidR="00A165A2" w:rsidRDefault="004B398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165A2" w14:paraId="295EB87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C8FD397" w14:textId="77777777" w:rsidR="00A165A2" w:rsidRDefault="004B3987">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B51628" w14:textId="77777777" w:rsidR="00A165A2" w:rsidRDefault="004B398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1FCF40" w14:textId="77777777" w:rsidR="00A165A2" w:rsidRDefault="004B3987">
            <w:pPr>
              <w:rPr>
                <w:b/>
                <w:bCs/>
                <w:color w:val="000000"/>
                <w:szCs w:val="22"/>
                <w:lang w:eastAsia="cs-CZ"/>
              </w:rPr>
            </w:pPr>
            <w:r>
              <w:rPr>
                <w:b/>
                <w:bCs/>
                <w:color w:val="000000"/>
                <w:szCs w:val="22"/>
                <w:lang w:eastAsia="cs-CZ"/>
              </w:rPr>
              <w:t>Předpokládaný dopad a navrhované opatření/změny</w:t>
            </w:r>
          </w:p>
        </w:tc>
      </w:tr>
      <w:tr w:rsidR="00A165A2" w14:paraId="3BE25AD8" w14:textId="77777777">
        <w:trPr>
          <w:trHeight w:val="300"/>
        </w:trPr>
        <w:tc>
          <w:tcPr>
            <w:tcW w:w="426" w:type="dxa"/>
            <w:tcBorders>
              <w:top w:val="single" w:sz="8" w:space="0" w:color="auto"/>
              <w:bottom w:val="single" w:sz="4" w:space="0" w:color="auto"/>
            </w:tcBorders>
            <w:vAlign w:val="center"/>
          </w:tcPr>
          <w:p w14:paraId="31D7B4DA"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B41E032" w14:textId="77777777" w:rsidR="00A165A2" w:rsidRDefault="004B398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9429F33" w14:textId="77777777" w:rsidR="00A165A2" w:rsidRDefault="004B3987">
            <w:pPr>
              <w:rPr>
                <w:color w:val="000000"/>
                <w:szCs w:val="22"/>
                <w:lang w:eastAsia="cs-CZ"/>
              </w:rPr>
            </w:pPr>
            <w:r>
              <w:rPr>
                <w:color w:val="000000"/>
                <w:szCs w:val="22"/>
                <w:lang w:eastAsia="cs-CZ"/>
              </w:rPr>
              <w:t>Bez dopadu</w:t>
            </w:r>
          </w:p>
        </w:tc>
      </w:tr>
      <w:tr w:rsidR="00A165A2" w14:paraId="04B967D9" w14:textId="77777777">
        <w:trPr>
          <w:trHeight w:val="300"/>
        </w:trPr>
        <w:tc>
          <w:tcPr>
            <w:tcW w:w="426" w:type="dxa"/>
            <w:tcBorders>
              <w:bottom w:val="single" w:sz="4" w:space="0" w:color="auto"/>
            </w:tcBorders>
            <w:vAlign w:val="center"/>
          </w:tcPr>
          <w:p w14:paraId="75C3D8D9"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562E880" w14:textId="77777777" w:rsidR="00A165A2" w:rsidRDefault="004B3987">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E7E7773" w14:textId="77777777" w:rsidR="00A165A2" w:rsidRDefault="004B3987">
            <w:pPr>
              <w:rPr>
                <w:b/>
                <w:bCs/>
                <w:color w:val="000000"/>
                <w:szCs w:val="22"/>
                <w:lang w:eastAsia="cs-CZ"/>
              </w:rPr>
            </w:pPr>
            <w:r>
              <w:rPr>
                <w:color w:val="000000"/>
                <w:szCs w:val="22"/>
                <w:lang w:eastAsia="cs-CZ"/>
              </w:rPr>
              <w:t>Bez dopadu</w:t>
            </w:r>
          </w:p>
        </w:tc>
      </w:tr>
      <w:tr w:rsidR="00A165A2" w14:paraId="47DFCE48" w14:textId="77777777">
        <w:trPr>
          <w:trHeight w:val="300"/>
        </w:trPr>
        <w:tc>
          <w:tcPr>
            <w:tcW w:w="426" w:type="dxa"/>
            <w:tcBorders>
              <w:bottom w:val="single" w:sz="4" w:space="0" w:color="auto"/>
            </w:tcBorders>
            <w:vAlign w:val="center"/>
          </w:tcPr>
          <w:p w14:paraId="57D1A70E"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298E8" w14:textId="77777777" w:rsidR="00A165A2" w:rsidRDefault="004B398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7BB0C76E" w14:textId="77777777" w:rsidR="00A165A2" w:rsidRDefault="004B3987">
            <w:pPr>
              <w:rPr>
                <w:b/>
                <w:bCs/>
                <w:color w:val="000000"/>
                <w:szCs w:val="22"/>
                <w:lang w:eastAsia="cs-CZ"/>
              </w:rPr>
            </w:pPr>
            <w:r>
              <w:rPr>
                <w:color w:val="000000"/>
                <w:szCs w:val="22"/>
                <w:lang w:eastAsia="cs-CZ"/>
              </w:rPr>
              <w:t>Bez dopadu</w:t>
            </w:r>
          </w:p>
        </w:tc>
      </w:tr>
      <w:tr w:rsidR="00A165A2" w14:paraId="3DB61A30" w14:textId="77777777">
        <w:trPr>
          <w:trHeight w:val="300"/>
        </w:trPr>
        <w:tc>
          <w:tcPr>
            <w:tcW w:w="426" w:type="dxa"/>
            <w:tcBorders>
              <w:bottom w:val="single" w:sz="4" w:space="0" w:color="auto"/>
            </w:tcBorders>
            <w:vAlign w:val="center"/>
          </w:tcPr>
          <w:p w14:paraId="6FF97BCA"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510EFA34" w14:textId="77777777" w:rsidR="00A165A2" w:rsidRDefault="004B3987">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46A1869D" w14:textId="77777777" w:rsidR="00A165A2" w:rsidRDefault="004B3987">
            <w:pPr>
              <w:rPr>
                <w:b/>
                <w:bCs/>
                <w:color w:val="000000"/>
                <w:szCs w:val="22"/>
                <w:lang w:eastAsia="cs-CZ"/>
              </w:rPr>
            </w:pPr>
            <w:r>
              <w:rPr>
                <w:color w:val="000000"/>
                <w:szCs w:val="22"/>
                <w:lang w:eastAsia="cs-CZ"/>
              </w:rPr>
              <w:t>Bez dopadu</w:t>
            </w:r>
          </w:p>
        </w:tc>
      </w:tr>
      <w:tr w:rsidR="00A165A2" w14:paraId="76D19C4A" w14:textId="77777777">
        <w:trPr>
          <w:trHeight w:val="300"/>
        </w:trPr>
        <w:tc>
          <w:tcPr>
            <w:tcW w:w="426" w:type="dxa"/>
            <w:tcBorders>
              <w:bottom w:val="single" w:sz="4" w:space="0" w:color="auto"/>
            </w:tcBorders>
            <w:vAlign w:val="center"/>
          </w:tcPr>
          <w:p w14:paraId="0E178586"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6A103D" w14:textId="77777777" w:rsidR="00A165A2" w:rsidRDefault="004B3987">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7AFDD497" w14:textId="77777777" w:rsidR="00A165A2" w:rsidRDefault="004B3987">
            <w:pPr>
              <w:rPr>
                <w:b/>
                <w:bCs/>
                <w:color w:val="000000"/>
                <w:szCs w:val="22"/>
                <w:lang w:eastAsia="cs-CZ"/>
              </w:rPr>
            </w:pPr>
            <w:r>
              <w:rPr>
                <w:color w:val="000000"/>
                <w:szCs w:val="22"/>
                <w:lang w:eastAsia="cs-CZ"/>
              </w:rPr>
              <w:t>Bez dopadu</w:t>
            </w:r>
          </w:p>
        </w:tc>
      </w:tr>
      <w:tr w:rsidR="00A165A2" w14:paraId="79A1B537" w14:textId="77777777">
        <w:trPr>
          <w:trHeight w:val="300"/>
        </w:trPr>
        <w:tc>
          <w:tcPr>
            <w:tcW w:w="426" w:type="dxa"/>
            <w:tcBorders>
              <w:bottom w:val="single" w:sz="4" w:space="0" w:color="auto"/>
            </w:tcBorders>
            <w:vAlign w:val="center"/>
          </w:tcPr>
          <w:p w14:paraId="6265B166"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539342" w14:textId="77777777" w:rsidR="00A165A2" w:rsidRDefault="004B3987">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B4538D3" w14:textId="77777777" w:rsidR="00A165A2" w:rsidRDefault="004B3987">
            <w:pPr>
              <w:rPr>
                <w:b/>
                <w:bCs/>
                <w:color w:val="000000"/>
                <w:szCs w:val="22"/>
                <w:lang w:eastAsia="cs-CZ"/>
              </w:rPr>
            </w:pPr>
            <w:r>
              <w:rPr>
                <w:color w:val="000000"/>
                <w:szCs w:val="22"/>
                <w:lang w:eastAsia="cs-CZ"/>
              </w:rPr>
              <w:t>Bez dopadu</w:t>
            </w:r>
          </w:p>
        </w:tc>
      </w:tr>
      <w:tr w:rsidR="00A165A2" w14:paraId="16ECD109" w14:textId="77777777">
        <w:trPr>
          <w:trHeight w:val="300"/>
        </w:trPr>
        <w:tc>
          <w:tcPr>
            <w:tcW w:w="426" w:type="dxa"/>
            <w:tcBorders>
              <w:bottom w:val="single" w:sz="4" w:space="0" w:color="auto"/>
            </w:tcBorders>
            <w:vAlign w:val="center"/>
          </w:tcPr>
          <w:p w14:paraId="4BB1F285"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B1B5C2" w14:textId="77777777" w:rsidR="00A165A2" w:rsidRDefault="004B3987">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309673FF" w14:textId="77777777" w:rsidR="00A165A2" w:rsidRDefault="004B3987">
            <w:pPr>
              <w:rPr>
                <w:b/>
                <w:bCs/>
                <w:color w:val="000000"/>
                <w:szCs w:val="22"/>
                <w:lang w:eastAsia="cs-CZ"/>
              </w:rPr>
            </w:pPr>
            <w:r>
              <w:rPr>
                <w:color w:val="000000"/>
                <w:szCs w:val="22"/>
                <w:lang w:eastAsia="cs-CZ"/>
              </w:rPr>
              <w:t>Bez dopadu</w:t>
            </w:r>
          </w:p>
        </w:tc>
      </w:tr>
      <w:tr w:rsidR="00A165A2" w14:paraId="0499F592" w14:textId="77777777">
        <w:trPr>
          <w:trHeight w:val="300"/>
        </w:trPr>
        <w:tc>
          <w:tcPr>
            <w:tcW w:w="426" w:type="dxa"/>
            <w:tcBorders>
              <w:bottom w:val="single" w:sz="4" w:space="0" w:color="auto"/>
            </w:tcBorders>
            <w:vAlign w:val="center"/>
          </w:tcPr>
          <w:p w14:paraId="161C001E"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B3D3B11" w14:textId="77777777" w:rsidR="00A165A2" w:rsidRDefault="004B3987">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070FCF8D" w14:textId="77777777" w:rsidR="00A165A2" w:rsidRDefault="004B3987">
            <w:pPr>
              <w:rPr>
                <w:b/>
                <w:bCs/>
                <w:color w:val="000000"/>
                <w:szCs w:val="22"/>
                <w:lang w:eastAsia="cs-CZ"/>
              </w:rPr>
            </w:pPr>
            <w:r>
              <w:rPr>
                <w:color w:val="000000"/>
                <w:szCs w:val="22"/>
                <w:lang w:eastAsia="cs-CZ"/>
              </w:rPr>
              <w:t>Bez dopadu</w:t>
            </w:r>
          </w:p>
        </w:tc>
      </w:tr>
      <w:tr w:rsidR="00A165A2" w14:paraId="2F02058A" w14:textId="77777777">
        <w:trPr>
          <w:trHeight w:val="300"/>
        </w:trPr>
        <w:tc>
          <w:tcPr>
            <w:tcW w:w="426" w:type="dxa"/>
            <w:tcBorders>
              <w:bottom w:val="single" w:sz="4" w:space="0" w:color="auto"/>
            </w:tcBorders>
            <w:vAlign w:val="center"/>
          </w:tcPr>
          <w:p w14:paraId="216E8F00"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70A5E1" w14:textId="77777777" w:rsidR="00A165A2" w:rsidRDefault="004B3987">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1986906" w14:textId="77777777" w:rsidR="00A165A2" w:rsidRDefault="004B3987">
            <w:pPr>
              <w:rPr>
                <w:b/>
                <w:bCs/>
                <w:color w:val="000000"/>
                <w:szCs w:val="22"/>
                <w:lang w:eastAsia="cs-CZ"/>
              </w:rPr>
            </w:pPr>
            <w:r>
              <w:rPr>
                <w:color w:val="000000"/>
                <w:szCs w:val="22"/>
                <w:lang w:eastAsia="cs-CZ"/>
              </w:rPr>
              <w:t>Bez dopadu</w:t>
            </w:r>
          </w:p>
        </w:tc>
      </w:tr>
      <w:tr w:rsidR="00A165A2" w14:paraId="1BD548CC" w14:textId="77777777">
        <w:trPr>
          <w:trHeight w:val="300"/>
        </w:trPr>
        <w:tc>
          <w:tcPr>
            <w:tcW w:w="426" w:type="dxa"/>
            <w:tcBorders>
              <w:bottom w:val="single" w:sz="4" w:space="0" w:color="auto"/>
            </w:tcBorders>
            <w:vAlign w:val="center"/>
          </w:tcPr>
          <w:p w14:paraId="7B9B4A5C"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80935A" w14:textId="77777777" w:rsidR="00A165A2" w:rsidRDefault="004B3987">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2A194C6" w14:textId="77777777" w:rsidR="00A165A2" w:rsidRDefault="004B3987">
            <w:pPr>
              <w:rPr>
                <w:b/>
                <w:bCs/>
                <w:color w:val="000000"/>
                <w:szCs w:val="22"/>
                <w:lang w:eastAsia="cs-CZ"/>
              </w:rPr>
            </w:pPr>
            <w:r>
              <w:rPr>
                <w:color w:val="000000"/>
                <w:szCs w:val="22"/>
                <w:lang w:eastAsia="cs-CZ"/>
              </w:rPr>
              <w:t>Bez dopadu</w:t>
            </w:r>
          </w:p>
        </w:tc>
      </w:tr>
      <w:tr w:rsidR="00A165A2" w14:paraId="6718DBCE" w14:textId="77777777">
        <w:trPr>
          <w:trHeight w:val="300"/>
        </w:trPr>
        <w:tc>
          <w:tcPr>
            <w:tcW w:w="426" w:type="dxa"/>
            <w:tcBorders>
              <w:bottom w:val="single" w:sz="4" w:space="0" w:color="auto"/>
            </w:tcBorders>
            <w:vAlign w:val="center"/>
          </w:tcPr>
          <w:p w14:paraId="60567DEB"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2988F8" w14:textId="77777777" w:rsidR="00A165A2" w:rsidRDefault="004B3987">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617881CF" w14:textId="77777777" w:rsidR="00A165A2" w:rsidRDefault="004B3987">
            <w:pPr>
              <w:rPr>
                <w:b/>
                <w:bCs/>
                <w:color w:val="000000"/>
                <w:szCs w:val="22"/>
                <w:lang w:eastAsia="cs-CZ"/>
              </w:rPr>
            </w:pPr>
            <w:r>
              <w:rPr>
                <w:color w:val="000000"/>
                <w:szCs w:val="22"/>
                <w:lang w:eastAsia="cs-CZ"/>
              </w:rPr>
              <w:t>Bez dopadu</w:t>
            </w:r>
          </w:p>
        </w:tc>
      </w:tr>
      <w:tr w:rsidR="00A165A2" w14:paraId="2FD28D51" w14:textId="77777777">
        <w:trPr>
          <w:trHeight w:val="300"/>
        </w:trPr>
        <w:tc>
          <w:tcPr>
            <w:tcW w:w="426" w:type="dxa"/>
            <w:tcBorders>
              <w:bottom w:val="single" w:sz="4" w:space="0" w:color="auto"/>
            </w:tcBorders>
            <w:vAlign w:val="center"/>
          </w:tcPr>
          <w:p w14:paraId="3FB56679"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28F45E" w14:textId="77777777" w:rsidR="00A165A2" w:rsidRDefault="004B3987">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17338DC5" w14:textId="77777777" w:rsidR="00A165A2" w:rsidRDefault="004B3987">
            <w:pPr>
              <w:rPr>
                <w:b/>
                <w:bCs/>
                <w:color w:val="000000"/>
                <w:szCs w:val="22"/>
                <w:lang w:eastAsia="cs-CZ"/>
              </w:rPr>
            </w:pPr>
            <w:r>
              <w:rPr>
                <w:color w:val="000000"/>
                <w:szCs w:val="22"/>
                <w:lang w:eastAsia="cs-CZ"/>
              </w:rPr>
              <w:t>Bez dopadu</w:t>
            </w:r>
          </w:p>
        </w:tc>
      </w:tr>
      <w:tr w:rsidR="00A165A2" w14:paraId="129810FF" w14:textId="77777777">
        <w:trPr>
          <w:trHeight w:val="300"/>
        </w:trPr>
        <w:tc>
          <w:tcPr>
            <w:tcW w:w="426" w:type="dxa"/>
            <w:tcBorders>
              <w:bottom w:val="single" w:sz="4" w:space="0" w:color="auto"/>
            </w:tcBorders>
            <w:vAlign w:val="center"/>
          </w:tcPr>
          <w:p w14:paraId="3B843298" w14:textId="77777777" w:rsidR="00A165A2" w:rsidRDefault="00A165A2">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95C6B6" w14:textId="77777777" w:rsidR="00A165A2" w:rsidRDefault="004B3987">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61F5179F" w14:textId="77777777" w:rsidR="00A165A2" w:rsidRDefault="004B3987">
            <w:pPr>
              <w:rPr>
                <w:b/>
                <w:bCs/>
                <w:color w:val="000000"/>
                <w:szCs w:val="22"/>
                <w:lang w:eastAsia="cs-CZ"/>
              </w:rPr>
            </w:pPr>
            <w:r>
              <w:rPr>
                <w:color w:val="000000"/>
                <w:szCs w:val="22"/>
                <w:lang w:eastAsia="cs-CZ"/>
              </w:rPr>
              <w:t>Bez dopadu</w:t>
            </w:r>
          </w:p>
        </w:tc>
      </w:tr>
    </w:tbl>
    <w:p w14:paraId="6ED0BF21" w14:textId="77777777" w:rsidR="00A165A2" w:rsidRDefault="00A165A2"/>
    <w:p w14:paraId="5941538A" w14:textId="77777777" w:rsidR="00A165A2" w:rsidRDefault="004B3987">
      <w:pPr>
        <w:pStyle w:val="Nadpis1"/>
        <w:numPr>
          <w:ilvl w:val="1"/>
          <w:numId w:val="17"/>
        </w:numPr>
        <w:ind w:left="1440" w:hanging="292"/>
        <w:rPr>
          <w:szCs w:val="22"/>
        </w:rPr>
      </w:pPr>
      <w:r>
        <w:rPr>
          <w:szCs w:val="22"/>
        </w:rPr>
        <w:t>Na součinnost s dalšími systémy</w:t>
      </w:r>
    </w:p>
    <w:p w14:paraId="3A2ECD65" w14:textId="77777777" w:rsidR="00A165A2" w:rsidRDefault="004B3987">
      <w:pPr>
        <w:ind w:firstLine="284"/>
      </w:pPr>
      <w:r>
        <w:t>Bez dopadu</w:t>
      </w:r>
    </w:p>
    <w:p w14:paraId="308A63A0" w14:textId="77777777" w:rsidR="00A165A2" w:rsidRDefault="004B3987">
      <w:pPr>
        <w:pStyle w:val="Nadpis1"/>
        <w:numPr>
          <w:ilvl w:val="1"/>
          <w:numId w:val="17"/>
        </w:numPr>
        <w:ind w:left="1440" w:hanging="292"/>
        <w:rPr>
          <w:szCs w:val="22"/>
        </w:rPr>
      </w:pPr>
      <w:r>
        <w:rPr>
          <w:szCs w:val="22"/>
        </w:rPr>
        <w:t>Na součinnost AgriBus</w:t>
      </w:r>
    </w:p>
    <w:p w14:paraId="481CB2FD" w14:textId="77777777" w:rsidR="00A165A2" w:rsidRDefault="00A165A2"/>
    <w:p w14:paraId="100B60CA" w14:textId="77777777" w:rsidR="00A165A2" w:rsidRDefault="004B3987">
      <w:pPr>
        <w:pStyle w:val="Nadpis1"/>
        <w:numPr>
          <w:ilvl w:val="1"/>
          <w:numId w:val="17"/>
        </w:numPr>
        <w:ind w:left="1440" w:hanging="292"/>
        <w:rPr>
          <w:szCs w:val="22"/>
        </w:rPr>
      </w:pPr>
      <w:r>
        <w:rPr>
          <w:szCs w:val="22"/>
        </w:rPr>
        <w:t>Na dohledové nástroje/scénáře</w:t>
      </w:r>
      <w:r>
        <w:rPr>
          <w:rStyle w:val="Odkaznavysvtlivky"/>
          <w:szCs w:val="22"/>
        </w:rPr>
        <w:endnoteReference w:id="16"/>
      </w:r>
    </w:p>
    <w:p w14:paraId="1F8CE6CC" w14:textId="77777777" w:rsidR="00A165A2" w:rsidRDefault="00A165A2">
      <w:pPr>
        <w:spacing w:after="120"/>
      </w:pPr>
    </w:p>
    <w:p w14:paraId="7B7EE989" w14:textId="77777777" w:rsidR="00A165A2" w:rsidRDefault="004B3987">
      <w:pPr>
        <w:pStyle w:val="Nadpis1"/>
        <w:numPr>
          <w:ilvl w:val="1"/>
          <w:numId w:val="17"/>
        </w:numPr>
        <w:ind w:left="1440" w:hanging="292"/>
        <w:rPr>
          <w:szCs w:val="22"/>
        </w:rPr>
      </w:pPr>
      <w:r>
        <w:rPr>
          <w:szCs w:val="22"/>
        </w:rPr>
        <w:t>Ostatní dopady</w:t>
      </w:r>
    </w:p>
    <w:p w14:paraId="4ED22D45" w14:textId="77777777" w:rsidR="00A165A2" w:rsidRDefault="004B3987">
      <w:pPr>
        <w:spacing w:before="120"/>
        <w:rPr>
          <w:sz w:val="18"/>
          <w:szCs w:val="18"/>
        </w:rPr>
      </w:pPr>
      <w:r>
        <w:rPr>
          <w:sz w:val="18"/>
          <w:szCs w:val="18"/>
        </w:rPr>
        <w:t>(Pozn.: Pokud má požadavek dopady do dalších požadavků MZe, uveďte je také v tomto bodu.)</w:t>
      </w:r>
    </w:p>
    <w:p w14:paraId="701F9DAF" w14:textId="77777777" w:rsidR="00A165A2" w:rsidRDefault="00A165A2">
      <w:pPr>
        <w:rPr>
          <w:szCs w:val="22"/>
        </w:rPr>
      </w:pPr>
    </w:p>
    <w:p w14:paraId="07F138D1" w14:textId="77777777" w:rsidR="00A165A2" w:rsidRDefault="004B3987">
      <w:pPr>
        <w:pStyle w:val="Nadpis1"/>
        <w:numPr>
          <w:ilvl w:val="0"/>
          <w:numId w:val="17"/>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165A2" w14:paraId="7DFB2A4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1D4F51" w14:textId="77777777" w:rsidR="00A165A2" w:rsidRDefault="004B398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78A268" w14:textId="77777777" w:rsidR="00A165A2" w:rsidRDefault="004B3987">
            <w:pPr>
              <w:rPr>
                <w:b/>
                <w:bCs/>
                <w:color w:val="000000"/>
                <w:szCs w:val="22"/>
                <w:lang w:eastAsia="cs-CZ"/>
              </w:rPr>
            </w:pPr>
            <w:r>
              <w:rPr>
                <w:b/>
                <w:bCs/>
                <w:color w:val="000000"/>
                <w:szCs w:val="22"/>
                <w:lang w:eastAsia="cs-CZ"/>
              </w:rPr>
              <w:t>Popis požadavku na součinnost</w:t>
            </w:r>
          </w:p>
        </w:tc>
      </w:tr>
      <w:tr w:rsidR="00A165A2" w14:paraId="5D0BEEF3" w14:textId="77777777">
        <w:trPr>
          <w:trHeight w:val="284"/>
        </w:trPr>
        <w:tc>
          <w:tcPr>
            <w:tcW w:w="2126" w:type="dxa"/>
            <w:tcBorders>
              <w:right w:val="dotted" w:sz="4" w:space="0" w:color="auto"/>
            </w:tcBorders>
            <w:shd w:val="clear" w:color="auto" w:fill="auto"/>
            <w:noWrap/>
            <w:vAlign w:val="bottom"/>
          </w:tcPr>
          <w:p w14:paraId="2792A07E" w14:textId="77777777" w:rsidR="00A165A2" w:rsidRDefault="004B3987">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F23D76B" w14:textId="77777777" w:rsidR="00A165A2" w:rsidRDefault="004B3987">
            <w:pPr>
              <w:rPr>
                <w:color w:val="000000"/>
                <w:szCs w:val="22"/>
                <w:lang w:eastAsia="cs-CZ"/>
              </w:rPr>
            </w:pPr>
            <w:r>
              <w:rPr>
                <w:color w:val="000000"/>
                <w:szCs w:val="22"/>
                <w:lang w:eastAsia="cs-CZ"/>
              </w:rPr>
              <w:t>Součinnost při testování a akceptaci PZ</w:t>
            </w:r>
          </w:p>
        </w:tc>
      </w:tr>
      <w:tr w:rsidR="00A165A2" w14:paraId="20E7A836" w14:textId="77777777">
        <w:trPr>
          <w:trHeight w:val="284"/>
        </w:trPr>
        <w:tc>
          <w:tcPr>
            <w:tcW w:w="2126" w:type="dxa"/>
            <w:tcBorders>
              <w:right w:val="dotted" w:sz="4" w:space="0" w:color="auto"/>
            </w:tcBorders>
            <w:shd w:val="clear" w:color="auto" w:fill="auto"/>
            <w:noWrap/>
            <w:vAlign w:val="bottom"/>
          </w:tcPr>
          <w:p w14:paraId="2DDABA45" w14:textId="77777777" w:rsidR="00A165A2" w:rsidRDefault="00A165A2">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B28A250" w14:textId="77777777" w:rsidR="00A165A2" w:rsidRDefault="00A165A2">
            <w:pPr>
              <w:rPr>
                <w:color w:val="000000"/>
                <w:szCs w:val="22"/>
                <w:lang w:eastAsia="cs-CZ"/>
              </w:rPr>
            </w:pPr>
          </w:p>
        </w:tc>
      </w:tr>
    </w:tbl>
    <w:p w14:paraId="722CEE97" w14:textId="77777777" w:rsidR="00A165A2" w:rsidRDefault="004B3987">
      <w:pPr>
        <w:rPr>
          <w:sz w:val="18"/>
          <w:szCs w:val="18"/>
        </w:rPr>
      </w:pPr>
      <w:r>
        <w:rPr>
          <w:sz w:val="18"/>
          <w:szCs w:val="18"/>
        </w:rPr>
        <w:t>(Pozn.: K popisu požadavku uveďte etapu, kdy bude součinnost vyžadována.)</w:t>
      </w:r>
    </w:p>
    <w:p w14:paraId="40CA01EE" w14:textId="77777777" w:rsidR="00A165A2" w:rsidRDefault="00A165A2"/>
    <w:p w14:paraId="20B8D0AB" w14:textId="77777777" w:rsidR="00A165A2" w:rsidRDefault="004B3987">
      <w:pPr>
        <w:pStyle w:val="Nadpis1"/>
        <w:numPr>
          <w:ilvl w:val="0"/>
          <w:numId w:val="17"/>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165A2" w14:paraId="5C173D2A"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9F55A" w14:textId="77777777" w:rsidR="00A165A2" w:rsidRDefault="004B398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DB6779A" w14:textId="77777777" w:rsidR="00A165A2" w:rsidRDefault="004B3987">
            <w:pPr>
              <w:rPr>
                <w:b/>
                <w:bCs/>
                <w:color w:val="000000"/>
                <w:szCs w:val="22"/>
                <w:lang w:eastAsia="cs-CZ"/>
              </w:rPr>
            </w:pPr>
            <w:r>
              <w:rPr>
                <w:b/>
                <w:bCs/>
                <w:color w:val="000000"/>
                <w:szCs w:val="22"/>
                <w:lang w:eastAsia="cs-CZ"/>
              </w:rPr>
              <w:t>Termín */</w:t>
            </w:r>
          </w:p>
        </w:tc>
      </w:tr>
      <w:tr w:rsidR="00A165A2" w14:paraId="3384B093" w14:textId="77777777">
        <w:trPr>
          <w:trHeight w:val="284"/>
        </w:trPr>
        <w:tc>
          <w:tcPr>
            <w:tcW w:w="7229" w:type="dxa"/>
            <w:tcBorders>
              <w:right w:val="dotted" w:sz="4" w:space="0" w:color="auto"/>
            </w:tcBorders>
            <w:shd w:val="clear" w:color="auto" w:fill="auto"/>
            <w:noWrap/>
            <w:vAlign w:val="bottom"/>
          </w:tcPr>
          <w:p w14:paraId="02925598" w14:textId="77777777" w:rsidR="00A165A2" w:rsidRDefault="004B3987">
            <w:pPr>
              <w:rPr>
                <w:color w:val="000000"/>
                <w:szCs w:val="22"/>
                <w:lang w:eastAsia="cs-CZ"/>
              </w:rPr>
            </w:pPr>
            <w:r>
              <w:rPr>
                <w:color w:val="000000"/>
                <w:szCs w:val="22"/>
                <w:lang w:eastAsia="cs-CZ"/>
              </w:rPr>
              <w:t>K testům</w:t>
            </w:r>
          </w:p>
        </w:tc>
        <w:tc>
          <w:tcPr>
            <w:tcW w:w="2552" w:type="dxa"/>
            <w:tcBorders>
              <w:left w:val="dotted" w:sz="4" w:space="0" w:color="auto"/>
            </w:tcBorders>
            <w:shd w:val="clear" w:color="auto" w:fill="auto"/>
            <w:vAlign w:val="bottom"/>
          </w:tcPr>
          <w:p w14:paraId="42EA59D2" w14:textId="77777777" w:rsidR="00A165A2" w:rsidRDefault="004B3987">
            <w:pPr>
              <w:rPr>
                <w:color w:val="FF0000"/>
                <w:szCs w:val="22"/>
                <w:lang w:eastAsia="cs-CZ"/>
              </w:rPr>
            </w:pPr>
            <w:r>
              <w:rPr>
                <w:color w:val="FF0000"/>
                <w:szCs w:val="22"/>
                <w:lang w:eastAsia="cs-CZ"/>
              </w:rPr>
              <w:t>30.10.2023</w:t>
            </w:r>
          </w:p>
        </w:tc>
      </w:tr>
      <w:tr w:rsidR="00A165A2" w14:paraId="2489BD3B" w14:textId="77777777">
        <w:trPr>
          <w:trHeight w:val="284"/>
        </w:trPr>
        <w:tc>
          <w:tcPr>
            <w:tcW w:w="7229" w:type="dxa"/>
            <w:tcBorders>
              <w:right w:val="dotted" w:sz="4" w:space="0" w:color="auto"/>
            </w:tcBorders>
            <w:shd w:val="clear" w:color="auto" w:fill="auto"/>
            <w:noWrap/>
            <w:vAlign w:val="bottom"/>
          </w:tcPr>
          <w:p w14:paraId="0476B55F" w14:textId="77777777" w:rsidR="00A165A2" w:rsidRDefault="004B3987">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bottom"/>
          </w:tcPr>
          <w:p w14:paraId="5918B94E" w14:textId="77777777" w:rsidR="00A165A2" w:rsidRDefault="004B3987">
            <w:pPr>
              <w:rPr>
                <w:color w:val="FF0000"/>
                <w:szCs w:val="22"/>
                <w:lang w:eastAsia="cs-CZ"/>
              </w:rPr>
            </w:pPr>
            <w:r>
              <w:rPr>
                <w:color w:val="FF0000"/>
                <w:szCs w:val="22"/>
                <w:lang w:eastAsia="cs-CZ"/>
              </w:rPr>
              <w:t>20.11.2023</w:t>
            </w:r>
          </w:p>
        </w:tc>
      </w:tr>
    </w:tbl>
    <w:p w14:paraId="532D3662" w14:textId="77777777" w:rsidR="00A165A2" w:rsidRDefault="004B3987">
      <w:pPr>
        <w:spacing w:before="120"/>
        <w:rPr>
          <w:szCs w:val="22"/>
        </w:rPr>
      </w:pPr>
      <w:r>
        <w:rPr>
          <w:color w:val="FF0000"/>
          <w:szCs w:val="22"/>
        </w:rPr>
        <w:t xml:space="preserve">Upozornění: </w:t>
      </w:r>
      <w:r>
        <w:rPr>
          <w:szCs w:val="22"/>
        </w:rPr>
        <w:t>Vzhledem k datu zaslání požadavku na nabídku není v kapacitách Dodavatele dodat celé řešení v období účinnosti smlouvy PRAIS II tj. do 30.09.2023.</w:t>
      </w:r>
    </w:p>
    <w:p w14:paraId="088C1F0D" w14:textId="77777777" w:rsidR="00A165A2" w:rsidRDefault="004B3987">
      <w:pPr>
        <w:spacing w:before="120"/>
        <w:rPr>
          <w:szCs w:val="22"/>
        </w:rPr>
      </w:pPr>
      <w:r>
        <w:rPr>
          <w:szCs w:val="22"/>
          <w:lang w:val="en-US"/>
        </w:rPr>
        <w:t>*</w:t>
      </w:r>
      <w:r>
        <w:rPr>
          <w:szCs w:val="22"/>
        </w:rPr>
        <w:t xml:space="preserve"> Viz část C</w:t>
      </w:r>
    </w:p>
    <w:p w14:paraId="028FFA36" w14:textId="77777777" w:rsidR="00A165A2" w:rsidRDefault="00A165A2">
      <w:pPr>
        <w:spacing w:before="120"/>
        <w:rPr>
          <w:szCs w:val="22"/>
        </w:rPr>
      </w:pPr>
    </w:p>
    <w:p w14:paraId="687E9DD7" w14:textId="77777777" w:rsidR="00A165A2" w:rsidRDefault="004B3987">
      <w:pPr>
        <w:rPr>
          <w:sz w:val="18"/>
          <w:szCs w:val="18"/>
        </w:rPr>
      </w:pPr>
      <w:r>
        <w:rPr>
          <w:sz w:val="18"/>
          <w:szCs w:val="18"/>
        </w:rPr>
        <w:t>*/ Upozornění: Uvedený harmonogram je platný v případě, že Dodavatel obdrží objednávku do 20.07.2023. V případě pozdějšího data objednání si Dodavatel vyhrazuje právo na úpravu harmonogramu v závislosti na aktuálním vytížení kapacit daného realizačního týmu Dodavatele či stanovení priorit ze strany Objednatele.</w:t>
      </w:r>
    </w:p>
    <w:p w14:paraId="5C7A3219" w14:textId="77777777" w:rsidR="00A165A2" w:rsidRDefault="00A165A2">
      <w:pPr>
        <w:spacing w:before="120"/>
        <w:rPr>
          <w:szCs w:val="22"/>
        </w:rPr>
      </w:pPr>
    </w:p>
    <w:p w14:paraId="56E0D6A0" w14:textId="77777777" w:rsidR="00A165A2" w:rsidRDefault="004B3987">
      <w:pPr>
        <w:pStyle w:val="Nadpis1"/>
        <w:numPr>
          <w:ilvl w:val="0"/>
          <w:numId w:val="17"/>
        </w:numPr>
        <w:ind w:left="284" w:hanging="284"/>
        <w:rPr>
          <w:szCs w:val="22"/>
        </w:rPr>
      </w:pPr>
      <w:r>
        <w:rPr>
          <w:szCs w:val="22"/>
        </w:rPr>
        <w:t>Pracnost a cenová nabídka navrhovaného řešení</w:t>
      </w:r>
    </w:p>
    <w:p w14:paraId="0A96A766" w14:textId="77777777" w:rsidR="00A165A2" w:rsidRDefault="004B398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A165A2" w14:paraId="35A1A58B" w14:textId="77777777">
        <w:tc>
          <w:tcPr>
            <w:tcW w:w="1843" w:type="dxa"/>
            <w:tcBorders>
              <w:top w:val="single" w:sz="8" w:space="0" w:color="auto"/>
              <w:left w:val="single" w:sz="8" w:space="0" w:color="auto"/>
              <w:bottom w:val="single" w:sz="8" w:space="0" w:color="auto"/>
              <w:right w:val="single" w:sz="8" w:space="0" w:color="auto"/>
            </w:tcBorders>
          </w:tcPr>
          <w:p w14:paraId="50A09D6A" w14:textId="77777777" w:rsidR="00A165A2" w:rsidRDefault="004B398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C3CF8A" w14:textId="77777777" w:rsidR="00A165A2" w:rsidRDefault="004B398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EFDA76A" w14:textId="77777777" w:rsidR="00A165A2" w:rsidRDefault="004B398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40C75E3" w14:textId="77777777" w:rsidR="00A165A2" w:rsidRDefault="004B398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D1339EB" w14:textId="77777777" w:rsidR="00A165A2" w:rsidRDefault="004B3987">
            <w:pPr>
              <w:pStyle w:val="Tabulka"/>
              <w:rPr>
                <w:b/>
                <w:szCs w:val="22"/>
              </w:rPr>
            </w:pPr>
            <w:r>
              <w:rPr>
                <w:b/>
                <w:szCs w:val="22"/>
              </w:rPr>
              <w:t>v Kč s DPH</w:t>
            </w:r>
          </w:p>
        </w:tc>
      </w:tr>
      <w:tr w:rsidR="00A165A2" w14:paraId="3E1B3C53" w14:textId="77777777">
        <w:trPr>
          <w:trHeight w:hRule="exact" w:val="20"/>
        </w:trPr>
        <w:tc>
          <w:tcPr>
            <w:tcW w:w="1843" w:type="dxa"/>
            <w:tcBorders>
              <w:top w:val="single" w:sz="8" w:space="0" w:color="auto"/>
              <w:left w:val="dotted" w:sz="4" w:space="0" w:color="auto"/>
            </w:tcBorders>
          </w:tcPr>
          <w:p w14:paraId="15588FAE" w14:textId="77777777" w:rsidR="00A165A2" w:rsidRDefault="00A165A2">
            <w:pPr>
              <w:pStyle w:val="Tabulka"/>
              <w:rPr>
                <w:szCs w:val="22"/>
              </w:rPr>
            </w:pPr>
          </w:p>
        </w:tc>
        <w:tc>
          <w:tcPr>
            <w:tcW w:w="3544" w:type="dxa"/>
            <w:tcBorders>
              <w:top w:val="single" w:sz="8" w:space="0" w:color="auto"/>
              <w:left w:val="dotted" w:sz="4" w:space="0" w:color="auto"/>
            </w:tcBorders>
          </w:tcPr>
          <w:p w14:paraId="018CB2F3" w14:textId="77777777" w:rsidR="00A165A2" w:rsidRDefault="00A165A2">
            <w:pPr>
              <w:pStyle w:val="Tabulka"/>
              <w:rPr>
                <w:szCs w:val="22"/>
              </w:rPr>
            </w:pPr>
          </w:p>
        </w:tc>
        <w:tc>
          <w:tcPr>
            <w:tcW w:w="1275" w:type="dxa"/>
            <w:tcBorders>
              <w:top w:val="single" w:sz="8" w:space="0" w:color="auto"/>
            </w:tcBorders>
          </w:tcPr>
          <w:p w14:paraId="0DB9B241" w14:textId="77777777" w:rsidR="00A165A2" w:rsidRDefault="00A165A2">
            <w:pPr>
              <w:pStyle w:val="Tabulka"/>
              <w:rPr>
                <w:szCs w:val="22"/>
              </w:rPr>
            </w:pPr>
          </w:p>
        </w:tc>
        <w:tc>
          <w:tcPr>
            <w:tcW w:w="1560" w:type="dxa"/>
            <w:tcBorders>
              <w:top w:val="single" w:sz="8" w:space="0" w:color="auto"/>
            </w:tcBorders>
          </w:tcPr>
          <w:p w14:paraId="27F80DE8" w14:textId="77777777" w:rsidR="00A165A2" w:rsidRDefault="00A165A2">
            <w:pPr>
              <w:pStyle w:val="Tabulka"/>
              <w:rPr>
                <w:szCs w:val="22"/>
              </w:rPr>
            </w:pPr>
          </w:p>
        </w:tc>
        <w:tc>
          <w:tcPr>
            <w:tcW w:w="1557" w:type="dxa"/>
            <w:tcBorders>
              <w:top w:val="single" w:sz="8" w:space="0" w:color="auto"/>
            </w:tcBorders>
          </w:tcPr>
          <w:p w14:paraId="723A354A" w14:textId="77777777" w:rsidR="00A165A2" w:rsidRDefault="00A165A2">
            <w:pPr>
              <w:pStyle w:val="Tabulka"/>
              <w:rPr>
                <w:szCs w:val="22"/>
              </w:rPr>
            </w:pPr>
          </w:p>
        </w:tc>
      </w:tr>
      <w:tr w:rsidR="00A165A2" w14:paraId="0A8FCD88" w14:textId="77777777">
        <w:trPr>
          <w:trHeight w:val="397"/>
        </w:trPr>
        <w:tc>
          <w:tcPr>
            <w:tcW w:w="1843" w:type="dxa"/>
            <w:tcBorders>
              <w:top w:val="dotted" w:sz="4" w:space="0" w:color="auto"/>
              <w:left w:val="dotted" w:sz="4" w:space="0" w:color="auto"/>
            </w:tcBorders>
          </w:tcPr>
          <w:p w14:paraId="35E615B1" w14:textId="77777777" w:rsidR="00A165A2" w:rsidRDefault="00A165A2">
            <w:pPr>
              <w:pStyle w:val="Tabulka"/>
              <w:rPr>
                <w:szCs w:val="22"/>
              </w:rPr>
            </w:pPr>
          </w:p>
        </w:tc>
        <w:tc>
          <w:tcPr>
            <w:tcW w:w="3544" w:type="dxa"/>
            <w:tcBorders>
              <w:top w:val="dotted" w:sz="4" w:space="0" w:color="auto"/>
              <w:left w:val="dotted" w:sz="4" w:space="0" w:color="auto"/>
            </w:tcBorders>
          </w:tcPr>
          <w:p w14:paraId="56DB0376" w14:textId="77777777" w:rsidR="00A165A2" w:rsidRDefault="004B3987">
            <w:pPr>
              <w:pStyle w:val="Tabulka"/>
              <w:rPr>
                <w:szCs w:val="22"/>
              </w:rPr>
            </w:pPr>
            <w:r>
              <w:rPr>
                <w:szCs w:val="22"/>
              </w:rPr>
              <w:t>Viz cenová nabídka v příloze č.01</w:t>
            </w:r>
          </w:p>
        </w:tc>
        <w:tc>
          <w:tcPr>
            <w:tcW w:w="1275" w:type="dxa"/>
            <w:tcBorders>
              <w:top w:val="dotted" w:sz="4" w:space="0" w:color="auto"/>
            </w:tcBorders>
          </w:tcPr>
          <w:p w14:paraId="2B20AFBE" w14:textId="77777777" w:rsidR="00A165A2" w:rsidRDefault="004B3987">
            <w:pPr>
              <w:pStyle w:val="Tabulka"/>
              <w:jc w:val="center"/>
              <w:rPr>
                <w:szCs w:val="22"/>
              </w:rPr>
            </w:pPr>
            <w:r>
              <w:rPr>
                <w:szCs w:val="22"/>
              </w:rPr>
              <w:t>84,500</w:t>
            </w:r>
          </w:p>
        </w:tc>
        <w:tc>
          <w:tcPr>
            <w:tcW w:w="1560" w:type="dxa"/>
            <w:tcBorders>
              <w:top w:val="dotted" w:sz="4" w:space="0" w:color="auto"/>
            </w:tcBorders>
          </w:tcPr>
          <w:p w14:paraId="2002D8C1" w14:textId="77777777" w:rsidR="00A165A2" w:rsidRDefault="004B3987">
            <w:pPr>
              <w:pStyle w:val="Tabulka"/>
              <w:rPr>
                <w:szCs w:val="22"/>
              </w:rPr>
            </w:pPr>
            <w:r>
              <w:t>752 050,00</w:t>
            </w:r>
          </w:p>
        </w:tc>
        <w:tc>
          <w:tcPr>
            <w:tcW w:w="1557" w:type="dxa"/>
            <w:tcBorders>
              <w:top w:val="dotted" w:sz="4" w:space="0" w:color="auto"/>
            </w:tcBorders>
          </w:tcPr>
          <w:p w14:paraId="28421797" w14:textId="77777777" w:rsidR="00A165A2" w:rsidRDefault="004B3987">
            <w:pPr>
              <w:pStyle w:val="Tabulka"/>
              <w:rPr>
                <w:szCs w:val="22"/>
              </w:rPr>
            </w:pPr>
            <w:r>
              <w:t>909 980,50</w:t>
            </w:r>
          </w:p>
        </w:tc>
      </w:tr>
      <w:tr w:rsidR="00A165A2" w14:paraId="62E50624" w14:textId="77777777">
        <w:trPr>
          <w:trHeight w:val="397"/>
        </w:trPr>
        <w:tc>
          <w:tcPr>
            <w:tcW w:w="5387" w:type="dxa"/>
            <w:gridSpan w:val="2"/>
            <w:tcBorders>
              <w:left w:val="dotted" w:sz="4" w:space="0" w:color="auto"/>
              <w:bottom w:val="dotted" w:sz="4" w:space="0" w:color="auto"/>
            </w:tcBorders>
          </w:tcPr>
          <w:p w14:paraId="49CC8D6F" w14:textId="77777777" w:rsidR="00A165A2" w:rsidRDefault="004B3987">
            <w:pPr>
              <w:pStyle w:val="Tabulka"/>
              <w:rPr>
                <w:b/>
                <w:szCs w:val="22"/>
              </w:rPr>
            </w:pPr>
            <w:r>
              <w:rPr>
                <w:b/>
                <w:szCs w:val="22"/>
              </w:rPr>
              <w:t>Celkem:</w:t>
            </w:r>
          </w:p>
        </w:tc>
        <w:tc>
          <w:tcPr>
            <w:tcW w:w="1275" w:type="dxa"/>
            <w:tcBorders>
              <w:bottom w:val="dotted" w:sz="4" w:space="0" w:color="auto"/>
            </w:tcBorders>
          </w:tcPr>
          <w:p w14:paraId="475AA98D" w14:textId="77777777" w:rsidR="00A165A2" w:rsidRDefault="004B3987">
            <w:pPr>
              <w:pStyle w:val="Tabulka"/>
              <w:jc w:val="center"/>
              <w:rPr>
                <w:szCs w:val="22"/>
              </w:rPr>
            </w:pPr>
            <w:r>
              <w:rPr>
                <w:szCs w:val="22"/>
              </w:rPr>
              <w:t>84,500</w:t>
            </w:r>
          </w:p>
        </w:tc>
        <w:tc>
          <w:tcPr>
            <w:tcW w:w="1560" w:type="dxa"/>
            <w:tcBorders>
              <w:bottom w:val="dotted" w:sz="4" w:space="0" w:color="auto"/>
            </w:tcBorders>
          </w:tcPr>
          <w:p w14:paraId="7C2751F9" w14:textId="77777777" w:rsidR="00A165A2" w:rsidRDefault="004B3987">
            <w:pPr>
              <w:pStyle w:val="Tabulka"/>
              <w:rPr>
                <w:b/>
                <w:bCs w:val="0"/>
                <w:szCs w:val="22"/>
              </w:rPr>
            </w:pPr>
            <w:r>
              <w:t>752 050,00</w:t>
            </w:r>
          </w:p>
        </w:tc>
        <w:tc>
          <w:tcPr>
            <w:tcW w:w="1557" w:type="dxa"/>
            <w:tcBorders>
              <w:bottom w:val="dotted" w:sz="4" w:space="0" w:color="auto"/>
            </w:tcBorders>
          </w:tcPr>
          <w:p w14:paraId="0B80AFCD" w14:textId="77777777" w:rsidR="00A165A2" w:rsidRDefault="004B3987">
            <w:pPr>
              <w:pStyle w:val="Tabulka"/>
              <w:rPr>
                <w:b/>
                <w:bCs w:val="0"/>
                <w:szCs w:val="22"/>
              </w:rPr>
            </w:pPr>
            <w:r>
              <w:t>909 980,50</w:t>
            </w:r>
          </w:p>
        </w:tc>
      </w:tr>
    </w:tbl>
    <w:p w14:paraId="0729758A" w14:textId="77777777" w:rsidR="00A165A2" w:rsidRDefault="00A165A2">
      <w:pPr>
        <w:rPr>
          <w:sz w:val="8"/>
          <w:szCs w:val="8"/>
        </w:rPr>
      </w:pPr>
    </w:p>
    <w:p w14:paraId="5C8ED62B" w14:textId="77777777" w:rsidR="00A165A2" w:rsidRDefault="004B3987">
      <w:pPr>
        <w:rPr>
          <w:sz w:val="18"/>
          <w:szCs w:val="18"/>
        </w:rPr>
      </w:pPr>
      <w:r>
        <w:rPr>
          <w:sz w:val="18"/>
          <w:szCs w:val="18"/>
        </w:rPr>
        <w:t>(Pozn.: MD – člověkoden, MJ – měrná jednotka, např. počet kusů)</w:t>
      </w:r>
    </w:p>
    <w:p w14:paraId="6EBB21CF" w14:textId="77777777" w:rsidR="00A165A2" w:rsidRDefault="00A165A2"/>
    <w:p w14:paraId="1C0CFB83" w14:textId="77777777" w:rsidR="00A165A2" w:rsidRDefault="004B3987">
      <w:pPr>
        <w:pStyle w:val="Nadpis1"/>
        <w:numPr>
          <w:ilvl w:val="0"/>
          <w:numId w:val="1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165A2" w14:paraId="0CC9A00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98710" w14:textId="77777777" w:rsidR="00A165A2" w:rsidRDefault="004B398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5F4CAD" w14:textId="77777777" w:rsidR="00A165A2" w:rsidRDefault="004B398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A0D56DA" w14:textId="77777777" w:rsidR="00A165A2" w:rsidRDefault="004B3987">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A165A2" w14:paraId="64BC46B9" w14:textId="77777777">
        <w:trPr>
          <w:trHeight w:val="284"/>
        </w:trPr>
        <w:tc>
          <w:tcPr>
            <w:tcW w:w="710" w:type="dxa"/>
            <w:tcBorders>
              <w:right w:val="dotted" w:sz="4" w:space="0" w:color="auto"/>
            </w:tcBorders>
            <w:shd w:val="clear" w:color="auto" w:fill="auto"/>
            <w:noWrap/>
            <w:vAlign w:val="bottom"/>
          </w:tcPr>
          <w:p w14:paraId="2E0D9E57" w14:textId="77777777" w:rsidR="00A165A2" w:rsidRDefault="004B398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B802900" w14:textId="77777777" w:rsidR="00A165A2" w:rsidRDefault="004B398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EB1C415" w14:textId="77777777" w:rsidR="00A165A2" w:rsidRDefault="004B3987">
            <w:pPr>
              <w:rPr>
                <w:color w:val="000000"/>
                <w:szCs w:val="22"/>
                <w:lang w:eastAsia="cs-CZ"/>
              </w:rPr>
            </w:pPr>
            <w:r>
              <w:rPr>
                <w:color w:val="000000"/>
                <w:szCs w:val="22"/>
                <w:lang w:eastAsia="cs-CZ"/>
              </w:rPr>
              <w:t>Listinná forma</w:t>
            </w:r>
          </w:p>
        </w:tc>
      </w:tr>
      <w:tr w:rsidR="00A165A2" w14:paraId="2927D180" w14:textId="77777777">
        <w:trPr>
          <w:trHeight w:val="284"/>
        </w:trPr>
        <w:tc>
          <w:tcPr>
            <w:tcW w:w="710" w:type="dxa"/>
            <w:tcBorders>
              <w:right w:val="dotted" w:sz="4" w:space="0" w:color="auto"/>
            </w:tcBorders>
            <w:shd w:val="clear" w:color="auto" w:fill="auto"/>
            <w:noWrap/>
            <w:vAlign w:val="bottom"/>
          </w:tcPr>
          <w:p w14:paraId="25F21308" w14:textId="77777777" w:rsidR="00A165A2" w:rsidRDefault="004B3987">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2D0DBFE" w14:textId="77777777" w:rsidR="00A165A2" w:rsidRDefault="004B3987">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3194810E" w14:textId="77777777" w:rsidR="00A165A2" w:rsidRDefault="004B3987">
            <w:pPr>
              <w:rPr>
                <w:color w:val="000000"/>
                <w:szCs w:val="22"/>
                <w:lang w:eastAsia="cs-CZ"/>
              </w:rPr>
            </w:pPr>
            <w:r>
              <w:rPr>
                <w:color w:val="000000"/>
                <w:szCs w:val="22"/>
                <w:lang w:eastAsia="cs-CZ"/>
              </w:rPr>
              <w:t>E-mailem</w:t>
            </w:r>
          </w:p>
        </w:tc>
      </w:tr>
    </w:tbl>
    <w:p w14:paraId="779CE60D" w14:textId="77777777" w:rsidR="00A165A2" w:rsidRDefault="00A165A2"/>
    <w:p w14:paraId="593276A9" w14:textId="77777777" w:rsidR="00A165A2" w:rsidRDefault="00A165A2"/>
    <w:p w14:paraId="7FFF07A2" w14:textId="77777777" w:rsidR="00A165A2" w:rsidRDefault="004B3987">
      <w:pPr>
        <w:pStyle w:val="Nadpis1"/>
        <w:numPr>
          <w:ilvl w:val="0"/>
          <w:numId w:val="17"/>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A165A2" w14:paraId="00F8F0A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4D4AC" w14:textId="77777777" w:rsidR="00A165A2" w:rsidRDefault="004B398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0EFD063" w14:textId="77777777" w:rsidR="00A165A2" w:rsidRDefault="004B398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B1A09DC" w14:textId="77777777" w:rsidR="00A165A2" w:rsidRDefault="004B3987">
            <w:pPr>
              <w:rPr>
                <w:b/>
                <w:bCs/>
                <w:color w:val="000000"/>
                <w:szCs w:val="22"/>
                <w:lang w:eastAsia="cs-CZ"/>
              </w:rPr>
            </w:pPr>
            <w:r>
              <w:rPr>
                <w:b/>
                <w:bCs/>
                <w:color w:val="000000"/>
                <w:szCs w:val="22"/>
                <w:lang w:eastAsia="cs-CZ"/>
              </w:rPr>
              <w:t>Podpis</w:t>
            </w:r>
          </w:p>
        </w:tc>
      </w:tr>
      <w:tr w:rsidR="00A165A2" w14:paraId="33E7755A" w14:textId="77777777">
        <w:trPr>
          <w:trHeight w:val="1396"/>
        </w:trPr>
        <w:tc>
          <w:tcPr>
            <w:tcW w:w="3114" w:type="dxa"/>
            <w:shd w:val="clear" w:color="auto" w:fill="auto"/>
            <w:noWrap/>
            <w:vAlign w:val="center"/>
          </w:tcPr>
          <w:p w14:paraId="6933F5D6" w14:textId="77777777" w:rsidR="00A165A2" w:rsidRDefault="004B3987">
            <w:pPr>
              <w:rPr>
                <w:color w:val="000000"/>
                <w:szCs w:val="22"/>
                <w:lang w:eastAsia="cs-CZ"/>
              </w:rPr>
            </w:pPr>
            <w:r>
              <w:rPr>
                <w:color w:val="000000"/>
                <w:szCs w:val="22"/>
                <w:lang w:eastAsia="cs-CZ"/>
              </w:rPr>
              <w:t>O2 IT Services s.r.o.</w:t>
            </w:r>
          </w:p>
        </w:tc>
        <w:tc>
          <w:tcPr>
            <w:tcW w:w="3118" w:type="dxa"/>
            <w:vAlign w:val="center"/>
          </w:tcPr>
          <w:p w14:paraId="096B14C9" w14:textId="0A4FA500" w:rsidR="00A165A2" w:rsidRDefault="009B1840">
            <w:pPr>
              <w:rPr>
                <w:color w:val="000000"/>
                <w:szCs w:val="22"/>
                <w:lang w:eastAsia="cs-CZ"/>
              </w:rPr>
            </w:pPr>
            <w:r>
              <w:rPr>
                <w:color w:val="000000"/>
                <w:szCs w:val="22"/>
                <w:lang w:eastAsia="cs-CZ"/>
              </w:rPr>
              <w:t>xxx</w:t>
            </w:r>
          </w:p>
        </w:tc>
        <w:tc>
          <w:tcPr>
            <w:tcW w:w="3544" w:type="dxa"/>
            <w:shd w:val="clear" w:color="auto" w:fill="auto"/>
            <w:vAlign w:val="center"/>
          </w:tcPr>
          <w:p w14:paraId="6C0917EB" w14:textId="77777777" w:rsidR="00A165A2" w:rsidRDefault="00A165A2">
            <w:pPr>
              <w:ind w:right="72"/>
              <w:rPr>
                <w:color w:val="000000"/>
                <w:szCs w:val="22"/>
                <w:lang w:eastAsia="cs-CZ"/>
              </w:rPr>
            </w:pPr>
          </w:p>
        </w:tc>
      </w:tr>
    </w:tbl>
    <w:p w14:paraId="518DD596" w14:textId="77777777" w:rsidR="00A165A2" w:rsidRDefault="00A165A2">
      <w:pPr>
        <w:rPr>
          <w:szCs w:val="22"/>
        </w:rPr>
      </w:pPr>
    </w:p>
    <w:p w14:paraId="4947B7CE" w14:textId="77777777" w:rsidR="00A165A2" w:rsidRDefault="004B3987">
      <w:pPr>
        <w:rPr>
          <w:b/>
          <w:caps/>
          <w:szCs w:val="22"/>
        </w:rPr>
      </w:pPr>
      <w:r>
        <w:rPr>
          <w:b/>
          <w:caps/>
          <w:szCs w:val="22"/>
        </w:rPr>
        <w:br w:type="page"/>
      </w:r>
    </w:p>
    <w:p w14:paraId="5F632B48" w14:textId="77777777" w:rsidR="00A165A2" w:rsidRDefault="00A165A2">
      <w:pPr>
        <w:rPr>
          <w:b/>
          <w:caps/>
          <w:szCs w:val="22"/>
        </w:rPr>
        <w:sectPr w:rsidR="00A165A2">
          <w:footerReference w:type="default" r:id="rId18"/>
          <w:pgSz w:w="11906" w:h="16838"/>
          <w:pgMar w:top="1560" w:right="1418" w:bottom="1134" w:left="992" w:header="567" w:footer="567" w:gutter="0"/>
          <w:pgNumType w:start="1"/>
          <w:cols w:space="708"/>
          <w:docGrid w:linePitch="360"/>
        </w:sectPr>
      </w:pPr>
    </w:p>
    <w:p w14:paraId="7A805400" w14:textId="77777777" w:rsidR="00A165A2" w:rsidRDefault="004B3987">
      <w:pPr>
        <w:rPr>
          <w:b/>
          <w:caps/>
          <w:szCs w:val="22"/>
        </w:rPr>
      </w:pPr>
      <w:r>
        <w:rPr>
          <w:b/>
          <w:caps/>
          <w:szCs w:val="22"/>
        </w:rPr>
        <w:lastRenderedPageBreak/>
        <w:t xml:space="preserve">C – Schválení realizace požadavku </w:t>
      </w:r>
      <w:r>
        <w:rPr>
          <w:b/>
          <w:sz w:val="36"/>
          <w:szCs w:val="36"/>
        </w:rPr>
        <w:t>Z36810</w:t>
      </w:r>
    </w:p>
    <w:p w14:paraId="282384F4" w14:textId="77777777" w:rsidR="00A165A2" w:rsidRDefault="00A165A2">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165A2" w14:paraId="5444FC88" w14:textId="77777777">
        <w:tc>
          <w:tcPr>
            <w:tcW w:w="1701" w:type="dxa"/>
            <w:tcBorders>
              <w:top w:val="single" w:sz="8" w:space="0" w:color="auto"/>
              <w:left w:val="single" w:sz="8" w:space="0" w:color="auto"/>
              <w:bottom w:val="single" w:sz="8" w:space="0" w:color="auto"/>
            </w:tcBorders>
            <w:vAlign w:val="center"/>
          </w:tcPr>
          <w:p w14:paraId="75B04F57" w14:textId="77777777" w:rsidR="00A165A2" w:rsidRDefault="004B398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7E0C07C" w14:textId="77777777" w:rsidR="00A165A2" w:rsidRDefault="004B3987">
            <w:pPr>
              <w:pStyle w:val="Tabulka"/>
              <w:rPr>
                <w:szCs w:val="22"/>
              </w:rPr>
            </w:pPr>
            <w:r>
              <w:rPr>
                <w:szCs w:val="22"/>
              </w:rPr>
              <w:t>744</w:t>
            </w:r>
          </w:p>
        </w:tc>
      </w:tr>
    </w:tbl>
    <w:p w14:paraId="7598E30A" w14:textId="77777777" w:rsidR="00A165A2" w:rsidRDefault="00A165A2">
      <w:pPr>
        <w:rPr>
          <w:szCs w:val="22"/>
        </w:rPr>
      </w:pPr>
    </w:p>
    <w:p w14:paraId="054AFD95" w14:textId="77777777" w:rsidR="00A165A2" w:rsidRDefault="004B3987">
      <w:pPr>
        <w:pStyle w:val="Nadpis1"/>
        <w:numPr>
          <w:ilvl w:val="0"/>
          <w:numId w:val="18"/>
        </w:numPr>
        <w:ind w:left="284" w:hanging="284"/>
        <w:rPr>
          <w:szCs w:val="22"/>
        </w:rPr>
      </w:pPr>
      <w:r>
        <w:rPr>
          <w:szCs w:val="22"/>
        </w:rPr>
        <w:t>Specifikace plnění</w:t>
      </w:r>
    </w:p>
    <w:p w14:paraId="28EEF5DA" w14:textId="77777777" w:rsidR="00A165A2" w:rsidRDefault="004B3987">
      <w:pPr>
        <w:spacing w:after="120"/>
      </w:pPr>
      <w:r>
        <w:t xml:space="preserve">Požadované plnění je specifikováno v části A a B tohoto RfC. </w:t>
      </w:r>
    </w:p>
    <w:p w14:paraId="725A72ED" w14:textId="77777777" w:rsidR="00A165A2" w:rsidRDefault="004B398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165A2" w14:paraId="1F33DF1C"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2F7D9EC" w14:textId="77777777" w:rsidR="00A165A2" w:rsidRDefault="004B398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6FF4E5" w14:textId="77777777" w:rsidR="00A165A2" w:rsidRDefault="004B398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712DDF0" w14:textId="77777777" w:rsidR="00A165A2" w:rsidRDefault="004B3987">
            <w:pPr>
              <w:rPr>
                <w:rFonts w:ascii="Arial Narrow" w:hAnsi="Arial Narrow"/>
                <w:b/>
                <w:bCs/>
                <w:color w:val="000000"/>
                <w:szCs w:val="22"/>
                <w:lang w:eastAsia="cs-CZ"/>
              </w:rPr>
            </w:pPr>
            <w:r>
              <w:rPr>
                <w:rFonts w:ascii="Arial Narrow" w:hAnsi="Arial Narrow"/>
                <w:b/>
                <w:bCs/>
                <w:color w:val="000000"/>
                <w:szCs w:val="22"/>
                <w:lang w:eastAsia="cs-CZ"/>
              </w:rPr>
              <w:t>Realizovat</w:t>
            </w:r>
          </w:p>
          <w:p w14:paraId="59D93DD7" w14:textId="77777777" w:rsidR="00A165A2" w:rsidRDefault="004B398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E265265" w14:textId="77777777" w:rsidR="00A165A2" w:rsidRDefault="004B398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165A2" w14:paraId="082D319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402F6BC"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0C061AA" w14:textId="77777777" w:rsidR="00A165A2" w:rsidRDefault="004B398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F6F88A8"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4DA5CF6" w14:textId="77777777" w:rsidR="00A165A2" w:rsidRDefault="004B3987">
            <w:pPr>
              <w:rPr>
                <w:color w:val="000000"/>
                <w:szCs w:val="22"/>
                <w:lang w:eastAsia="cs-CZ"/>
              </w:rPr>
            </w:pPr>
            <w:r>
              <w:rPr>
                <w:color w:val="000000"/>
                <w:szCs w:val="22"/>
                <w:lang w:eastAsia="cs-CZ"/>
              </w:rPr>
              <w:t>Bez dopadu</w:t>
            </w:r>
          </w:p>
        </w:tc>
      </w:tr>
      <w:tr w:rsidR="00A165A2" w14:paraId="44B8A71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D46118"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69DBD7F" w14:textId="77777777" w:rsidR="00A165A2" w:rsidRDefault="004B398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7B7A91"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819E6D0" w14:textId="77777777" w:rsidR="00A165A2" w:rsidRDefault="004B3987">
            <w:pPr>
              <w:rPr>
                <w:color w:val="000000"/>
                <w:szCs w:val="22"/>
                <w:lang w:eastAsia="cs-CZ"/>
              </w:rPr>
            </w:pPr>
            <w:r>
              <w:rPr>
                <w:color w:val="000000"/>
                <w:szCs w:val="22"/>
                <w:lang w:eastAsia="cs-CZ"/>
              </w:rPr>
              <w:t>Bez dopadu</w:t>
            </w:r>
          </w:p>
        </w:tc>
      </w:tr>
      <w:tr w:rsidR="00A165A2" w14:paraId="408CCB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EFA613"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C31CFD" w14:textId="77777777" w:rsidR="00A165A2" w:rsidRDefault="004B398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3BF9F1"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5F058D6" w14:textId="77777777" w:rsidR="00A165A2" w:rsidRDefault="004B3987">
            <w:pPr>
              <w:rPr>
                <w:color w:val="000000"/>
                <w:szCs w:val="22"/>
                <w:lang w:eastAsia="cs-CZ"/>
              </w:rPr>
            </w:pPr>
            <w:r>
              <w:rPr>
                <w:color w:val="000000"/>
                <w:szCs w:val="22"/>
                <w:lang w:eastAsia="cs-CZ"/>
              </w:rPr>
              <w:t>Bez dopadu</w:t>
            </w:r>
          </w:p>
        </w:tc>
      </w:tr>
      <w:tr w:rsidR="00A165A2" w14:paraId="1A715F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7185EC"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2BB4A2" w14:textId="77777777" w:rsidR="00A165A2" w:rsidRDefault="004B398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BD751C"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C4266DE" w14:textId="77777777" w:rsidR="00A165A2" w:rsidRDefault="004B3987">
            <w:pPr>
              <w:rPr>
                <w:color w:val="000000"/>
                <w:szCs w:val="22"/>
                <w:lang w:eastAsia="cs-CZ"/>
              </w:rPr>
            </w:pPr>
            <w:r>
              <w:rPr>
                <w:color w:val="000000"/>
                <w:szCs w:val="22"/>
                <w:lang w:eastAsia="cs-CZ"/>
              </w:rPr>
              <w:t>Bez dopadu</w:t>
            </w:r>
          </w:p>
        </w:tc>
      </w:tr>
      <w:tr w:rsidR="00A165A2" w14:paraId="55D306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6CF0F6"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64BD53" w14:textId="77777777" w:rsidR="00A165A2" w:rsidRDefault="004B398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BFD639"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189FD9B" w14:textId="77777777" w:rsidR="00A165A2" w:rsidRDefault="004B3987">
            <w:pPr>
              <w:rPr>
                <w:color w:val="000000"/>
                <w:szCs w:val="22"/>
                <w:lang w:eastAsia="cs-CZ"/>
              </w:rPr>
            </w:pPr>
            <w:r>
              <w:rPr>
                <w:color w:val="000000"/>
                <w:szCs w:val="22"/>
                <w:lang w:eastAsia="cs-CZ"/>
              </w:rPr>
              <w:t>Bez dopadu</w:t>
            </w:r>
          </w:p>
        </w:tc>
      </w:tr>
      <w:tr w:rsidR="00A165A2" w14:paraId="00C8F3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A51CC7"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4DB43E" w14:textId="77777777" w:rsidR="00A165A2" w:rsidRDefault="004B398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087FF8"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92237F2" w14:textId="77777777" w:rsidR="00A165A2" w:rsidRDefault="004B3987">
            <w:pPr>
              <w:rPr>
                <w:color w:val="000000"/>
                <w:szCs w:val="22"/>
                <w:lang w:eastAsia="cs-CZ"/>
              </w:rPr>
            </w:pPr>
            <w:r>
              <w:rPr>
                <w:color w:val="000000"/>
                <w:szCs w:val="22"/>
                <w:lang w:eastAsia="cs-CZ"/>
              </w:rPr>
              <w:t>Bez dopadu</w:t>
            </w:r>
          </w:p>
        </w:tc>
      </w:tr>
      <w:tr w:rsidR="00A165A2" w14:paraId="0971B2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2476B5"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EAD44C" w14:textId="77777777" w:rsidR="00A165A2" w:rsidRDefault="004B398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DF450B"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068A43E" w14:textId="77777777" w:rsidR="00A165A2" w:rsidRDefault="004B3987">
            <w:pPr>
              <w:rPr>
                <w:color w:val="000000"/>
                <w:szCs w:val="22"/>
                <w:lang w:eastAsia="cs-CZ"/>
              </w:rPr>
            </w:pPr>
            <w:r>
              <w:rPr>
                <w:color w:val="000000"/>
                <w:szCs w:val="22"/>
                <w:lang w:eastAsia="cs-CZ"/>
              </w:rPr>
              <w:t>Bez dopadu</w:t>
            </w:r>
          </w:p>
        </w:tc>
      </w:tr>
      <w:tr w:rsidR="00A165A2" w14:paraId="49AFFAF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C92451"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833813" w14:textId="77777777" w:rsidR="00A165A2" w:rsidRDefault="004B398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0B2C63"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CB292A0" w14:textId="77777777" w:rsidR="00A165A2" w:rsidRDefault="004B3987">
            <w:pPr>
              <w:rPr>
                <w:color w:val="000000"/>
                <w:szCs w:val="22"/>
                <w:lang w:eastAsia="cs-CZ"/>
              </w:rPr>
            </w:pPr>
            <w:r>
              <w:rPr>
                <w:color w:val="000000"/>
                <w:szCs w:val="22"/>
                <w:lang w:eastAsia="cs-CZ"/>
              </w:rPr>
              <w:t>Bez dopadu</w:t>
            </w:r>
          </w:p>
        </w:tc>
      </w:tr>
      <w:tr w:rsidR="00A165A2" w14:paraId="43A6FB7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3B8C5A"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84427F" w14:textId="77777777" w:rsidR="00A165A2" w:rsidRDefault="004B398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F7C7E5"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2BC7A26" w14:textId="77777777" w:rsidR="00A165A2" w:rsidRDefault="004B3987">
            <w:pPr>
              <w:rPr>
                <w:color w:val="000000"/>
                <w:szCs w:val="22"/>
                <w:lang w:eastAsia="cs-CZ"/>
              </w:rPr>
            </w:pPr>
            <w:r>
              <w:rPr>
                <w:color w:val="000000"/>
                <w:szCs w:val="22"/>
                <w:lang w:eastAsia="cs-CZ"/>
              </w:rPr>
              <w:t>Bez dopadu</w:t>
            </w:r>
          </w:p>
        </w:tc>
      </w:tr>
      <w:tr w:rsidR="00A165A2" w14:paraId="2A5F2F0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09E137"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11E4C8" w14:textId="77777777" w:rsidR="00A165A2" w:rsidRDefault="004B398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829269"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F37CA78" w14:textId="77777777" w:rsidR="00A165A2" w:rsidRDefault="004B3987">
            <w:pPr>
              <w:rPr>
                <w:color w:val="000000"/>
                <w:szCs w:val="22"/>
                <w:lang w:eastAsia="cs-CZ"/>
              </w:rPr>
            </w:pPr>
            <w:r>
              <w:rPr>
                <w:color w:val="000000"/>
                <w:szCs w:val="22"/>
                <w:lang w:eastAsia="cs-CZ"/>
              </w:rPr>
              <w:t>Bez dopadu</w:t>
            </w:r>
          </w:p>
        </w:tc>
      </w:tr>
      <w:tr w:rsidR="00A165A2" w14:paraId="33EC85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9C7D7C"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86B246" w14:textId="77777777" w:rsidR="00A165A2" w:rsidRDefault="004B398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71F210"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E5FFFFE" w14:textId="77777777" w:rsidR="00A165A2" w:rsidRDefault="004B3987">
            <w:pPr>
              <w:rPr>
                <w:color w:val="000000"/>
                <w:szCs w:val="22"/>
                <w:lang w:eastAsia="cs-CZ"/>
              </w:rPr>
            </w:pPr>
            <w:r>
              <w:rPr>
                <w:color w:val="000000"/>
                <w:szCs w:val="22"/>
                <w:lang w:eastAsia="cs-CZ"/>
              </w:rPr>
              <w:t>Bez dopadu</w:t>
            </w:r>
          </w:p>
        </w:tc>
      </w:tr>
      <w:tr w:rsidR="00A165A2" w14:paraId="353306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C09C4A"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388F45" w14:textId="77777777" w:rsidR="00A165A2" w:rsidRDefault="004B398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DD3E18"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DA3EFCB" w14:textId="77777777" w:rsidR="00A165A2" w:rsidRDefault="004B3987">
            <w:pPr>
              <w:rPr>
                <w:color w:val="000000"/>
                <w:szCs w:val="22"/>
                <w:lang w:eastAsia="cs-CZ"/>
              </w:rPr>
            </w:pPr>
            <w:r>
              <w:rPr>
                <w:color w:val="000000"/>
                <w:szCs w:val="22"/>
                <w:lang w:eastAsia="cs-CZ"/>
              </w:rPr>
              <w:t>Bez dopadu</w:t>
            </w:r>
          </w:p>
        </w:tc>
      </w:tr>
      <w:tr w:rsidR="00A165A2" w14:paraId="2252E8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96E2F3" w14:textId="77777777" w:rsidR="00A165A2" w:rsidRDefault="00A165A2">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8D26AC" w14:textId="77777777" w:rsidR="00A165A2" w:rsidRDefault="004B398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115647" w14:textId="77777777" w:rsidR="00A165A2" w:rsidRDefault="004B39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2278CD6" w14:textId="77777777" w:rsidR="00A165A2" w:rsidRDefault="004B3987">
            <w:pPr>
              <w:rPr>
                <w:color w:val="000000"/>
                <w:szCs w:val="22"/>
                <w:lang w:eastAsia="cs-CZ"/>
              </w:rPr>
            </w:pPr>
            <w:r>
              <w:rPr>
                <w:color w:val="000000"/>
                <w:szCs w:val="22"/>
                <w:lang w:eastAsia="cs-CZ"/>
              </w:rPr>
              <w:t>Bez dopadu</w:t>
            </w:r>
          </w:p>
        </w:tc>
      </w:tr>
    </w:tbl>
    <w:p w14:paraId="61A62850" w14:textId="77777777" w:rsidR="00A165A2" w:rsidRDefault="00A165A2"/>
    <w:p w14:paraId="3E655F34" w14:textId="77777777" w:rsidR="00A165A2" w:rsidRDefault="004B3987">
      <w:pPr>
        <w:pStyle w:val="Nadpis1"/>
        <w:numPr>
          <w:ilvl w:val="0"/>
          <w:numId w:val="18"/>
        </w:numPr>
        <w:ind w:left="284" w:hanging="284"/>
        <w:rPr>
          <w:szCs w:val="22"/>
        </w:rPr>
      </w:pPr>
      <w:r>
        <w:rPr>
          <w:szCs w:val="22"/>
        </w:rPr>
        <w:t>Uživatelské a licenční zajištění pro Objednatele (je-li relevantní):</w:t>
      </w:r>
    </w:p>
    <w:p w14:paraId="52021512" w14:textId="77777777" w:rsidR="00A165A2" w:rsidRDefault="00A165A2"/>
    <w:p w14:paraId="34EF42CF" w14:textId="77777777" w:rsidR="00A165A2" w:rsidRDefault="004B3987">
      <w:pPr>
        <w:pStyle w:val="Nadpis1"/>
        <w:numPr>
          <w:ilvl w:val="0"/>
          <w:numId w:val="18"/>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165A2" w14:paraId="6F2AFD92"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E2CEEC" w14:textId="77777777" w:rsidR="00A165A2" w:rsidRDefault="004B398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917C3" w14:textId="77777777" w:rsidR="00A165A2" w:rsidRDefault="004B398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C81807C" w14:textId="77777777" w:rsidR="00A165A2" w:rsidRDefault="004B3987">
            <w:pPr>
              <w:rPr>
                <w:b/>
                <w:bCs/>
                <w:color w:val="000000"/>
                <w:szCs w:val="22"/>
                <w:lang w:eastAsia="cs-CZ"/>
              </w:rPr>
            </w:pPr>
            <w:r>
              <w:rPr>
                <w:b/>
                <w:bCs/>
                <w:color w:val="000000"/>
                <w:szCs w:val="22"/>
                <w:lang w:eastAsia="cs-CZ"/>
              </w:rPr>
              <w:t>Odpovědná osoba</w:t>
            </w:r>
          </w:p>
        </w:tc>
      </w:tr>
      <w:tr w:rsidR="00A165A2" w14:paraId="2E106321" w14:textId="77777777">
        <w:trPr>
          <w:trHeight w:val="284"/>
        </w:trPr>
        <w:tc>
          <w:tcPr>
            <w:tcW w:w="1843" w:type="dxa"/>
            <w:tcBorders>
              <w:right w:val="dotted" w:sz="4" w:space="0" w:color="auto"/>
            </w:tcBorders>
            <w:shd w:val="clear" w:color="auto" w:fill="auto"/>
            <w:noWrap/>
            <w:vAlign w:val="bottom"/>
          </w:tcPr>
          <w:p w14:paraId="5F4EB2CA" w14:textId="77777777" w:rsidR="00A165A2" w:rsidRDefault="004B3987">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692DC6D2" w14:textId="77777777" w:rsidR="00A165A2" w:rsidRDefault="004B3987">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C316585" w14:textId="77777777" w:rsidR="00A165A2" w:rsidRDefault="004B3987">
            <w:pPr>
              <w:rPr>
                <w:color w:val="000000"/>
                <w:szCs w:val="22"/>
                <w:lang w:eastAsia="cs-CZ"/>
              </w:rPr>
            </w:pPr>
            <w:r>
              <w:rPr>
                <w:color w:val="000000"/>
                <w:szCs w:val="22"/>
                <w:lang w:eastAsia="cs-CZ"/>
              </w:rPr>
              <w:t>žadatelé</w:t>
            </w:r>
          </w:p>
        </w:tc>
      </w:tr>
      <w:tr w:rsidR="00A165A2" w14:paraId="38CEF9DF" w14:textId="77777777">
        <w:trPr>
          <w:trHeight w:val="284"/>
        </w:trPr>
        <w:tc>
          <w:tcPr>
            <w:tcW w:w="1843" w:type="dxa"/>
            <w:tcBorders>
              <w:right w:val="dotted" w:sz="4" w:space="0" w:color="auto"/>
            </w:tcBorders>
            <w:shd w:val="clear" w:color="auto" w:fill="auto"/>
            <w:noWrap/>
            <w:vAlign w:val="bottom"/>
          </w:tcPr>
          <w:p w14:paraId="45B7AB3A" w14:textId="77777777" w:rsidR="00A165A2" w:rsidRDefault="00A165A2">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230996D" w14:textId="77777777" w:rsidR="00A165A2" w:rsidRDefault="00A165A2">
            <w:pPr>
              <w:rPr>
                <w:color w:val="000000"/>
                <w:szCs w:val="22"/>
                <w:lang w:eastAsia="cs-CZ"/>
              </w:rPr>
            </w:pPr>
          </w:p>
        </w:tc>
        <w:tc>
          <w:tcPr>
            <w:tcW w:w="2268" w:type="dxa"/>
            <w:tcBorders>
              <w:left w:val="dotted" w:sz="4" w:space="0" w:color="auto"/>
            </w:tcBorders>
            <w:shd w:val="clear" w:color="auto" w:fill="auto"/>
            <w:vAlign w:val="bottom"/>
          </w:tcPr>
          <w:p w14:paraId="0D7ABDC5" w14:textId="77777777" w:rsidR="00A165A2" w:rsidRDefault="00A165A2">
            <w:pPr>
              <w:rPr>
                <w:color w:val="000000"/>
                <w:szCs w:val="22"/>
                <w:lang w:eastAsia="cs-CZ"/>
              </w:rPr>
            </w:pPr>
          </w:p>
        </w:tc>
      </w:tr>
    </w:tbl>
    <w:p w14:paraId="7754A88A" w14:textId="77777777" w:rsidR="00A165A2" w:rsidRDefault="004B398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5D2AFBF" w14:textId="77777777" w:rsidR="00A165A2" w:rsidRDefault="00A165A2"/>
    <w:p w14:paraId="7EACDE5E" w14:textId="77777777" w:rsidR="00A165A2" w:rsidRDefault="00A165A2"/>
    <w:p w14:paraId="48DBADE4" w14:textId="77777777" w:rsidR="00A165A2" w:rsidRDefault="00A165A2"/>
    <w:p w14:paraId="2EAAD37A" w14:textId="77777777" w:rsidR="00A165A2" w:rsidRDefault="00A165A2"/>
    <w:p w14:paraId="6A7FCC61" w14:textId="77777777" w:rsidR="00A165A2" w:rsidRDefault="00A165A2"/>
    <w:p w14:paraId="43D09601" w14:textId="77777777" w:rsidR="00A165A2" w:rsidRDefault="00A165A2"/>
    <w:p w14:paraId="34178C5D" w14:textId="77777777" w:rsidR="00A165A2" w:rsidRDefault="00A165A2"/>
    <w:p w14:paraId="0670AA20" w14:textId="77777777" w:rsidR="00A165A2" w:rsidRDefault="00A165A2"/>
    <w:p w14:paraId="2B3B350A" w14:textId="77777777" w:rsidR="00A165A2" w:rsidRDefault="00A165A2"/>
    <w:p w14:paraId="196E88F1" w14:textId="77777777" w:rsidR="00A165A2" w:rsidRDefault="004B3987">
      <w:pPr>
        <w:pStyle w:val="Nadpis1"/>
        <w:numPr>
          <w:ilvl w:val="0"/>
          <w:numId w:val="18"/>
        </w:numPr>
        <w:ind w:left="284" w:hanging="284"/>
        <w:rPr>
          <w:szCs w:val="22"/>
        </w:rPr>
      </w:pPr>
      <w:r>
        <w:rPr>
          <w:szCs w:val="22"/>
        </w:rPr>
        <w:lastRenderedPageBreak/>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A165A2" w14:paraId="37FE7884"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8843E4" w14:textId="77777777" w:rsidR="00A165A2" w:rsidRDefault="004B398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6A16076" w14:textId="77777777" w:rsidR="00A165A2" w:rsidRDefault="004B3987">
            <w:pPr>
              <w:rPr>
                <w:b/>
                <w:bCs/>
                <w:color w:val="000000"/>
                <w:szCs w:val="22"/>
                <w:lang w:eastAsia="cs-CZ"/>
              </w:rPr>
            </w:pPr>
            <w:r>
              <w:rPr>
                <w:b/>
                <w:bCs/>
                <w:color w:val="000000"/>
                <w:szCs w:val="22"/>
                <w:lang w:eastAsia="cs-CZ"/>
              </w:rPr>
              <w:t>Termín</w:t>
            </w:r>
          </w:p>
        </w:tc>
      </w:tr>
      <w:tr w:rsidR="00A165A2" w14:paraId="3107C9EC" w14:textId="77777777">
        <w:trPr>
          <w:trHeight w:val="284"/>
        </w:trPr>
        <w:tc>
          <w:tcPr>
            <w:tcW w:w="7513" w:type="dxa"/>
            <w:tcBorders>
              <w:top w:val="single" w:sz="8" w:space="0" w:color="auto"/>
              <w:right w:val="dotted" w:sz="4" w:space="0" w:color="auto"/>
            </w:tcBorders>
            <w:shd w:val="clear" w:color="auto" w:fill="auto"/>
            <w:noWrap/>
            <w:vAlign w:val="bottom"/>
          </w:tcPr>
          <w:p w14:paraId="38623E24" w14:textId="77777777" w:rsidR="00A165A2" w:rsidRDefault="004B398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2BF6AAEB" w14:textId="77777777" w:rsidR="00A165A2" w:rsidRDefault="004B3987">
            <w:pPr>
              <w:rPr>
                <w:color w:val="000000"/>
                <w:szCs w:val="22"/>
                <w:lang w:eastAsia="cs-CZ"/>
              </w:rPr>
            </w:pPr>
            <w:r>
              <w:rPr>
                <w:color w:val="000000"/>
                <w:szCs w:val="22"/>
                <w:lang w:eastAsia="cs-CZ"/>
              </w:rPr>
              <w:t>Po objednání</w:t>
            </w:r>
          </w:p>
        </w:tc>
      </w:tr>
      <w:tr w:rsidR="00A165A2" w14:paraId="6CE1B282" w14:textId="77777777">
        <w:trPr>
          <w:trHeight w:val="284"/>
        </w:trPr>
        <w:tc>
          <w:tcPr>
            <w:tcW w:w="7513" w:type="dxa"/>
            <w:tcBorders>
              <w:right w:val="dotted" w:sz="4" w:space="0" w:color="auto"/>
            </w:tcBorders>
            <w:shd w:val="clear" w:color="auto" w:fill="auto"/>
            <w:noWrap/>
            <w:vAlign w:val="bottom"/>
          </w:tcPr>
          <w:p w14:paraId="12DA2054" w14:textId="77777777" w:rsidR="00A165A2" w:rsidRDefault="00A165A2">
            <w:pPr>
              <w:rPr>
                <w:color w:val="000000"/>
                <w:szCs w:val="22"/>
                <w:lang w:eastAsia="cs-CZ"/>
              </w:rPr>
            </w:pPr>
          </w:p>
        </w:tc>
        <w:tc>
          <w:tcPr>
            <w:tcW w:w="2268" w:type="dxa"/>
            <w:tcBorders>
              <w:left w:val="dotted" w:sz="4" w:space="0" w:color="auto"/>
            </w:tcBorders>
            <w:shd w:val="clear" w:color="auto" w:fill="auto"/>
            <w:vAlign w:val="bottom"/>
          </w:tcPr>
          <w:p w14:paraId="5516F5D4" w14:textId="77777777" w:rsidR="00A165A2" w:rsidRDefault="00A165A2">
            <w:pPr>
              <w:rPr>
                <w:color w:val="000000"/>
                <w:szCs w:val="22"/>
                <w:lang w:eastAsia="cs-CZ"/>
              </w:rPr>
            </w:pPr>
          </w:p>
        </w:tc>
      </w:tr>
      <w:tr w:rsidR="00A165A2" w14:paraId="7636553C" w14:textId="77777777">
        <w:trPr>
          <w:trHeight w:val="284"/>
        </w:trPr>
        <w:tc>
          <w:tcPr>
            <w:tcW w:w="7513" w:type="dxa"/>
            <w:tcBorders>
              <w:right w:val="dotted" w:sz="4" w:space="0" w:color="auto"/>
            </w:tcBorders>
            <w:shd w:val="clear" w:color="auto" w:fill="auto"/>
            <w:noWrap/>
            <w:vAlign w:val="bottom"/>
          </w:tcPr>
          <w:p w14:paraId="298A2608" w14:textId="77777777" w:rsidR="00A165A2" w:rsidRDefault="004B3987">
            <w:pPr>
              <w:rPr>
                <w:color w:val="000000"/>
                <w:szCs w:val="22"/>
                <w:lang w:eastAsia="cs-CZ"/>
              </w:rPr>
            </w:pPr>
            <w:r>
              <w:rPr>
                <w:color w:val="000000"/>
                <w:szCs w:val="22"/>
                <w:lang w:eastAsia="cs-CZ"/>
              </w:rPr>
              <w:t>Dokončení plnění, akceptace</w:t>
            </w:r>
          </w:p>
        </w:tc>
        <w:tc>
          <w:tcPr>
            <w:tcW w:w="2268" w:type="dxa"/>
            <w:tcBorders>
              <w:left w:val="dotted" w:sz="4" w:space="0" w:color="auto"/>
            </w:tcBorders>
            <w:shd w:val="clear" w:color="auto" w:fill="auto"/>
            <w:vAlign w:val="bottom"/>
          </w:tcPr>
          <w:p w14:paraId="33E1BDAD" w14:textId="77777777" w:rsidR="00A165A2" w:rsidRDefault="004B3987">
            <w:pPr>
              <w:rPr>
                <w:color w:val="000000"/>
                <w:szCs w:val="22"/>
                <w:lang w:eastAsia="cs-CZ"/>
              </w:rPr>
            </w:pPr>
            <w:r>
              <w:rPr>
                <w:color w:val="000000"/>
                <w:szCs w:val="22"/>
                <w:lang w:eastAsia="cs-CZ"/>
              </w:rPr>
              <w:t>30.9.2023</w:t>
            </w:r>
          </w:p>
        </w:tc>
      </w:tr>
    </w:tbl>
    <w:p w14:paraId="1D70D244" w14:textId="77777777" w:rsidR="00A165A2" w:rsidRDefault="004B3987">
      <w:pPr>
        <w:pStyle w:val="RLlneksmlouvy"/>
        <w:numPr>
          <w:ilvl w:val="0"/>
          <w:numId w:val="0"/>
        </w:numPr>
        <w:spacing w:before="120" w:after="60"/>
        <w:ind w:left="425"/>
        <w:rPr>
          <w:rFonts w:cs="Arial"/>
          <w:b w:val="0"/>
        </w:rPr>
      </w:pPr>
      <w:bookmarkStart w:id="2" w:name="_Ref31623420"/>
      <w:r>
        <w:rPr>
          <w:rFonts w:cs="Arial"/>
          <w:b w:val="0"/>
        </w:rPr>
        <w:t xml:space="preserve">*Ke smlouvě S2019-0043 probíhá příprava dodatku č.1, který prodlouží platnost poskytování ad-hoc služeb min. do 31.12.2023 a toto PZ 744 bude zahrnuto do výše uvedeného dodatku č.1, čímž bude prodloužen termín realizace/akceptace PZ 744 do termínu uvedeném v části B. </w:t>
      </w:r>
    </w:p>
    <w:p w14:paraId="0C3F2ABC" w14:textId="77777777" w:rsidR="00A165A2" w:rsidRDefault="00A165A2">
      <w:pPr>
        <w:pStyle w:val="Nadpis1"/>
        <w:ind w:left="284" w:firstLine="0"/>
        <w:rPr>
          <w:szCs w:val="22"/>
        </w:rPr>
      </w:pPr>
    </w:p>
    <w:p w14:paraId="6E573254" w14:textId="77777777" w:rsidR="00A165A2" w:rsidRDefault="004B3987">
      <w:pPr>
        <w:pStyle w:val="Nadpis1"/>
        <w:numPr>
          <w:ilvl w:val="0"/>
          <w:numId w:val="18"/>
        </w:numPr>
        <w:ind w:left="284" w:hanging="284"/>
        <w:rPr>
          <w:szCs w:val="22"/>
        </w:rPr>
      </w:pPr>
      <w:r>
        <w:rPr>
          <w:szCs w:val="22"/>
        </w:rPr>
        <w:t>Pracnost a cenová nabídka navrhovaného řešení</w:t>
      </w:r>
      <w:bookmarkEnd w:id="2"/>
    </w:p>
    <w:p w14:paraId="2232BE06" w14:textId="77777777" w:rsidR="00A165A2" w:rsidRDefault="004B398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A165A2" w14:paraId="7870978F" w14:textId="77777777">
        <w:tc>
          <w:tcPr>
            <w:tcW w:w="1843" w:type="dxa"/>
            <w:tcBorders>
              <w:top w:val="single" w:sz="8" w:space="0" w:color="auto"/>
              <w:left w:val="single" w:sz="8" w:space="0" w:color="auto"/>
              <w:bottom w:val="single" w:sz="8" w:space="0" w:color="auto"/>
              <w:right w:val="single" w:sz="8" w:space="0" w:color="auto"/>
            </w:tcBorders>
          </w:tcPr>
          <w:p w14:paraId="0FB0A940" w14:textId="77777777" w:rsidR="00A165A2" w:rsidRDefault="004B398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759B127" w14:textId="77777777" w:rsidR="00A165A2" w:rsidRDefault="004B398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6EDE1CA" w14:textId="77777777" w:rsidR="00A165A2" w:rsidRDefault="004B398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EFBB3D6" w14:textId="77777777" w:rsidR="00A165A2" w:rsidRDefault="004B398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92EEE16" w14:textId="77777777" w:rsidR="00A165A2" w:rsidRDefault="004B3987">
            <w:pPr>
              <w:pStyle w:val="Tabulka"/>
              <w:rPr>
                <w:b/>
                <w:szCs w:val="22"/>
              </w:rPr>
            </w:pPr>
            <w:r>
              <w:rPr>
                <w:b/>
                <w:szCs w:val="22"/>
              </w:rPr>
              <w:t>v Kč s DPH</w:t>
            </w:r>
          </w:p>
        </w:tc>
      </w:tr>
      <w:tr w:rsidR="00A165A2" w14:paraId="3E1A5E9D" w14:textId="77777777">
        <w:trPr>
          <w:trHeight w:hRule="exact" w:val="20"/>
        </w:trPr>
        <w:tc>
          <w:tcPr>
            <w:tcW w:w="1843" w:type="dxa"/>
            <w:tcBorders>
              <w:top w:val="single" w:sz="8" w:space="0" w:color="auto"/>
              <w:left w:val="dotted" w:sz="4" w:space="0" w:color="auto"/>
            </w:tcBorders>
          </w:tcPr>
          <w:p w14:paraId="1273336D" w14:textId="77777777" w:rsidR="00A165A2" w:rsidRDefault="00A165A2">
            <w:pPr>
              <w:pStyle w:val="Tabulka"/>
              <w:rPr>
                <w:szCs w:val="22"/>
              </w:rPr>
            </w:pPr>
          </w:p>
        </w:tc>
        <w:tc>
          <w:tcPr>
            <w:tcW w:w="3544" w:type="dxa"/>
            <w:tcBorders>
              <w:top w:val="single" w:sz="8" w:space="0" w:color="auto"/>
              <w:left w:val="dotted" w:sz="4" w:space="0" w:color="auto"/>
            </w:tcBorders>
          </w:tcPr>
          <w:p w14:paraId="6888946B" w14:textId="77777777" w:rsidR="00A165A2" w:rsidRDefault="00A165A2">
            <w:pPr>
              <w:pStyle w:val="Tabulka"/>
              <w:rPr>
                <w:szCs w:val="22"/>
              </w:rPr>
            </w:pPr>
          </w:p>
        </w:tc>
        <w:tc>
          <w:tcPr>
            <w:tcW w:w="1275" w:type="dxa"/>
            <w:tcBorders>
              <w:top w:val="single" w:sz="8" w:space="0" w:color="auto"/>
            </w:tcBorders>
          </w:tcPr>
          <w:p w14:paraId="5AB2B312" w14:textId="77777777" w:rsidR="00A165A2" w:rsidRDefault="00A165A2">
            <w:pPr>
              <w:pStyle w:val="Tabulka"/>
              <w:rPr>
                <w:szCs w:val="22"/>
              </w:rPr>
            </w:pPr>
          </w:p>
        </w:tc>
        <w:tc>
          <w:tcPr>
            <w:tcW w:w="1560" w:type="dxa"/>
            <w:tcBorders>
              <w:top w:val="single" w:sz="8" w:space="0" w:color="auto"/>
            </w:tcBorders>
          </w:tcPr>
          <w:p w14:paraId="148CB074" w14:textId="77777777" w:rsidR="00A165A2" w:rsidRDefault="00A165A2">
            <w:pPr>
              <w:pStyle w:val="Tabulka"/>
              <w:rPr>
                <w:szCs w:val="22"/>
              </w:rPr>
            </w:pPr>
          </w:p>
        </w:tc>
        <w:tc>
          <w:tcPr>
            <w:tcW w:w="1557" w:type="dxa"/>
            <w:tcBorders>
              <w:top w:val="single" w:sz="8" w:space="0" w:color="auto"/>
            </w:tcBorders>
          </w:tcPr>
          <w:p w14:paraId="745A0FBB" w14:textId="77777777" w:rsidR="00A165A2" w:rsidRDefault="00A165A2">
            <w:pPr>
              <w:pStyle w:val="Tabulka"/>
              <w:rPr>
                <w:szCs w:val="22"/>
              </w:rPr>
            </w:pPr>
          </w:p>
        </w:tc>
      </w:tr>
      <w:tr w:rsidR="00A165A2" w14:paraId="27B8D8E5" w14:textId="77777777">
        <w:trPr>
          <w:trHeight w:val="397"/>
        </w:trPr>
        <w:tc>
          <w:tcPr>
            <w:tcW w:w="1843" w:type="dxa"/>
            <w:tcBorders>
              <w:top w:val="dotted" w:sz="4" w:space="0" w:color="auto"/>
              <w:left w:val="dotted" w:sz="4" w:space="0" w:color="auto"/>
            </w:tcBorders>
          </w:tcPr>
          <w:p w14:paraId="14AC733F" w14:textId="77777777" w:rsidR="00A165A2" w:rsidRDefault="00A165A2">
            <w:pPr>
              <w:pStyle w:val="Tabulka"/>
              <w:rPr>
                <w:szCs w:val="22"/>
              </w:rPr>
            </w:pPr>
          </w:p>
        </w:tc>
        <w:tc>
          <w:tcPr>
            <w:tcW w:w="3544" w:type="dxa"/>
            <w:tcBorders>
              <w:top w:val="dotted" w:sz="4" w:space="0" w:color="auto"/>
              <w:left w:val="dotted" w:sz="4" w:space="0" w:color="auto"/>
            </w:tcBorders>
          </w:tcPr>
          <w:p w14:paraId="36CDF2EE" w14:textId="77777777" w:rsidR="00A165A2" w:rsidRDefault="004B3987">
            <w:pPr>
              <w:pStyle w:val="Tabulka"/>
              <w:rPr>
                <w:szCs w:val="22"/>
              </w:rPr>
            </w:pPr>
            <w:r>
              <w:rPr>
                <w:szCs w:val="22"/>
              </w:rPr>
              <w:t>Viz cenová nabídka v příloze č.01</w:t>
            </w:r>
          </w:p>
        </w:tc>
        <w:tc>
          <w:tcPr>
            <w:tcW w:w="1275" w:type="dxa"/>
            <w:tcBorders>
              <w:top w:val="dotted" w:sz="4" w:space="0" w:color="auto"/>
            </w:tcBorders>
          </w:tcPr>
          <w:p w14:paraId="15ED7366" w14:textId="77777777" w:rsidR="00A165A2" w:rsidRDefault="004B3987">
            <w:pPr>
              <w:pStyle w:val="Tabulka"/>
              <w:jc w:val="center"/>
              <w:rPr>
                <w:szCs w:val="22"/>
              </w:rPr>
            </w:pPr>
            <w:r>
              <w:rPr>
                <w:szCs w:val="22"/>
              </w:rPr>
              <w:t>84,500</w:t>
            </w:r>
          </w:p>
        </w:tc>
        <w:tc>
          <w:tcPr>
            <w:tcW w:w="1560" w:type="dxa"/>
            <w:tcBorders>
              <w:top w:val="dotted" w:sz="4" w:space="0" w:color="auto"/>
            </w:tcBorders>
          </w:tcPr>
          <w:p w14:paraId="5170C8D9" w14:textId="77777777" w:rsidR="00A165A2" w:rsidRDefault="004B3987">
            <w:pPr>
              <w:pStyle w:val="Tabulka"/>
              <w:rPr>
                <w:szCs w:val="22"/>
              </w:rPr>
            </w:pPr>
            <w:r>
              <w:t>752 050,00</w:t>
            </w:r>
          </w:p>
        </w:tc>
        <w:tc>
          <w:tcPr>
            <w:tcW w:w="1557" w:type="dxa"/>
            <w:tcBorders>
              <w:top w:val="dotted" w:sz="4" w:space="0" w:color="auto"/>
            </w:tcBorders>
          </w:tcPr>
          <w:p w14:paraId="6ED620E5" w14:textId="77777777" w:rsidR="00A165A2" w:rsidRDefault="004B3987">
            <w:pPr>
              <w:pStyle w:val="Tabulka"/>
              <w:rPr>
                <w:szCs w:val="22"/>
              </w:rPr>
            </w:pPr>
            <w:r>
              <w:t>909 980,50</w:t>
            </w:r>
          </w:p>
        </w:tc>
      </w:tr>
      <w:tr w:rsidR="00A165A2" w14:paraId="0E6CF8E3" w14:textId="77777777">
        <w:trPr>
          <w:trHeight w:val="397"/>
        </w:trPr>
        <w:tc>
          <w:tcPr>
            <w:tcW w:w="5387" w:type="dxa"/>
            <w:gridSpan w:val="2"/>
            <w:tcBorders>
              <w:left w:val="dotted" w:sz="4" w:space="0" w:color="auto"/>
              <w:bottom w:val="dotted" w:sz="4" w:space="0" w:color="auto"/>
            </w:tcBorders>
          </w:tcPr>
          <w:p w14:paraId="79658BA6" w14:textId="77777777" w:rsidR="00A165A2" w:rsidRDefault="004B3987">
            <w:pPr>
              <w:pStyle w:val="Tabulka"/>
              <w:rPr>
                <w:b/>
                <w:szCs w:val="22"/>
              </w:rPr>
            </w:pPr>
            <w:r>
              <w:rPr>
                <w:b/>
                <w:szCs w:val="22"/>
              </w:rPr>
              <w:t>Celkem:</w:t>
            </w:r>
          </w:p>
        </w:tc>
        <w:tc>
          <w:tcPr>
            <w:tcW w:w="1275" w:type="dxa"/>
            <w:tcBorders>
              <w:bottom w:val="dotted" w:sz="4" w:space="0" w:color="auto"/>
            </w:tcBorders>
          </w:tcPr>
          <w:p w14:paraId="47AB63ED" w14:textId="77777777" w:rsidR="00A165A2" w:rsidRDefault="004B3987">
            <w:pPr>
              <w:pStyle w:val="Tabulka"/>
              <w:jc w:val="center"/>
              <w:rPr>
                <w:szCs w:val="22"/>
              </w:rPr>
            </w:pPr>
            <w:r>
              <w:rPr>
                <w:szCs w:val="22"/>
              </w:rPr>
              <w:t>84,500</w:t>
            </w:r>
          </w:p>
        </w:tc>
        <w:tc>
          <w:tcPr>
            <w:tcW w:w="1560" w:type="dxa"/>
            <w:tcBorders>
              <w:bottom w:val="dotted" w:sz="4" w:space="0" w:color="auto"/>
            </w:tcBorders>
          </w:tcPr>
          <w:p w14:paraId="1525686C" w14:textId="77777777" w:rsidR="00A165A2" w:rsidRDefault="004B3987">
            <w:pPr>
              <w:pStyle w:val="Tabulka"/>
              <w:rPr>
                <w:b/>
                <w:bCs w:val="0"/>
                <w:szCs w:val="22"/>
              </w:rPr>
            </w:pPr>
            <w:r>
              <w:t>752 050,00</w:t>
            </w:r>
          </w:p>
        </w:tc>
        <w:tc>
          <w:tcPr>
            <w:tcW w:w="1557" w:type="dxa"/>
            <w:tcBorders>
              <w:bottom w:val="dotted" w:sz="4" w:space="0" w:color="auto"/>
            </w:tcBorders>
          </w:tcPr>
          <w:p w14:paraId="5723AB3C" w14:textId="77777777" w:rsidR="00A165A2" w:rsidRDefault="004B3987">
            <w:pPr>
              <w:pStyle w:val="Tabulka"/>
              <w:rPr>
                <w:b/>
                <w:bCs w:val="0"/>
                <w:szCs w:val="22"/>
              </w:rPr>
            </w:pPr>
            <w:r>
              <w:t>909 980,50</w:t>
            </w:r>
          </w:p>
        </w:tc>
      </w:tr>
    </w:tbl>
    <w:p w14:paraId="0594D903" w14:textId="77777777" w:rsidR="00A165A2" w:rsidRDefault="00A165A2">
      <w:pPr>
        <w:rPr>
          <w:sz w:val="8"/>
          <w:szCs w:val="8"/>
        </w:rPr>
      </w:pPr>
    </w:p>
    <w:p w14:paraId="3A55F293" w14:textId="77777777" w:rsidR="00A165A2" w:rsidRDefault="004B3987">
      <w:pPr>
        <w:rPr>
          <w:sz w:val="16"/>
          <w:szCs w:val="16"/>
        </w:rPr>
      </w:pPr>
      <w:r>
        <w:rPr>
          <w:sz w:val="16"/>
          <w:szCs w:val="16"/>
        </w:rPr>
        <w:t>(Pozn.: MD – člověkoden, MJ – měrná jednotka, např. počet kusů)</w:t>
      </w:r>
    </w:p>
    <w:p w14:paraId="0E47CADF" w14:textId="77777777" w:rsidR="00A165A2" w:rsidRDefault="00A165A2">
      <w:pPr>
        <w:rPr>
          <w:szCs w:val="22"/>
        </w:rPr>
      </w:pPr>
    </w:p>
    <w:p w14:paraId="733E7BD7" w14:textId="77777777" w:rsidR="00A165A2" w:rsidRDefault="004B3987">
      <w:pPr>
        <w:pStyle w:val="Nadpis1"/>
        <w:numPr>
          <w:ilvl w:val="0"/>
          <w:numId w:val="18"/>
        </w:numPr>
        <w:ind w:left="284" w:hanging="284"/>
        <w:rPr>
          <w:szCs w:val="22"/>
        </w:rPr>
      </w:pPr>
      <w:r>
        <w:rPr>
          <w:szCs w:val="22"/>
        </w:rPr>
        <w:t>Posouzení</w:t>
      </w:r>
    </w:p>
    <w:p w14:paraId="3F21D51A" w14:textId="77777777" w:rsidR="00A165A2" w:rsidRDefault="004B398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2" w:type="dxa"/>
        <w:tblLook w:val="04A0" w:firstRow="1" w:lastRow="0" w:firstColumn="1" w:lastColumn="0" w:noHBand="0" w:noVBand="1"/>
      </w:tblPr>
      <w:tblGrid>
        <w:gridCol w:w="3303"/>
        <w:gridCol w:w="3019"/>
        <w:gridCol w:w="3020"/>
      </w:tblGrid>
      <w:tr w:rsidR="00A165A2" w14:paraId="7DC68086" w14:textId="77777777">
        <w:trPr>
          <w:trHeight w:val="524"/>
        </w:trPr>
        <w:tc>
          <w:tcPr>
            <w:tcW w:w="3303" w:type="dxa"/>
            <w:vAlign w:val="center"/>
          </w:tcPr>
          <w:p w14:paraId="0FF912CD" w14:textId="77777777" w:rsidR="00A165A2" w:rsidRDefault="004B3987">
            <w:pPr>
              <w:rPr>
                <w:b/>
              </w:rPr>
            </w:pPr>
            <w:r>
              <w:rPr>
                <w:b/>
              </w:rPr>
              <w:t>Role</w:t>
            </w:r>
          </w:p>
        </w:tc>
        <w:tc>
          <w:tcPr>
            <w:tcW w:w="3019" w:type="dxa"/>
            <w:vAlign w:val="center"/>
          </w:tcPr>
          <w:p w14:paraId="6152F978" w14:textId="77777777" w:rsidR="00A165A2" w:rsidRDefault="004B3987">
            <w:pPr>
              <w:rPr>
                <w:b/>
              </w:rPr>
            </w:pPr>
            <w:r>
              <w:rPr>
                <w:b/>
              </w:rPr>
              <w:t>Jméno</w:t>
            </w:r>
          </w:p>
        </w:tc>
        <w:tc>
          <w:tcPr>
            <w:tcW w:w="3020" w:type="dxa"/>
            <w:vAlign w:val="center"/>
          </w:tcPr>
          <w:p w14:paraId="473956DF" w14:textId="77777777" w:rsidR="00A165A2" w:rsidRDefault="004B3987">
            <w:pPr>
              <w:rPr>
                <w:b/>
              </w:rPr>
            </w:pPr>
            <w:r>
              <w:rPr>
                <w:b/>
              </w:rPr>
              <w:t>Podpis/Mail</w:t>
            </w:r>
            <w:r>
              <w:rPr>
                <w:rStyle w:val="Odkaznavysvtlivky"/>
                <w:b/>
              </w:rPr>
              <w:endnoteReference w:id="23"/>
            </w:r>
          </w:p>
        </w:tc>
      </w:tr>
      <w:tr w:rsidR="00A165A2" w14:paraId="07172E21" w14:textId="77777777">
        <w:trPr>
          <w:trHeight w:val="715"/>
        </w:trPr>
        <w:tc>
          <w:tcPr>
            <w:tcW w:w="3303" w:type="dxa"/>
            <w:vAlign w:val="center"/>
          </w:tcPr>
          <w:p w14:paraId="433D9AE0" w14:textId="77777777" w:rsidR="00A165A2" w:rsidRDefault="004B3987">
            <w:r>
              <w:t>Bezpečnostní garant</w:t>
            </w:r>
          </w:p>
        </w:tc>
        <w:tc>
          <w:tcPr>
            <w:tcW w:w="3019" w:type="dxa"/>
            <w:vAlign w:val="center"/>
          </w:tcPr>
          <w:p w14:paraId="2D6B6981" w14:textId="77777777" w:rsidR="00A165A2" w:rsidRDefault="004B3987">
            <w:r>
              <w:t>Karel Štefl</w:t>
            </w:r>
          </w:p>
        </w:tc>
        <w:tc>
          <w:tcPr>
            <w:tcW w:w="3020" w:type="dxa"/>
            <w:vAlign w:val="center"/>
          </w:tcPr>
          <w:p w14:paraId="0CBB4372" w14:textId="77777777" w:rsidR="00A165A2" w:rsidRDefault="00A165A2"/>
        </w:tc>
      </w:tr>
      <w:tr w:rsidR="00A165A2" w14:paraId="71E9EBF2" w14:textId="77777777">
        <w:trPr>
          <w:trHeight w:val="715"/>
        </w:trPr>
        <w:tc>
          <w:tcPr>
            <w:tcW w:w="3303" w:type="dxa"/>
            <w:vAlign w:val="center"/>
          </w:tcPr>
          <w:p w14:paraId="1F5166EE" w14:textId="77777777" w:rsidR="00A165A2" w:rsidRDefault="004B3987">
            <w:r>
              <w:t>Provozní garant</w:t>
            </w:r>
          </w:p>
        </w:tc>
        <w:tc>
          <w:tcPr>
            <w:tcW w:w="3019" w:type="dxa"/>
            <w:vAlign w:val="center"/>
          </w:tcPr>
          <w:p w14:paraId="10E6821E" w14:textId="77777777" w:rsidR="00A165A2" w:rsidRDefault="004B3987">
            <w:r>
              <w:t>Aleš Prošek</w:t>
            </w:r>
          </w:p>
        </w:tc>
        <w:tc>
          <w:tcPr>
            <w:tcW w:w="3020" w:type="dxa"/>
            <w:vAlign w:val="center"/>
          </w:tcPr>
          <w:p w14:paraId="761A8193" w14:textId="77777777" w:rsidR="00A165A2" w:rsidRDefault="00A165A2"/>
        </w:tc>
      </w:tr>
      <w:tr w:rsidR="00A165A2" w14:paraId="1F477A80" w14:textId="77777777">
        <w:trPr>
          <w:trHeight w:val="715"/>
        </w:trPr>
        <w:tc>
          <w:tcPr>
            <w:tcW w:w="3303" w:type="dxa"/>
            <w:vAlign w:val="center"/>
          </w:tcPr>
          <w:p w14:paraId="360D9362" w14:textId="77777777" w:rsidR="00A165A2" w:rsidRDefault="004B3987">
            <w:r>
              <w:t>Architekt</w:t>
            </w:r>
          </w:p>
        </w:tc>
        <w:tc>
          <w:tcPr>
            <w:tcW w:w="3019" w:type="dxa"/>
            <w:vAlign w:val="center"/>
          </w:tcPr>
          <w:p w14:paraId="41DBE2CE" w14:textId="77777777" w:rsidR="00A165A2" w:rsidRDefault="004B3987">
            <w:r>
              <w:t>Pavel Petr</w:t>
            </w:r>
          </w:p>
        </w:tc>
        <w:tc>
          <w:tcPr>
            <w:tcW w:w="3020" w:type="dxa"/>
            <w:vAlign w:val="center"/>
          </w:tcPr>
          <w:p w14:paraId="2B98C843" w14:textId="77777777" w:rsidR="00A165A2" w:rsidRDefault="00A165A2"/>
        </w:tc>
      </w:tr>
    </w:tbl>
    <w:p w14:paraId="143330E8" w14:textId="77777777" w:rsidR="00A165A2" w:rsidRDefault="004B398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AE7F4CC" w14:textId="77777777" w:rsidR="00A165A2" w:rsidRDefault="00A165A2"/>
    <w:p w14:paraId="7FA6F8A4" w14:textId="77777777" w:rsidR="00A165A2" w:rsidRDefault="00A165A2">
      <w:pPr>
        <w:rPr>
          <w:szCs w:val="22"/>
        </w:rPr>
      </w:pPr>
    </w:p>
    <w:p w14:paraId="439DB72B" w14:textId="77777777" w:rsidR="00A165A2" w:rsidRDefault="00A165A2">
      <w:pPr>
        <w:rPr>
          <w:szCs w:val="22"/>
        </w:rPr>
      </w:pPr>
    </w:p>
    <w:p w14:paraId="1488D5C0" w14:textId="77777777" w:rsidR="00A165A2" w:rsidRDefault="00A165A2">
      <w:pPr>
        <w:rPr>
          <w:szCs w:val="22"/>
        </w:rPr>
      </w:pPr>
    </w:p>
    <w:p w14:paraId="607CD428" w14:textId="77777777" w:rsidR="00A165A2" w:rsidRDefault="00A165A2">
      <w:pPr>
        <w:rPr>
          <w:szCs w:val="22"/>
        </w:rPr>
      </w:pPr>
    </w:p>
    <w:p w14:paraId="2FE3DF38" w14:textId="77777777" w:rsidR="00A165A2" w:rsidRDefault="00A165A2">
      <w:pPr>
        <w:rPr>
          <w:szCs w:val="22"/>
        </w:rPr>
      </w:pPr>
    </w:p>
    <w:p w14:paraId="53F73545" w14:textId="77777777" w:rsidR="00A165A2" w:rsidRDefault="00A165A2">
      <w:pPr>
        <w:rPr>
          <w:szCs w:val="22"/>
        </w:rPr>
      </w:pPr>
    </w:p>
    <w:p w14:paraId="4DC36E4F" w14:textId="77777777" w:rsidR="00A165A2" w:rsidRDefault="00A165A2">
      <w:pPr>
        <w:rPr>
          <w:szCs w:val="22"/>
        </w:rPr>
      </w:pPr>
    </w:p>
    <w:p w14:paraId="5D6BA929" w14:textId="77777777" w:rsidR="00A165A2" w:rsidRDefault="00A165A2">
      <w:pPr>
        <w:rPr>
          <w:szCs w:val="22"/>
        </w:rPr>
      </w:pPr>
    </w:p>
    <w:p w14:paraId="06456948" w14:textId="77777777" w:rsidR="00A165A2" w:rsidRDefault="00A165A2">
      <w:pPr>
        <w:rPr>
          <w:szCs w:val="22"/>
        </w:rPr>
      </w:pPr>
    </w:p>
    <w:p w14:paraId="2FE4AB66" w14:textId="77777777" w:rsidR="00A165A2" w:rsidRDefault="00A165A2">
      <w:pPr>
        <w:rPr>
          <w:szCs w:val="22"/>
        </w:rPr>
      </w:pPr>
    </w:p>
    <w:p w14:paraId="72904364" w14:textId="77777777" w:rsidR="00A165A2" w:rsidRDefault="00A165A2">
      <w:pPr>
        <w:rPr>
          <w:szCs w:val="22"/>
        </w:rPr>
      </w:pPr>
    </w:p>
    <w:p w14:paraId="23763D47" w14:textId="77777777" w:rsidR="00A165A2" w:rsidRDefault="00A165A2">
      <w:pPr>
        <w:rPr>
          <w:szCs w:val="22"/>
        </w:rPr>
      </w:pPr>
    </w:p>
    <w:p w14:paraId="0A19A0A4" w14:textId="77777777" w:rsidR="00A165A2" w:rsidRDefault="004B3987">
      <w:pPr>
        <w:pStyle w:val="Nadpis1"/>
        <w:numPr>
          <w:ilvl w:val="0"/>
          <w:numId w:val="18"/>
        </w:numPr>
        <w:ind w:left="284" w:hanging="284"/>
        <w:rPr>
          <w:szCs w:val="22"/>
        </w:rPr>
      </w:pPr>
      <w:r>
        <w:rPr>
          <w:szCs w:val="22"/>
        </w:rPr>
        <w:lastRenderedPageBreak/>
        <w:t>Schválení</w:t>
      </w:r>
    </w:p>
    <w:p w14:paraId="143470DF" w14:textId="77777777" w:rsidR="00A165A2" w:rsidRDefault="004B3987">
      <w:r>
        <w:t>Svým podpisem potvrzuje požadavek na realizaci změny:</w:t>
      </w:r>
    </w:p>
    <w:tbl>
      <w:tblPr>
        <w:tblStyle w:val="Mkatabulky"/>
        <w:tblW w:w="9358" w:type="dxa"/>
        <w:tblLook w:val="04A0" w:firstRow="1" w:lastRow="0" w:firstColumn="1" w:lastColumn="0" w:noHBand="0" w:noVBand="1"/>
      </w:tblPr>
      <w:tblGrid>
        <w:gridCol w:w="3309"/>
        <w:gridCol w:w="3024"/>
        <w:gridCol w:w="3025"/>
      </w:tblGrid>
      <w:tr w:rsidR="00A165A2" w14:paraId="51A1488A" w14:textId="77777777">
        <w:trPr>
          <w:trHeight w:val="811"/>
        </w:trPr>
        <w:tc>
          <w:tcPr>
            <w:tcW w:w="3309" w:type="dxa"/>
            <w:vAlign w:val="center"/>
          </w:tcPr>
          <w:p w14:paraId="3ADAE4D1" w14:textId="77777777" w:rsidR="00A165A2" w:rsidRDefault="004B3987">
            <w:pPr>
              <w:rPr>
                <w:b/>
              </w:rPr>
            </w:pPr>
            <w:r>
              <w:rPr>
                <w:b/>
              </w:rPr>
              <w:t>Role</w:t>
            </w:r>
          </w:p>
        </w:tc>
        <w:tc>
          <w:tcPr>
            <w:tcW w:w="3024" w:type="dxa"/>
            <w:vAlign w:val="center"/>
          </w:tcPr>
          <w:p w14:paraId="7A88FC8A" w14:textId="77777777" w:rsidR="00A165A2" w:rsidRDefault="004B3987">
            <w:pPr>
              <w:rPr>
                <w:b/>
              </w:rPr>
            </w:pPr>
            <w:r>
              <w:rPr>
                <w:b/>
              </w:rPr>
              <w:t>Jméno</w:t>
            </w:r>
          </w:p>
        </w:tc>
        <w:tc>
          <w:tcPr>
            <w:tcW w:w="3025" w:type="dxa"/>
            <w:vAlign w:val="center"/>
          </w:tcPr>
          <w:p w14:paraId="744D396F" w14:textId="77777777" w:rsidR="00A165A2" w:rsidRDefault="004B3987">
            <w:pPr>
              <w:rPr>
                <w:b/>
              </w:rPr>
            </w:pPr>
            <w:r>
              <w:rPr>
                <w:b/>
              </w:rPr>
              <w:t>Podpis</w:t>
            </w:r>
          </w:p>
        </w:tc>
      </w:tr>
      <w:tr w:rsidR="00A165A2" w14:paraId="61482351" w14:textId="77777777">
        <w:trPr>
          <w:trHeight w:val="713"/>
        </w:trPr>
        <w:tc>
          <w:tcPr>
            <w:tcW w:w="3309" w:type="dxa"/>
            <w:vAlign w:val="center"/>
          </w:tcPr>
          <w:p w14:paraId="3368C1A8" w14:textId="77777777" w:rsidR="00A165A2" w:rsidRDefault="004B3987">
            <w:r>
              <w:rPr>
                <w:szCs w:val="22"/>
                <w:lang w:eastAsia="cs-CZ"/>
              </w:rPr>
              <w:t>Žadatel/věcný garant</w:t>
            </w:r>
          </w:p>
        </w:tc>
        <w:tc>
          <w:tcPr>
            <w:tcW w:w="3024" w:type="dxa"/>
            <w:vAlign w:val="center"/>
          </w:tcPr>
          <w:p w14:paraId="54DA169B" w14:textId="77777777" w:rsidR="00A165A2" w:rsidRDefault="004B3987">
            <w:r>
              <w:rPr>
                <w:szCs w:val="22"/>
                <w:lang w:eastAsia="cs-CZ"/>
              </w:rPr>
              <w:t>David Kuna</w:t>
            </w:r>
          </w:p>
        </w:tc>
        <w:tc>
          <w:tcPr>
            <w:tcW w:w="3025" w:type="dxa"/>
            <w:vAlign w:val="center"/>
          </w:tcPr>
          <w:p w14:paraId="4DA22A93" w14:textId="77777777" w:rsidR="00A165A2" w:rsidRDefault="00A165A2"/>
        </w:tc>
      </w:tr>
      <w:tr w:rsidR="00A165A2" w14:paraId="6FC7DDAE" w14:textId="77777777">
        <w:trPr>
          <w:trHeight w:val="713"/>
        </w:trPr>
        <w:tc>
          <w:tcPr>
            <w:tcW w:w="3309" w:type="dxa"/>
            <w:vAlign w:val="center"/>
          </w:tcPr>
          <w:p w14:paraId="277FB311" w14:textId="77777777" w:rsidR="00A165A2" w:rsidRDefault="004B3987">
            <w:pPr>
              <w:rPr>
                <w:sz w:val="20"/>
                <w:szCs w:val="20"/>
              </w:rPr>
            </w:pPr>
            <w:r>
              <w:rPr>
                <w:szCs w:val="22"/>
                <w:lang w:eastAsia="cs-CZ"/>
              </w:rPr>
              <w:t>Žadatel/věcný garant</w:t>
            </w:r>
          </w:p>
        </w:tc>
        <w:tc>
          <w:tcPr>
            <w:tcW w:w="3024" w:type="dxa"/>
            <w:vAlign w:val="center"/>
          </w:tcPr>
          <w:p w14:paraId="69056871" w14:textId="77777777" w:rsidR="00A165A2" w:rsidRDefault="004B3987">
            <w:pPr>
              <w:rPr>
                <w:sz w:val="20"/>
                <w:szCs w:val="20"/>
              </w:rPr>
            </w:pPr>
            <w:r>
              <w:rPr>
                <w:szCs w:val="22"/>
                <w:lang w:eastAsia="cs-CZ"/>
              </w:rPr>
              <w:t>Zdeněk Trnka</w:t>
            </w:r>
          </w:p>
        </w:tc>
        <w:tc>
          <w:tcPr>
            <w:tcW w:w="3025" w:type="dxa"/>
            <w:vAlign w:val="center"/>
          </w:tcPr>
          <w:p w14:paraId="0F84AC04" w14:textId="77777777" w:rsidR="00A165A2" w:rsidRDefault="00A165A2">
            <w:pPr>
              <w:rPr>
                <w:sz w:val="20"/>
                <w:szCs w:val="20"/>
              </w:rPr>
            </w:pPr>
          </w:p>
        </w:tc>
      </w:tr>
      <w:tr w:rsidR="00A165A2" w14:paraId="43568E41" w14:textId="77777777">
        <w:trPr>
          <w:trHeight w:val="713"/>
        </w:trPr>
        <w:tc>
          <w:tcPr>
            <w:tcW w:w="3309" w:type="dxa"/>
            <w:vAlign w:val="center"/>
          </w:tcPr>
          <w:p w14:paraId="6190604F" w14:textId="77777777" w:rsidR="00A165A2" w:rsidRDefault="004B3987">
            <w:r>
              <w:t>Koordinátor změny</w:t>
            </w:r>
          </w:p>
        </w:tc>
        <w:tc>
          <w:tcPr>
            <w:tcW w:w="3024" w:type="dxa"/>
            <w:vAlign w:val="center"/>
          </w:tcPr>
          <w:p w14:paraId="7ACB9987" w14:textId="77777777" w:rsidR="00A165A2" w:rsidRDefault="004B3987">
            <w:r>
              <w:t>Jiří Bukovský</w:t>
            </w:r>
          </w:p>
        </w:tc>
        <w:tc>
          <w:tcPr>
            <w:tcW w:w="3025" w:type="dxa"/>
            <w:vAlign w:val="center"/>
          </w:tcPr>
          <w:p w14:paraId="6FCDC048" w14:textId="77777777" w:rsidR="00A165A2" w:rsidRDefault="00A165A2"/>
        </w:tc>
      </w:tr>
      <w:tr w:rsidR="00A165A2" w14:paraId="611E5732" w14:textId="77777777">
        <w:trPr>
          <w:trHeight w:val="713"/>
        </w:trPr>
        <w:tc>
          <w:tcPr>
            <w:tcW w:w="3309" w:type="dxa"/>
            <w:vAlign w:val="center"/>
          </w:tcPr>
          <w:p w14:paraId="6A9C3671" w14:textId="77777777" w:rsidR="00A165A2" w:rsidRDefault="004B3987">
            <w:r>
              <w:t>Oprávněná osoba dle smlouvy</w:t>
            </w:r>
          </w:p>
        </w:tc>
        <w:tc>
          <w:tcPr>
            <w:tcW w:w="3024" w:type="dxa"/>
            <w:vAlign w:val="center"/>
          </w:tcPr>
          <w:p w14:paraId="05E17D4C" w14:textId="77777777" w:rsidR="00A165A2" w:rsidRDefault="004B3987">
            <w:r>
              <w:t>Vladimír Velas</w:t>
            </w:r>
          </w:p>
        </w:tc>
        <w:tc>
          <w:tcPr>
            <w:tcW w:w="3025" w:type="dxa"/>
            <w:vAlign w:val="center"/>
          </w:tcPr>
          <w:p w14:paraId="369083D5" w14:textId="77777777" w:rsidR="00A165A2" w:rsidRDefault="00A165A2"/>
        </w:tc>
      </w:tr>
    </w:tbl>
    <w:p w14:paraId="64040AAE" w14:textId="77777777" w:rsidR="00A165A2" w:rsidRDefault="004B3987">
      <w:pPr>
        <w:spacing w:before="60"/>
        <w:rPr>
          <w:sz w:val="16"/>
          <w:szCs w:val="16"/>
        </w:rPr>
      </w:pPr>
      <w:r>
        <w:rPr>
          <w:sz w:val="16"/>
          <w:szCs w:val="16"/>
        </w:rPr>
        <w:t>(Pozn.: Oprávněná osoba se uvede v případě, že je uvedena ve smlouvě.)</w:t>
      </w:r>
    </w:p>
    <w:p w14:paraId="0A1A962C" w14:textId="77777777" w:rsidR="00A165A2" w:rsidRDefault="00A165A2">
      <w:pPr>
        <w:spacing w:before="60"/>
        <w:rPr>
          <w:sz w:val="16"/>
          <w:szCs w:val="16"/>
        </w:rPr>
      </w:pPr>
    </w:p>
    <w:p w14:paraId="38FFCB1C" w14:textId="77777777" w:rsidR="00A165A2" w:rsidRDefault="00A165A2">
      <w:pPr>
        <w:spacing w:before="60"/>
        <w:rPr>
          <w:sz w:val="16"/>
          <w:szCs w:val="16"/>
        </w:rPr>
      </w:pPr>
    </w:p>
    <w:p w14:paraId="481FC2B2" w14:textId="77777777" w:rsidR="00A165A2" w:rsidRDefault="00A165A2">
      <w:pPr>
        <w:spacing w:before="60"/>
        <w:rPr>
          <w:szCs w:val="22"/>
        </w:rPr>
        <w:sectPr w:rsidR="00A165A2">
          <w:footerReference w:type="default" r:id="rId19"/>
          <w:pgSz w:w="11906" w:h="16838"/>
          <w:pgMar w:top="1560" w:right="1418" w:bottom="1134" w:left="992" w:header="567" w:footer="567" w:gutter="0"/>
          <w:pgNumType w:start="1"/>
          <w:cols w:space="708"/>
          <w:docGrid w:linePitch="360"/>
        </w:sectPr>
      </w:pPr>
    </w:p>
    <w:p w14:paraId="057CF21F" w14:textId="77777777" w:rsidR="00A165A2" w:rsidRDefault="00A165A2"/>
    <w:p w14:paraId="25613F5E" w14:textId="77777777" w:rsidR="00A165A2" w:rsidRDefault="004B3987">
      <w:pPr>
        <w:pStyle w:val="Nadpis1"/>
        <w:ind w:left="142" w:firstLine="0"/>
      </w:pPr>
      <w:r>
        <w:t>Vysvětlivky</w:t>
      </w:r>
    </w:p>
    <w:p w14:paraId="1EC8C427" w14:textId="77777777" w:rsidR="00A165A2" w:rsidRDefault="00A165A2"/>
    <w:p w14:paraId="1719DF31" w14:textId="77777777" w:rsidR="00A165A2" w:rsidRDefault="00A165A2">
      <w:pPr>
        <w:rPr>
          <w:szCs w:val="22"/>
        </w:rPr>
      </w:pPr>
    </w:p>
    <w:sectPr w:rsidR="00A165A2">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33D6" w14:textId="77777777" w:rsidR="00A165A2" w:rsidRDefault="004B3987">
      <w:r>
        <w:separator/>
      </w:r>
    </w:p>
  </w:endnote>
  <w:endnote w:type="continuationSeparator" w:id="0">
    <w:p w14:paraId="2519C7AC" w14:textId="77777777" w:rsidR="00A165A2" w:rsidRDefault="004B3987">
      <w:r>
        <w:continuationSeparator/>
      </w:r>
    </w:p>
  </w:endnote>
  <w:endnote w:id="1">
    <w:p w14:paraId="33882366" w14:textId="77777777" w:rsidR="00A165A2" w:rsidRDefault="004B398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8C2CDE9"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4620C8E" w14:textId="77777777" w:rsidR="00A165A2" w:rsidRDefault="004B398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088842B"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04344A2"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FACBA9E"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08008FC" w14:textId="77777777" w:rsidR="00A165A2" w:rsidRDefault="004B398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AE55549" w14:textId="77777777" w:rsidR="00A165A2" w:rsidRDefault="004B398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B058BA9" w14:textId="77777777" w:rsidR="00A165A2" w:rsidRDefault="004B398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ECBD0CC" w14:textId="77777777" w:rsidR="00A165A2" w:rsidRDefault="004B398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7C160C6E" w14:textId="77777777" w:rsidR="00A165A2" w:rsidRDefault="004B398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4E7CE7F" w14:textId="77777777" w:rsidR="00A165A2" w:rsidRDefault="004B398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BE9C5C2" w14:textId="77777777" w:rsidR="00A165A2" w:rsidRDefault="004B398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254ABC5"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54E8DFE" w14:textId="77777777" w:rsidR="00A165A2" w:rsidRDefault="004B398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1AA128F" w14:textId="77777777" w:rsidR="00A165A2" w:rsidRDefault="004B398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4969DC9"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1301DCF"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DF461E5"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35C63E8"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6A71B3B0"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707632C" w14:textId="77777777" w:rsidR="00A165A2" w:rsidRDefault="004B398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174489A" w14:textId="77777777" w:rsidR="00A165A2" w:rsidRDefault="004B398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ambria"/>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BFD9" w14:textId="77777777" w:rsidR="00A165A2" w:rsidRDefault="00A165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B20D" w14:textId="5C00BF9D" w:rsidR="00A165A2" w:rsidRDefault="004B3987">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B1840">
      <w:rPr>
        <w:noProof/>
        <w:sz w:val="16"/>
        <w:szCs w:val="16"/>
      </w:rPr>
      <w:t>5</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D6FF" w14:textId="77777777" w:rsidR="00A165A2" w:rsidRDefault="00A165A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5AAC" w14:textId="3DC472B8" w:rsidR="00A165A2" w:rsidRDefault="004B398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B1840">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3112" w14:textId="6D3AD965" w:rsidR="00A165A2" w:rsidRDefault="004B398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B1840">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0CFA" w14:textId="19C68B4A" w:rsidR="00A165A2" w:rsidRDefault="004B3987">
    <w:pPr>
      <w:pStyle w:val="Zpat"/>
    </w:pPr>
    <w:fldSimple w:instr=" DOCVARIABLE  dms_cj  \* MERGEFORMAT ">
      <w:r w:rsidRPr="004B3987">
        <w:rPr>
          <w:bCs/>
        </w:rPr>
        <w:t>MZE-46096/2023-12122</w:t>
      </w:r>
    </w:fldSimple>
    <w:r>
      <w:tab/>
    </w:r>
    <w:r>
      <w:fldChar w:fldCharType="begin"/>
    </w:r>
    <w:r>
      <w:instrText>PAGE   \* MERGEFORMAT</w:instrText>
    </w:r>
    <w:r>
      <w:fldChar w:fldCharType="separate"/>
    </w:r>
    <w:r>
      <w:t>2</w:t>
    </w:r>
    <w:r>
      <w:fldChar w:fldCharType="end"/>
    </w:r>
  </w:p>
  <w:p w14:paraId="59F998CD" w14:textId="77777777" w:rsidR="00A165A2" w:rsidRDefault="00A16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7497" w14:textId="77777777" w:rsidR="00A165A2" w:rsidRDefault="004B3987">
      <w:r>
        <w:separator/>
      </w:r>
    </w:p>
  </w:footnote>
  <w:footnote w:type="continuationSeparator" w:id="0">
    <w:p w14:paraId="22F2B2C0" w14:textId="77777777" w:rsidR="00A165A2" w:rsidRDefault="004B3987">
      <w:r>
        <w:continuationSeparator/>
      </w:r>
    </w:p>
  </w:footnote>
  <w:footnote w:id="1">
    <w:p w14:paraId="07F854E8" w14:textId="77777777" w:rsidR="00A165A2" w:rsidRDefault="004B398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CDE02B9" w14:textId="77777777" w:rsidR="00A165A2" w:rsidRDefault="004B398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C1B671F" w14:textId="77777777" w:rsidR="00A165A2" w:rsidRDefault="004B398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24FEA06" w14:textId="77777777" w:rsidR="00A165A2" w:rsidRDefault="004B398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88EA" w14:textId="77777777" w:rsidR="00A165A2" w:rsidRDefault="009B1840">
    <w:pPr>
      <w:pStyle w:val="Zhlav"/>
    </w:pPr>
    <w:r>
      <w:pict w14:anchorId="564FA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c36632c-f1ad-46f5-b17f-45546f9375bc"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8D5E" w14:textId="77777777" w:rsidR="00A165A2" w:rsidRDefault="009B1840">
    <w:pPr>
      <w:pStyle w:val="Zhlav"/>
      <w:pBdr>
        <w:bottom w:val="single" w:sz="18" w:space="1" w:color="B2BC00"/>
      </w:pBdr>
      <w:tabs>
        <w:tab w:val="clear" w:pos="9072"/>
        <w:tab w:val="left" w:pos="3993"/>
        <w:tab w:val="right" w:pos="9923"/>
      </w:tabs>
      <w:ind w:right="-427"/>
    </w:pPr>
    <w:r>
      <w:pict w14:anchorId="48D60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769cfde-50d2-4e90-95d7-2cb8094106d2"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4B3987">
      <w:tab/>
    </w:r>
    <w:r w:rsidR="004B3987">
      <w:tab/>
    </w:r>
    <w:r w:rsidR="004B3987">
      <w:tab/>
    </w:r>
    <w:r w:rsidR="004B3987">
      <w:rPr>
        <w:noProof/>
        <w:lang w:eastAsia="cs-CZ"/>
      </w:rPr>
      <w:drawing>
        <wp:inline distT="0" distB="0" distL="0" distR="0" wp14:anchorId="5689314C" wp14:editId="68351C94">
          <wp:extent cx="885825" cy="419100"/>
          <wp:effectExtent l="0" t="0" r="9525"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E8D3" w14:textId="77777777" w:rsidR="00A165A2" w:rsidRDefault="009B1840">
    <w:pPr>
      <w:pStyle w:val="Zhlav"/>
    </w:pPr>
    <w:r>
      <w:pict w14:anchorId="58965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826406e-7e9b-4ec8-9dac-c49a68403e7d"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74D4" w14:textId="77777777" w:rsidR="00A165A2" w:rsidRDefault="009B1840">
    <w:r>
      <w:pict w14:anchorId="198DC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9394d9a-5f52-4f66-9f42-7e59810f8b8d"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DAC9" w14:textId="77777777" w:rsidR="00A165A2" w:rsidRDefault="009B1840">
    <w:r>
      <w:pict w14:anchorId="6E4D1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57da338-5ab3-4a22-9fca-fdd8f71f601c"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458A" w14:textId="77777777" w:rsidR="00A165A2" w:rsidRDefault="009B1840">
    <w:r>
      <w:pict w14:anchorId="1EC1B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7b59ad0-01a9-41c4-aa77-04639ca34701"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3D8"/>
    <w:multiLevelType w:val="multilevel"/>
    <w:tmpl w:val="670CB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3E825B7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D7291D"/>
    <w:multiLevelType w:val="multilevel"/>
    <w:tmpl w:val="41FE303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E408F"/>
    <w:multiLevelType w:val="multilevel"/>
    <w:tmpl w:val="46823B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6269F"/>
    <w:multiLevelType w:val="multilevel"/>
    <w:tmpl w:val="5CB63F7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5E62FC"/>
    <w:multiLevelType w:val="multilevel"/>
    <w:tmpl w:val="1A9E99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056E3D"/>
    <w:multiLevelType w:val="multilevel"/>
    <w:tmpl w:val="BB509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AA7C5B"/>
    <w:multiLevelType w:val="multilevel"/>
    <w:tmpl w:val="53A8E38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2C6FCD"/>
    <w:multiLevelType w:val="multilevel"/>
    <w:tmpl w:val="38CAE9A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F3D72F0"/>
    <w:multiLevelType w:val="multilevel"/>
    <w:tmpl w:val="BFD0472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50241A"/>
    <w:multiLevelType w:val="multilevel"/>
    <w:tmpl w:val="730896F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9715F9F"/>
    <w:multiLevelType w:val="multilevel"/>
    <w:tmpl w:val="BD586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9616A2"/>
    <w:multiLevelType w:val="multilevel"/>
    <w:tmpl w:val="FD903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5C385E"/>
    <w:multiLevelType w:val="multilevel"/>
    <w:tmpl w:val="12F0E3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521209"/>
    <w:multiLevelType w:val="multilevel"/>
    <w:tmpl w:val="7110133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965966"/>
    <w:multiLevelType w:val="multilevel"/>
    <w:tmpl w:val="CAFE301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4223640">
    <w:abstractNumId w:val="0"/>
  </w:num>
  <w:num w:numId="2" w16cid:durableId="131486310">
    <w:abstractNumId w:val="1"/>
  </w:num>
  <w:num w:numId="3" w16cid:durableId="1259564839">
    <w:abstractNumId w:val="2"/>
  </w:num>
  <w:num w:numId="4" w16cid:durableId="881669541">
    <w:abstractNumId w:val="3"/>
  </w:num>
  <w:num w:numId="5" w16cid:durableId="1092360791">
    <w:abstractNumId w:val="4"/>
  </w:num>
  <w:num w:numId="6" w16cid:durableId="878395307">
    <w:abstractNumId w:val="5"/>
  </w:num>
  <w:num w:numId="7" w16cid:durableId="1322537508">
    <w:abstractNumId w:val="6"/>
  </w:num>
  <w:num w:numId="8" w16cid:durableId="1228884881">
    <w:abstractNumId w:val="7"/>
  </w:num>
  <w:num w:numId="9" w16cid:durableId="1066950047">
    <w:abstractNumId w:val="8"/>
  </w:num>
  <w:num w:numId="10" w16cid:durableId="272976154">
    <w:abstractNumId w:val="9"/>
  </w:num>
  <w:num w:numId="11" w16cid:durableId="1345858564">
    <w:abstractNumId w:val="10"/>
  </w:num>
  <w:num w:numId="12" w16cid:durableId="1541433607">
    <w:abstractNumId w:val="11"/>
  </w:num>
  <w:num w:numId="13" w16cid:durableId="2080010987">
    <w:abstractNumId w:val="12"/>
  </w:num>
  <w:num w:numId="14" w16cid:durableId="1381629996">
    <w:abstractNumId w:val="13"/>
  </w:num>
  <w:num w:numId="15" w16cid:durableId="1514303279">
    <w:abstractNumId w:val="14"/>
  </w:num>
  <w:num w:numId="16" w16cid:durableId="1094982764">
    <w:abstractNumId w:val="15"/>
  </w:num>
  <w:num w:numId="17" w16cid:durableId="19270315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4945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478756"/>
    <w:docVar w:name="dms_carovy_kod_cj" w:val="MZE-46096/2023-12122"/>
    <w:docVar w:name="dms_cj" w:val="MZE-46096/2023-12122"/>
    <w:docVar w:name="dms_cj_skn" w:val=" "/>
    <w:docVar w:name="dms_datum" w:val="25. 7. 2023"/>
    <w:docVar w:name="dms_datum_textem" w:val="25. července 2023"/>
    <w:docVar w:name="dms_datum_vzniku" w:val="25. 7. 2023 18:16:3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810-RFC-PRAISII-HR-001-PZ744-EPH-Úprava kontrolních sestav AEKO v aplikaci EPH"/>
    <w:docVar w:name="dms_VNVSpravce" w:val=" "/>
    <w:docVar w:name="dms_zpracoval_jmeno" w:val="David Neužil"/>
    <w:docVar w:name="dms_zpracoval_mail" w:val="David.Neuzil@mze.cz"/>
    <w:docVar w:name="dms_zpracoval_telefon" w:val="221812012"/>
  </w:docVars>
  <w:rsids>
    <w:rsidRoot w:val="00A165A2"/>
    <w:rsid w:val="001605D6"/>
    <w:rsid w:val="003322CE"/>
    <w:rsid w:val="004B3987"/>
    <w:rsid w:val="00634044"/>
    <w:rsid w:val="009B1840"/>
    <w:rsid w:val="00A16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2A5E932D"/>
  <w15:docId w15:val="{B4156EC5-CC0A-4F5D-8891-57C4BC0E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9"/>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9"/>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Jiri.Bukovsky@mze.cz" TargetMode="External"/><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2418</Words>
  <Characters>14269</Characters>
  <Application>Microsoft Office Word</Application>
  <DocSecurity>0</DocSecurity>
  <Lines>118</Lines>
  <Paragraphs>33</Paragraphs>
  <ScaleCrop>false</ScaleCrop>
  <Company>T-Soft a.s.</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2023-07-25T16:23:00Z</cp:lastPrinted>
  <dcterms:created xsi:type="dcterms:W3CDTF">2023-08-04T11:53:00Z</dcterms:created>
  <dcterms:modified xsi:type="dcterms:W3CDTF">2023-08-04T11:53:00Z</dcterms:modified>
</cp:coreProperties>
</file>