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B4" w:rsidRDefault="00F07F37">
      <w:pPr>
        <w:pStyle w:val="Nadpis10"/>
        <w:keepNext/>
        <w:keepLines/>
      </w:pPr>
      <w:bookmarkStart w:id="0" w:name="bookmark4"/>
      <w:r>
        <w:rPr>
          <w:rStyle w:val="Nadpis1"/>
          <w:b/>
          <w:bCs/>
        </w:rPr>
        <w:t>Dodatek č. 12</w:t>
      </w:r>
      <w:bookmarkEnd w:id="0"/>
    </w:p>
    <w:p w:rsidR="00C006B4" w:rsidRDefault="00F07F37">
      <w:pPr>
        <w:pStyle w:val="Nadpis20"/>
        <w:keepNext/>
        <w:keepLines/>
        <w:spacing w:after="180"/>
        <w:jc w:val="center"/>
      </w:pPr>
      <w:bookmarkStart w:id="1" w:name="bookmark6"/>
      <w:r>
        <w:rPr>
          <w:rStyle w:val="Nadpis2"/>
          <w:b/>
          <w:bCs/>
        </w:rPr>
        <w:t xml:space="preserve">k smlouvě o nájmu ze dne </w:t>
      </w:r>
      <w:proofErr w:type="gramStart"/>
      <w:r>
        <w:rPr>
          <w:rStyle w:val="Nadpis2"/>
          <w:b/>
          <w:bCs/>
        </w:rPr>
        <w:t>31.8.2005</w:t>
      </w:r>
      <w:bookmarkEnd w:id="1"/>
      <w:proofErr w:type="gramEnd"/>
    </w:p>
    <w:p w:rsidR="00C006B4" w:rsidRDefault="00F07F37">
      <w:pPr>
        <w:pStyle w:val="Zkladntext1"/>
        <w:spacing w:after="600"/>
        <w:jc w:val="center"/>
      </w:pPr>
      <w:r>
        <w:rPr>
          <w:rStyle w:val="Zkladntext"/>
        </w:rPr>
        <w:t>uzavřený mezi</w:t>
      </w:r>
    </w:p>
    <w:p w:rsidR="00C006B4" w:rsidRDefault="00F07F37">
      <w:pPr>
        <w:pStyle w:val="Nadpis20"/>
        <w:keepNext/>
        <w:keepLines/>
        <w:spacing w:after="0"/>
        <w:jc w:val="both"/>
      </w:pPr>
      <w:bookmarkStart w:id="2" w:name="bookmark8"/>
      <w:r>
        <w:rPr>
          <w:rStyle w:val="Nadpis2"/>
          <w:b/>
          <w:bCs/>
        </w:rPr>
        <w:t>Kroměřížské technické služby, s.r.o.</w:t>
      </w:r>
      <w:bookmarkEnd w:id="2"/>
    </w:p>
    <w:p w:rsidR="00C006B4" w:rsidRDefault="00F07F37">
      <w:pPr>
        <w:pStyle w:val="Zkladntext1"/>
        <w:spacing w:after="0"/>
        <w:jc w:val="both"/>
      </w:pPr>
      <w:r>
        <w:rPr>
          <w:rStyle w:val="Zkladntext"/>
        </w:rPr>
        <w:t>Kaplanova 2959, Kroměříž</w:t>
      </w:r>
    </w:p>
    <w:p w:rsidR="00C006B4" w:rsidRDefault="00F07F37">
      <w:pPr>
        <w:pStyle w:val="Zkladntext1"/>
        <w:spacing w:after="0"/>
        <w:jc w:val="both"/>
      </w:pPr>
      <w:r>
        <w:rPr>
          <w:rStyle w:val="Zkladntext"/>
        </w:rPr>
        <w:t>Zastoupená: Ing. M. Vítkem, ředitelem společnosti</w:t>
      </w:r>
    </w:p>
    <w:p w:rsidR="00C006B4" w:rsidRDefault="00F07F37">
      <w:pPr>
        <w:pStyle w:val="Zkladntext1"/>
        <w:spacing w:after="60"/>
        <w:jc w:val="both"/>
      </w:pPr>
      <w:r>
        <w:rPr>
          <w:rStyle w:val="Zkladntext"/>
        </w:rPr>
        <w:t>IČO: 26276437</w:t>
      </w:r>
    </w:p>
    <w:p w:rsidR="00C006B4" w:rsidRDefault="00F07F37">
      <w:pPr>
        <w:pStyle w:val="Zkladntext1"/>
        <w:spacing w:after="1260"/>
      </w:pPr>
      <w:r>
        <w:rPr>
          <w:rStyle w:val="Zkladntext"/>
        </w:rPr>
        <w:t>(dále jen pronajímatel)</w:t>
      </w:r>
    </w:p>
    <w:p w:rsidR="00C006B4" w:rsidRDefault="00F07F37">
      <w:pPr>
        <w:pStyle w:val="Nadpis20"/>
        <w:keepNext/>
        <w:keepLines/>
        <w:spacing w:after="0" w:line="257" w:lineRule="auto"/>
      </w:pPr>
      <w:bookmarkStart w:id="3" w:name="bookmark10"/>
      <w:proofErr w:type="spellStart"/>
      <w:r>
        <w:rPr>
          <w:rStyle w:val="Nadpis2"/>
          <w:b/>
          <w:bCs/>
        </w:rPr>
        <w:t>Bilardový</w:t>
      </w:r>
      <w:proofErr w:type="spellEnd"/>
      <w:r>
        <w:rPr>
          <w:rStyle w:val="Nadpis2"/>
          <w:b/>
          <w:bCs/>
        </w:rPr>
        <w:t xml:space="preserve"> klub 92 Kroměříž, klub </w:t>
      </w:r>
      <w:proofErr w:type="spellStart"/>
      <w:r>
        <w:rPr>
          <w:rStyle w:val="Nadpis2"/>
          <w:b/>
          <w:bCs/>
        </w:rPr>
        <w:t>kulečníkářů</w:t>
      </w:r>
      <w:bookmarkEnd w:id="3"/>
      <w:proofErr w:type="spellEnd"/>
    </w:p>
    <w:p w:rsidR="00C006B4" w:rsidRDefault="00F07F37">
      <w:pPr>
        <w:pStyle w:val="Zkladntext1"/>
        <w:spacing w:after="0" w:line="257" w:lineRule="auto"/>
      </w:pPr>
      <w:r>
        <w:rPr>
          <w:rStyle w:val="Zkladntext"/>
        </w:rPr>
        <w:t xml:space="preserve">IČO: </w:t>
      </w:r>
      <w:bookmarkStart w:id="4" w:name="_GoBack"/>
      <w:r>
        <w:rPr>
          <w:rStyle w:val="Zkladntext"/>
        </w:rPr>
        <w:t>479 35 308</w:t>
      </w:r>
      <w:bookmarkEnd w:id="4"/>
    </w:p>
    <w:p w:rsidR="00C006B4" w:rsidRDefault="00F07F37">
      <w:pPr>
        <w:pStyle w:val="Zkladntext1"/>
        <w:spacing w:after="0" w:line="257" w:lineRule="auto"/>
      </w:pPr>
      <w:r>
        <w:rPr>
          <w:rStyle w:val="Zkladntext"/>
        </w:rPr>
        <w:t>Zastoupený: Ing. Robertem Plačkem, předsedou</w:t>
      </w:r>
    </w:p>
    <w:p w:rsidR="00C006B4" w:rsidRDefault="00F07F37">
      <w:pPr>
        <w:pStyle w:val="Zkladntext1"/>
        <w:spacing w:after="0" w:line="257" w:lineRule="auto"/>
      </w:pPr>
      <w:r>
        <w:rPr>
          <w:rStyle w:val="Zkladntext"/>
        </w:rPr>
        <w:t>bytem Strážná 4326, Kroměříž, 767 01</w:t>
      </w:r>
    </w:p>
    <w:p w:rsidR="00C006B4" w:rsidRDefault="00F07F37">
      <w:pPr>
        <w:pStyle w:val="Zkladntext1"/>
        <w:spacing w:after="360" w:line="257" w:lineRule="auto"/>
      </w:pPr>
      <w:r>
        <w:rPr>
          <w:rStyle w:val="Zkladntext"/>
        </w:rPr>
        <w:t>(dále jen nájemce)</w:t>
      </w:r>
    </w:p>
    <w:p w:rsidR="00C006B4" w:rsidRDefault="00F07F37">
      <w:pPr>
        <w:pStyle w:val="Zkladntext1"/>
        <w:spacing w:after="600" w:line="257" w:lineRule="auto"/>
        <w:ind w:firstLine="760"/>
        <w:jc w:val="both"/>
      </w:pPr>
      <w:r>
        <w:rPr>
          <w:rStyle w:val="Zkladntext"/>
        </w:rPr>
        <w:t xml:space="preserve">Obě smluvní strany uzavřely dne </w:t>
      </w:r>
      <w:proofErr w:type="gramStart"/>
      <w:r>
        <w:rPr>
          <w:rStyle w:val="Zkladntext"/>
        </w:rPr>
        <w:t>31.8.2005</w:t>
      </w:r>
      <w:proofErr w:type="gramEnd"/>
      <w:r>
        <w:rPr>
          <w:rStyle w:val="Zkladntext"/>
        </w:rPr>
        <w:t xml:space="preserve"> Nájemní smlouvu (dále jen „smlouva“). Nyní mají obě strany zájem na změně smlouvy a u</w:t>
      </w:r>
      <w:r>
        <w:rPr>
          <w:rStyle w:val="Zkladntext"/>
        </w:rPr>
        <w:t>zavírají tento Dodatek č. 12 (dále jen „Dodatek“).</w:t>
      </w:r>
    </w:p>
    <w:p w:rsidR="00C006B4" w:rsidRDefault="00F07F37">
      <w:pPr>
        <w:pStyle w:val="Zkladntext1"/>
        <w:spacing w:after="180"/>
        <w:jc w:val="both"/>
      </w:pPr>
      <w:r>
        <w:rPr>
          <w:rStyle w:val="Zkladntext"/>
        </w:rPr>
        <w:t>čl. III. smlouvy se mění takto:</w:t>
      </w:r>
    </w:p>
    <w:p w:rsidR="00C006B4" w:rsidRDefault="00F07F37">
      <w:pPr>
        <w:pStyle w:val="Zkladntext1"/>
        <w:spacing w:after="0"/>
        <w:jc w:val="both"/>
      </w:pPr>
      <w:r>
        <w:rPr>
          <w:rStyle w:val="Zkladntext"/>
        </w:rPr>
        <w:t xml:space="preserve">Cena za pronájem nebytových prostor blíže specifikovaných v čl. I. této nájemní smlouvy byla stanovena na základě Usnesení Rady města Kroměříže č. RMK/23/13/437 ze dne </w:t>
      </w:r>
      <w:proofErr w:type="gramStart"/>
      <w:r>
        <w:rPr>
          <w:rStyle w:val="Zkladntext"/>
        </w:rPr>
        <w:t>5.5.2</w:t>
      </w:r>
      <w:r>
        <w:rPr>
          <w:rStyle w:val="Zkladntext"/>
        </w:rPr>
        <w:t>023</w:t>
      </w:r>
      <w:proofErr w:type="gramEnd"/>
      <w:r>
        <w:rPr>
          <w:rStyle w:val="Zkladntext"/>
        </w:rPr>
        <w:t xml:space="preserve"> a činí </w:t>
      </w:r>
      <w:r>
        <w:rPr>
          <w:rStyle w:val="Zkladntext"/>
          <w:b/>
          <w:bCs/>
        </w:rPr>
        <w:t xml:space="preserve">300,- Kč/m2 ročně, </w:t>
      </w:r>
      <w:r>
        <w:rPr>
          <w:rStyle w:val="Zkladntext"/>
        </w:rPr>
        <w:t xml:space="preserve">tedy nájemné celkem </w:t>
      </w:r>
      <w:r>
        <w:rPr>
          <w:rStyle w:val="Zkladntext"/>
          <w:b/>
          <w:bCs/>
        </w:rPr>
        <w:t>51.036,- Kč ročně.</w:t>
      </w:r>
    </w:p>
    <w:p w:rsidR="00C006B4" w:rsidRDefault="00F07F3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7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63500</wp:posOffset>
                </wp:positionV>
                <wp:extent cx="2438400" cy="14052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05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06B4" w:rsidRDefault="00F07F37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Čtvrtletní nájemné</w:t>
                            </w:r>
                          </w:p>
                          <w:p w:rsidR="00C006B4" w:rsidRDefault="00F07F37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Služby spojené s užíváním:</w:t>
                            </w:r>
                          </w:p>
                          <w:p w:rsidR="00C006B4" w:rsidRDefault="00F07F37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Zálohy na dodávku tepla čtvrtletně</w:t>
                            </w:r>
                          </w:p>
                          <w:p w:rsidR="00C006B4" w:rsidRDefault="00F07F37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Zálohy na vodné a stočné čtvrtletně</w:t>
                            </w:r>
                          </w:p>
                          <w:p w:rsidR="00C006B4" w:rsidRDefault="00F07F37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Zálohy na elektrickou energii čtvrtletně</w:t>
                            </w:r>
                          </w:p>
                          <w:p w:rsidR="00C006B4" w:rsidRDefault="00F07F37">
                            <w:pPr>
                              <w:pStyle w:val="Nadpis20"/>
                              <w:keepNext/>
                              <w:keepLines/>
                              <w:spacing w:after="120"/>
                            </w:pPr>
                            <w:bookmarkStart w:id="5" w:name="bookmark0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Celková čtvrtletní úhrada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49999999999997pt;margin-top:5.pt;width:192.pt;height:110.65000000000001pt;z-index:-125829375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Čtvrtletní nájemné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Služby spojené s užíváním: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Zálohy na dodávku tepla čtvrtletně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Zálohy na vodné a stočné čtvrtletně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Zálohy na elektrickou energii čtvrtletně</w:t>
                      </w:r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</w:rPr>
                        <w:t>Celková čtvrtletní úhrada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915" distB="1212850" distL="0" distR="0" simplePos="0" relativeHeight="125829380" behindDoc="0" locked="0" layoutInCell="1" allowOverlap="1">
                <wp:simplePos x="0" y="0"/>
                <wp:positionH relativeFrom="page">
                  <wp:posOffset>3381375</wp:posOffset>
                </wp:positionH>
                <wp:positionV relativeFrom="paragraph">
                  <wp:posOffset>81915</wp:posOffset>
                </wp:positionV>
                <wp:extent cx="74676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06B4" w:rsidRDefault="00F07F3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12.759,-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6.25pt;margin-top:6.4500000000000002pt;width:58.800000000000004pt;height:13.700000000000001pt;z-index:-125829373;mso-wrap-distance-left:0;mso-wrap-distance-top:6.4500000000000002pt;mso-wrap-distance-right:0;mso-wrap-distance-bottom:95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12.759,-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69595" distB="240665" distL="0" distR="0" simplePos="0" relativeHeight="125829382" behindDoc="0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569595</wp:posOffset>
                </wp:positionV>
                <wp:extent cx="673735" cy="6584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06B4" w:rsidRDefault="00F07F37">
                            <w:pPr>
                              <w:pStyle w:val="Zkladntext1"/>
                              <w:spacing w:after="12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8.250,- Kč</w:t>
                            </w:r>
                          </w:p>
                          <w:p w:rsidR="00C006B4" w:rsidRDefault="00F07F37">
                            <w:pPr>
                              <w:pStyle w:val="Zkladntext1"/>
                              <w:spacing w:after="120"/>
                              <w:ind w:firstLine="140"/>
                            </w:pPr>
                            <w:r>
                              <w:rPr>
                                <w:rStyle w:val="Zkladntext"/>
                              </w:rPr>
                              <w:t>225,- Kč</w:t>
                            </w:r>
                          </w:p>
                          <w:p w:rsidR="00C006B4" w:rsidRDefault="00F07F37">
                            <w:pPr>
                              <w:pStyle w:val="Zkladntext1"/>
                              <w:spacing w:after="12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375,-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0.30000000000001pt;margin-top:44.850000000000001pt;width:53.050000000000004pt;height:51.850000000000001pt;z-index:-125829371;mso-wrap-distance-left:0;mso-wrap-distance-top:44.850000000000001pt;mso-wrap-distance-right:0;mso-wrap-distance-bottom:18.9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8.250,-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</w:rPr>
                        <w:t>225,-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375,-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1590" distB="3175" distL="0" distR="0" simplePos="0" relativeHeight="125829384" behindDoc="0" locked="0" layoutInCell="1" allowOverlap="1">
                <wp:simplePos x="0" y="0"/>
                <wp:positionH relativeFrom="page">
                  <wp:posOffset>3314065</wp:posOffset>
                </wp:positionH>
                <wp:positionV relativeFrom="paragraph">
                  <wp:posOffset>1291590</wp:posOffset>
                </wp:positionV>
                <wp:extent cx="7683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06B4" w:rsidRDefault="00F07F37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6" w:name="bookmark2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21.609,-Kč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60.94999999999999pt;margin-top:101.7pt;width:60.5pt;height:13.700000000000001pt;z-index:-125829369;mso-wrap-distance-left:0;mso-wrap-distance-top:101.7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5"/>
                          <w:b/>
                          <w:bCs/>
                        </w:rPr>
                        <w:t>21.609,-Kč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06B4" w:rsidRDefault="00F07F37">
      <w:pPr>
        <w:pStyle w:val="Zkladntext1"/>
        <w:spacing w:after="0" w:line="264" w:lineRule="auto"/>
        <w:jc w:val="both"/>
      </w:pPr>
      <w:r>
        <w:rPr>
          <w:rStyle w:val="Zkladntext"/>
        </w:rPr>
        <w:t>Nájemné a zálohy na služby jsou splatné v pravidelných čtvrtletních splátkách vždy do 5. dne druhého měsíce čtvrtletí.</w:t>
      </w:r>
    </w:p>
    <w:p w:rsidR="00C006B4" w:rsidRDefault="00F07F37">
      <w:pPr>
        <w:pStyle w:val="Zkladntext1"/>
        <w:spacing w:after="0" w:line="264" w:lineRule="auto"/>
        <w:jc w:val="both"/>
      </w:pPr>
      <w:r>
        <w:rPr>
          <w:rStyle w:val="Zkladntext"/>
        </w:rPr>
        <w:t xml:space="preserve">V případě prodlení nájemce s placením nájemného se sjednává smluvní pokuta </w:t>
      </w:r>
      <w:r>
        <w:rPr>
          <w:rStyle w:val="Zkladntext"/>
        </w:rPr>
        <w:t>ve výši 0,05% z dlužné částky denně.</w:t>
      </w:r>
    </w:p>
    <w:p w:rsidR="00C006B4" w:rsidRDefault="00F07F37">
      <w:pPr>
        <w:pStyle w:val="Zkladntext1"/>
        <w:spacing w:after="0" w:line="264" w:lineRule="auto"/>
        <w:jc w:val="both"/>
      </w:pPr>
      <w:r>
        <w:rPr>
          <w:rStyle w:val="Zkladntext"/>
        </w:rPr>
        <w:t>Pronajímatel je oprávněn zvyšovat výši nájemného o částku, která bude představovat míru inflace, zjištěnou u Českého statistického úřadu dle podkladů vývoje indexu spotřebitelských cen na území ČR z průběhu každého před</w:t>
      </w:r>
      <w:r>
        <w:rPr>
          <w:rStyle w:val="Zkladntext"/>
        </w:rPr>
        <w:t xml:space="preserve">chozího roku. Takto bude nájemné zvýšeno vždy od </w:t>
      </w:r>
      <w:proofErr w:type="gramStart"/>
      <w:r>
        <w:rPr>
          <w:rStyle w:val="Zkladntext"/>
        </w:rPr>
        <w:t>1.1. na</w:t>
      </w:r>
      <w:proofErr w:type="gramEnd"/>
      <w:r>
        <w:rPr>
          <w:rStyle w:val="Zkladntext"/>
        </w:rPr>
        <w:t xml:space="preserve"> příslušný kalendářní rok. Pronajímatel oznámí nájemci zvýšení písemně v co nejkratší lhůtě, jinak je zvýšení neplatné.</w:t>
      </w:r>
      <w:r>
        <w:br w:type="page"/>
      </w:r>
    </w:p>
    <w:p w:rsidR="00C006B4" w:rsidRDefault="00F07F37">
      <w:pPr>
        <w:pStyle w:val="Zkladntext1"/>
        <w:spacing w:after="240"/>
        <w:jc w:val="center"/>
      </w:pPr>
      <w:r>
        <w:rPr>
          <w:rStyle w:val="Zkladntext"/>
        </w:rPr>
        <w:lastRenderedPageBreak/>
        <w:t>II.</w:t>
      </w:r>
    </w:p>
    <w:p w:rsidR="00C006B4" w:rsidRDefault="00F07F37">
      <w:pPr>
        <w:pStyle w:val="Zkladntext1"/>
        <w:spacing w:after="240"/>
      </w:pPr>
      <w:r>
        <w:rPr>
          <w:rStyle w:val="Zkladntext"/>
        </w:rPr>
        <w:t>Ostatní ujednání smlouvy zůstávají beze změny.</w:t>
      </w:r>
    </w:p>
    <w:p w:rsidR="00C006B4" w:rsidRDefault="00F07F37">
      <w:pPr>
        <w:pStyle w:val="Zkladntext1"/>
        <w:spacing w:after="500"/>
      </w:pPr>
      <w:r>
        <w:rPr>
          <w:rStyle w:val="Zkladntext"/>
        </w:rPr>
        <w:t xml:space="preserve">Tento dodatek nabývá </w:t>
      </w:r>
      <w:r>
        <w:rPr>
          <w:rStyle w:val="Zkladntext"/>
        </w:rPr>
        <w:t>účinnosti dnem 1. července 2023</w:t>
      </w:r>
    </w:p>
    <w:sectPr w:rsidR="00C006B4">
      <w:headerReference w:type="even" r:id="rId6"/>
      <w:headerReference w:type="default" r:id="rId7"/>
      <w:pgSz w:w="11900" w:h="16840"/>
      <w:pgMar w:top="1368" w:right="1339" w:bottom="1380" w:left="13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37" w:rsidRDefault="00F07F37">
      <w:r>
        <w:separator/>
      </w:r>
    </w:p>
  </w:endnote>
  <w:endnote w:type="continuationSeparator" w:id="0">
    <w:p w:rsidR="00F07F37" w:rsidRDefault="00F0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37" w:rsidRDefault="00F07F37"/>
  </w:footnote>
  <w:footnote w:type="continuationSeparator" w:id="0">
    <w:p w:rsidR="00F07F37" w:rsidRDefault="00F07F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B4" w:rsidRDefault="00C006B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B4" w:rsidRDefault="00F07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5441315</wp:posOffset>
              </wp:positionH>
              <wp:positionV relativeFrom="page">
                <wp:posOffset>213360</wp:posOffset>
              </wp:positionV>
              <wp:extent cx="722630" cy="1403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6B4" w:rsidRDefault="00C006B4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428.45pt;margin-top:16.8pt;width:56.9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" filled="f" stroked="f">
              <v:textbox style="mso-fit-shape-to-text:t" inset="0,0,0,0">
                <w:txbxContent>
                  <w:p w:rsidR="00C006B4" w:rsidRDefault="00C006B4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4"/>
    <w:rsid w:val="00972CA4"/>
    <w:rsid w:val="00C006B4"/>
    <w:rsid w:val="00F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65424-1BF3-4D9A-8990-C3D9B4D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3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21" w:lineRule="auto"/>
      <w:ind w:left="940" w:hanging="4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before="300" w:after="190" w:line="218" w:lineRule="auto"/>
      <w:ind w:left="580" w:firstLine="9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206" w:lineRule="auto"/>
      <w:ind w:left="1320"/>
    </w:pPr>
    <w:rPr>
      <w:rFonts w:ascii="Arial" w:eastAsia="Arial" w:hAnsi="Arial" w:cs="Arial"/>
      <w:i/>
      <w:iCs/>
      <w:sz w:val="14"/>
      <w:szCs w:val="14"/>
    </w:rPr>
  </w:style>
  <w:style w:type="paragraph" w:styleId="Zpat">
    <w:name w:val="footer"/>
    <w:basedOn w:val="Normln"/>
    <w:link w:val="ZpatChar"/>
    <w:uiPriority w:val="99"/>
    <w:unhideWhenUsed/>
    <w:rsid w:val="00972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CA4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972C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C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2023-08-04T09:34:00Z</dcterms:created>
  <dcterms:modified xsi:type="dcterms:W3CDTF">2023-08-04T09:35:00Z</dcterms:modified>
</cp:coreProperties>
</file>