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A66307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57493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A6630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26064/P/2023-HSPH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A66307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UZSVM/P/18834/2023-HSPH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B24AAC" w:rsidRPr="000938A6" w:rsidRDefault="00A66307" w:rsidP="00B24AAC">
      <w:pPr>
        <w:pStyle w:val="Default"/>
        <w:spacing w:before="240"/>
        <w:jc w:val="center"/>
        <w:rPr>
          <w:b/>
          <w:bCs/>
          <w:color w:val="auto"/>
          <w:sz w:val="28"/>
          <w:szCs w:val="28"/>
        </w:rPr>
      </w:pPr>
      <w:r w:rsidRPr="000938A6">
        <w:rPr>
          <w:b/>
          <w:bCs/>
          <w:color w:val="auto"/>
          <w:sz w:val="28"/>
          <w:szCs w:val="28"/>
        </w:rPr>
        <w:t xml:space="preserve">RÁMCOVÁ DOHODA </w:t>
      </w:r>
    </w:p>
    <w:p w:rsidR="00B24AAC" w:rsidRPr="000938A6" w:rsidRDefault="00A66307" w:rsidP="00B24AAC">
      <w:pPr>
        <w:pStyle w:val="Default"/>
        <w:spacing w:before="120"/>
        <w:jc w:val="center"/>
        <w:rPr>
          <w:b/>
          <w:bCs/>
          <w:color w:val="auto"/>
          <w:sz w:val="28"/>
          <w:szCs w:val="28"/>
        </w:rPr>
      </w:pPr>
      <w:r w:rsidRPr="000938A6">
        <w:rPr>
          <w:b/>
          <w:bCs/>
          <w:color w:val="auto"/>
          <w:sz w:val="28"/>
          <w:szCs w:val="28"/>
        </w:rPr>
        <w:t xml:space="preserve">O DODÁVCE HYGIENICKÝCH POTŘEB </w:t>
      </w:r>
    </w:p>
    <w:p w:rsidR="00B24AAC" w:rsidRPr="000938A6" w:rsidRDefault="00A66307" w:rsidP="00B24AAC">
      <w:pPr>
        <w:pStyle w:val="Default"/>
        <w:spacing w:before="120"/>
        <w:jc w:val="center"/>
        <w:rPr>
          <w:color w:val="auto"/>
          <w:sz w:val="28"/>
          <w:szCs w:val="28"/>
        </w:rPr>
      </w:pPr>
      <w:r w:rsidRPr="000938A6">
        <w:rPr>
          <w:b/>
          <w:bCs/>
          <w:color w:val="auto"/>
          <w:sz w:val="28"/>
          <w:szCs w:val="28"/>
        </w:rPr>
        <w:t xml:space="preserve">ÚZSVM ÚP Plzeň č. </w:t>
      </w:r>
      <w:r w:rsidR="00B938D5">
        <w:rPr>
          <w:b/>
          <w:bCs/>
          <w:color w:val="auto"/>
          <w:sz w:val="28"/>
          <w:szCs w:val="28"/>
        </w:rPr>
        <w:t>125</w:t>
      </w:r>
      <w:r w:rsidRPr="000938A6">
        <w:rPr>
          <w:b/>
          <w:bCs/>
          <w:color w:val="auto"/>
          <w:sz w:val="28"/>
          <w:szCs w:val="28"/>
        </w:rPr>
        <w:t>/202</w:t>
      </w:r>
      <w:r>
        <w:rPr>
          <w:b/>
          <w:bCs/>
          <w:color w:val="auto"/>
          <w:sz w:val="28"/>
          <w:szCs w:val="28"/>
        </w:rPr>
        <w:t>3</w:t>
      </w:r>
    </w:p>
    <w:p w:rsidR="00B24AAC" w:rsidRPr="000938A6" w:rsidRDefault="00A66307" w:rsidP="00B24AAC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0938A6">
        <w:rPr>
          <w:bCs/>
          <w:color w:val="auto"/>
          <w:sz w:val="22"/>
          <w:szCs w:val="22"/>
        </w:rPr>
        <w:t>uzavřená dle ustanovení § 1746 odst. 2 zákona č. 89/2012 Sb., občanský zákoník, ve znění pozdějších předpisů (dále jen „občanský zákoník“)</w:t>
      </w:r>
      <w:r w:rsidRPr="000938A6">
        <w:rPr>
          <w:color w:val="auto"/>
          <w:sz w:val="22"/>
          <w:szCs w:val="22"/>
        </w:rPr>
        <w:t xml:space="preserve"> na veřejnou zakázku s názvem </w:t>
      </w:r>
      <w:r>
        <w:rPr>
          <w:color w:val="auto"/>
          <w:sz w:val="22"/>
          <w:szCs w:val="22"/>
        </w:rPr>
        <w:br/>
      </w:r>
      <w:r w:rsidRPr="000938A6">
        <w:rPr>
          <w:color w:val="auto"/>
          <w:sz w:val="22"/>
          <w:szCs w:val="22"/>
        </w:rPr>
        <w:t>„</w:t>
      </w:r>
      <w:r w:rsidRPr="000938A6">
        <w:rPr>
          <w:b/>
          <w:color w:val="auto"/>
          <w:sz w:val="22"/>
          <w:szCs w:val="22"/>
        </w:rPr>
        <w:t>ÚZSVM ÚP Plzeň – Dodávka hygienických potřeb</w:t>
      </w:r>
      <w:r w:rsidRPr="000938A6">
        <w:rPr>
          <w:color w:val="auto"/>
          <w:sz w:val="22"/>
          <w:szCs w:val="22"/>
        </w:rPr>
        <w:t>“ (dále jen „veřejná zakázka“)</w:t>
      </w:r>
    </w:p>
    <w:p w:rsidR="00B24AAC" w:rsidRPr="000938A6" w:rsidRDefault="00A66307" w:rsidP="00B24AAC">
      <w:pPr>
        <w:pStyle w:val="Default"/>
        <w:spacing w:before="240"/>
        <w:jc w:val="both"/>
        <w:rPr>
          <w:b/>
          <w:bCs/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>Účastníci dohody:</w:t>
      </w:r>
    </w:p>
    <w:p w:rsidR="00B24AAC" w:rsidRPr="000938A6" w:rsidRDefault="00A66307" w:rsidP="00B24AAC">
      <w:pPr>
        <w:pStyle w:val="Default"/>
        <w:spacing w:before="120"/>
        <w:jc w:val="both"/>
        <w:rPr>
          <w:b/>
          <w:bCs/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>Zadavatel:</w:t>
      </w:r>
      <w:r w:rsidRPr="000938A6">
        <w:rPr>
          <w:b/>
          <w:bCs/>
          <w:color w:val="auto"/>
          <w:sz w:val="22"/>
          <w:szCs w:val="22"/>
        </w:rPr>
        <w:tab/>
      </w:r>
      <w:r w:rsidRPr="000938A6">
        <w:rPr>
          <w:b/>
          <w:bCs/>
          <w:color w:val="auto"/>
          <w:sz w:val="22"/>
          <w:szCs w:val="22"/>
        </w:rPr>
        <w:tab/>
      </w:r>
      <w:r w:rsidRPr="000938A6">
        <w:rPr>
          <w:b/>
          <w:bCs/>
          <w:color w:val="auto"/>
          <w:sz w:val="22"/>
          <w:szCs w:val="22"/>
        </w:rPr>
        <w:tab/>
        <w:t xml:space="preserve">Česká republika </w:t>
      </w:r>
    </w:p>
    <w:p w:rsidR="00B24AAC" w:rsidRPr="000938A6" w:rsidRDefault="00A66307" w:rsidP="00B24AAC">
      <w:pPr>
        <w:pStyle w:val="Default"/>
        <w:spacing w:before="120"/>
        <w:ind w:left="2126" w:firstLine="709"/>
        <w:contextualSpacing/>
        <w:jc w:val="both"/>
        <w:rPr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:rsidR="00B24AAC" w:rsidRPr="000938A6" w:rsidRDefault="00A66307" w:rsidP="00B24AAC">
      <w:pPr>
        <w:widowControl w:val="0"/>
        <w:autoSpaceDE w:val="0"/>
        <w:autoSpaceDN w:val="0"/>
        <w:adjustRightInd w:val="0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0938A6">
        <w:rPr>
          <w:rFonts w:ascii="Arial" w:hAnsi="Arial" w:cs="Arial"/>
          <w:bCs/>
          <w:sz w:val="22"/>
          <w:szCs w:val="22"/>
        </w:rPr>
        <w:t>o Úřadu pro zastupování státu ve věcech majetkových,</w:t>
      </w:r>
      <w:r w:rsidRPr="000938A6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:rsidR="00B24AAC" w:rsidRPr="000938A6" w:rsidRDefault="00A66307" w:rsidP="00B24AA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se sídlem: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  <w:t>Rašínovo nábřeží 390/42, Nové Město, 128 00 Praha 2</w:t>
      </w:r>
    </w:p>
    <w:p w:rsidR="00B24AAC" w:rsidRPr="000938A6" w:rsidRDefault="00A66307" w:rsidP="00B24AAC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za kterého právně jedná:</w:t>
      </w:r>
      <w:r w:rsidRPr="000938A6">
        <w:rPr>
          <w:color w:val="auto"/>
          <w:sz w:val="22"/>
          <w:szCs w:val="22"/>
        </w:rPr>
        <w:tab/>
        <w:t>Mgr. Ing. Ladislav Nový, ředitel Územního pracoviště Plzeň</w:t>
      </w:r>
    </w:p>
    <w:p w:rsidR="00B24AAC" w:rsidRPr="000938A6" w:rsidRDefault="00A66307" w:rsidP="00B24AAC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IČO: 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  <w:t xml:space="preserve">69797111 </w:t>
      </w:r>
    </w:p>
    <w:p w:rsidR="00B24AAC" w:rsidRPr="000938A6" w:rsidRDefault="00A66307" w:rsidP="00B24AAC">
      <w:pPr>
        <w:pStyle w:val="Default"/>
        <w:spacing w:before="120"/>
        <w:contextualSpacing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DIČ: 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  <w:t xml:space="preserve">CZ69797111 – není plátce DPH </w:t>
      </w:r>
    </w:p>
    <w:p w:rsidR="00B24AAC" w:rsidRPr="000938A6" w:rsidRDefault="00A66307" w:rsidP="00B24AAC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bankovní spojení: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  <w:t>Česká národní banka, číslo účtu: 24728311/0710</w:t>
      </w:r>
    </w:p>
    <w:p w:rsidR="00B24AAC" w:rsidRPr="000938A6" w:rsidRDefault="00A66307" w:rsidP="00B24AA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(dále jen „zadavatel“) </w:t>
      </w:r>
    </w:p>
    <w:p w:rsidR="00B24AAC" w:rsidRPr="000938A6" w:rsidRDefault="00A66307" w:rsidP="00B24AAC">
      <w:pPr>
        <w:pStyle w:val="Default"/>
        <w:spacing w:before="240" w:after="240"/>
        <w:jc w:val="both"/>
        <w:rPr>
          <w:color w:val="auto"/>
          <w:sz w:val="22"/>
          <w:szCs w:val="22"/>
        </w:rPr>
      </w:pPr>
      <w:r w:rsidRPr="000938A6">
        <w:rPr>
          <w:bCs/>
          <w:color w:val="auto"/>
          <w:sz w:val="22"/>
          <w:szCs w:val="22"/>
        </w:rPr>
        <w:t xml:space="preserve">a </w:t>
      </w:r>
    </w:p>
    <w:p w:rsidR="00B24AAC" w:rsidRPr="000938A6" w:rsidRDefault="00A66307" w:rsidP="00B24AAC">
      <w:pPr>
        <w:pStyle w:val="Default"/>
        <w:jc w:val="both"/>
        <w:rPr>
          <w:bCs/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>Dodavatel:</w:t>
      </w:r>
      <w:r w:rsidRPr="000938A6">
        <w:rPr>
          <w:b/>
          <w:bCs/>
          <w:color w:val="auto"/>
          <w:sz w:val="22"/>
          <w:szCs w:val="22"/>
        </w:rPr>
        <w:tab/>
      </w:r>
      <w:r w:rsidRPr="000938A6">
        <w:rPr>
          <w:b/>
          <w:bCs/>
          <w:color w:val="auto"/>
          <w:sz w:val="22"/>
          <w:szCs w:val="22"/>
        </w:rPr>
        <w:tab/>
      </w:r>
      <w:r w:rsidRPr="000938A6">
        <w:rPr>
          <w:b/>
          <w:bCs/>
          <w:color w:val="auto"/>
          <w:sz w:val="22"/>
          <w:szCs w:val="22"/>
        </w:rPr>
        <w:tab/>
      </w:r>
      <w:r w:rsidR="00B938D5">
        <w:rPr>
          <w:b/>
          <w:bCs/>
          <w:color w:val="auto"/>
          <w:sz w:val="22"/>
          <w:szCs w:val="22"/>
        </w:rPr>
        <w:t>Enttiva s.r.o.</w:t>
      </w:r>
    </w:p>
    <w:p w:rsidR="00B24AAC" w:rsidRPr="000938A6" w:rsidRDefault="00A66307" w:rsidP="00B24AA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se sídlem: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B938D5">
        <w:rPr>
          <w:color w:val="auto"/>
          <w:sz w:val="22"/>
          <w:szCs w:val="22"/>
        </w:rPr>
        <w:t>Kubelíkova 1224/42, Žižkov, 130 00 Praha 3</w:t>
      </w:r>
    </w:p>
    <w:p w:rsidR="00B24AAC" w:rsidRPr="000938A6" w:rsidRDefault="00A66307" w:rsidP="00B24AA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zastoupený: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B938D5">
        <w:rPr>
          <w:color w:val="auto"/>
          <w:sz w:val="22"/>
          <w:szCs w:val="22"/>
        </w:rPr>
        <w:t>Dana Zachová – jednatelka, Lukáš Zach - jednatel</w:t>
      </w:r>
    </w:p>
    <w:p w:rsidR="00B24AAC" w:rsidRPr="000938A6" w:rsidRDefault="00A66307" w:rsidP="00B24AA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IČO: 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B938D5">
        <w:rPr>
          <w:color w:val="auto"/>
          <w:sz w:val="22"/>
          <w:szCs w:val="22"/>
        </w:rPr>
        <w:t>28993144</w:t>
      </w:r>
    </w:p>
    <w:p w:rsidR="00B24AAC" w:rsidRPr="000938A6" w:rsidRDefault="00A66307" w:rsidP="00B24AAC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DIČ: 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4402D3">
        <w:rPr>
          <w:color w:val="auto"/>
          <w:sz w:val="22"/>
          <w:szCs w:val="22"/>
        </w:rPr>
        <w:t>XXXXXXX</w:t>
      </w:r>
    </w:p>
    <w:p w:rsidR="00B24AAC" w:rsidRPr="000938A6" w:rsidRDefault="00A66307" w:rsidP="00B24AAC">
      <w:pPr>
        <w:pStyle w:val="Default"/>
        <w:spacing w:before="120"/>
        <w:ind w:left="1416" w:hanging="1416"/>
        <w:jc w:val="both"/>
        <w:rPr>
          <w:bCs/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zápis ve veřejném rejstříku:</w:t>
      </w:r>
      <w:r w:rsidRPr="000938A6">
        <w:rPr>
          <w:color w:val="auto"/>
          <w:sz w:val="22"/>
          <w:szCs w:val="22"/>
        </w:rPr>
        <w:tab/>
      </w:r>
      <w:r w:rsidR="00B938D5">
        <w:rPr>
          <w:color w:val="auto"/>
          <w:sz w:val="22"/>
          <w:szCs w:val="22"/>
        </w:rPr>
        <w:t>Městského soudu v Praze, oddíl C, spisová značka 158491</w:t>
      </w:r>
    </w:p>
    <w:p w:rsidR="00B24AAC" w:rsidRPr="000938A6" w:rsidRDefault="00A66307" w:rsidP="00B24AAC">
      <w:pPr>
        <w:pStyle w:val="Default"/>
        <w:spacing w:before="120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bankovní spojení: 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4402D3">
        <w:rPr>
          <w:color w:val="auto"/>
          <w:sz w:val="22"/>
          <w:szCs w:val="22"/>
        </w:rPr>
        <w:t>XXXXX</w:t>
      </w:r>
    </w:p>
    <w:p w:rsidR="00B24AAC" w:rsidRPr="000938A6" w:rsidRDefault="00A66307" w:rsidP="00B24AAC">
      <w:pPr>
        <w:shd w:val="clear" w:color="auto" w:fill="FFFFFF"/>
        <w:spacing w:before="120"/>
        <w:ind w:firstLine="708"/>
        <w:rPr>
          <w:rFonts w:ascii="Arial" w:hAnsi="Arial" w:cs="Arial"/>
          <w:i/>
          <w:sz w:val="22"/>
          <w:szCs w:val="22"/>
        </w:rPr>
      </w:pPr>
      <w:r w:rsidRPr="000938A6">
        <w:rPr>
          <w:rFonts w:ascii="Arial" w:hAnsi="Arial" w:cs="Arial"/>
          <w:bCs/>
          <w:i/>
          <w:sz w:val="22"/>
          <w:szCs w:val="22"/>
        </w:rPr>
        <w:t xml:space="preserve">adresa pro zadávání objednávek: </w:t>
      </w:r>
      <w:r w:rsidRPr="000938A6">
        <w:rPr>
          <w:rFonts w:ascii="Arial" w:hAnsi="Arial" w:cs="Arial"/>
          <w:bCs/>
          <w:i/>
          <w:sz w:val="22"/>
          <w:szCs w:val="22"/>
        </w:rPr>
        <w:tab/>
      </w:r>
    </w:p>
    <w:p w:rsidR="00B24AAC" w:rsidRPr="000938A6" w:rsidRDefault="00A66307" w:rsidP="00B24AAC">
      <w:pPr>
        <w:shd w:val="clear" w:color="auto" w:fill="FFFFFF"/>
        <w:spacing w:before="120"/>
        <w:ind w:firstLine="708"/>
        <w:rPr>
          <w:rFonts w:ascii="Arial" w:hAnsi="Arial" w:cs="Arial"/>
          <w:i/>
          <w:sz w:val="22"/>
          <w:szCs w:val="22"/>
        </w:rPr>
      </w:pPr>
      <w:r w:rsidRPr="000938A6">
        <w:rPr>
          <w:rFonts w:ascii="Arial" w:hAnsi="Arial" w:cs="Arial"/>
          <w:bCs/>
          <w:i/>
          <w:sz w:val="22"/>
          <w:szCs w:val="22"/>
        </w:rPr>
        <w:t>e-mail pro zadávání objednávek:</w:t>
      </w:r>
      <w:r w:rsidRPr="000938A6">
        <w:rPr>
          <w:rFonts w:ascii="Arial" w:hAnsi="Arial" w:cs="Arial"/>
          <w:bCs/>
          <w:i/>
          <w:sz w:val="22"/>
          <w:szCs w:val="22"/>
        </w:rPr>
        <w:tab/>
      </w:r>
      <w:r w:rsidR="004402D3">
        <w:rPr>
          <w:rFonts w:ascii="Arial" w:hAnsi="Arial" w:cs="Arial"/>
          <w:bCs/>
          <w:i/>
          <w:sz w:val="22"/>
          <w:szCs w:val="22"/>
        </w:rPr>
        <w:t>XXXXXX</w:t>
      </w:r>
    </w:p>
    <w:p w:rsidR="00B24AAC" w:rsidRPr="000938A6" w:rsidRDefault="00A66307" w:rsidP="00B24AAC">
      <w:pPr>
        <w:shd w:val="clear" w:color="auto" w:fill="FFFFFF"/>
        <w:spacing w:before="120"/>
        <w:ind w:firstLine="708"/>
        <w:rPr>
          <w:rFonts w:ascii="Arial" w:hAnsi="Arial" w:cs="Arial"/>
          <w:i/>
          <w:sz w:val="22"/>
          <w:szCs w:val="22"/>
        </w:rPr>
      </w:pPr>
      <w:r w:rsidRPr="000938A6">
        <w:rPr>
          <w:rFonts w:ascii="Arial" w:hAnsi="Arial" w:cs="Arial"/>
          <w:bCs/>
          <w:i/>
          <w:sz w:val="22"/>
          <w:szCs w:val="22"/>
        </w:rPr>
        <w:t xml:space="preserve">kontaktní osoba ve věci plnění rámcové dohody: </w:t>
      </w:r>
      <w:r w:rsidRPr="000938A6">
        <w:rPr>
          <w:rFonts w:ascii="Arial" w:hAnsi="Arial" w:cs="Arial"/>
          <w:bCs/>
          <w:i/>
          <w:sz w:val="22"/>
          <w:szCs w:val="22"/>
        </w:rPr>
        <w:tab/>
      </w:r>
      <w:r w:rsidR="004402D3">
        <w:rPr>
          <w:rFonts w:ascii="Arial" w:hAnsi="Arial" w:cs="Arial"/>
          <w:bCs/>
          <w:i/>
          <w:sz w:val="22"/>
          <w:szCs w:val="22"/>
        </w:rPr>
        <w:t>XXXXX</w:t>
      </w:r>
    </w:p>
    <w:p w:rsidR="00B24AAC" w:rsidRPr="000938A6" w:rsidRDefault="00A66307" w:rsidP="00B24AAC">
      <w:pPr>
        <w:shd w:val="clear" w:color="auto" w:fill="FFFFFF"/>
        <w:spacing w:before="120"/>
        <w:ind w:left="4248" w:firstLine="708"/>
        <w:rPr>
          <w:rFonts w:ascii="Arial" w:hAnsi="Arial" w:cs="Arial"/>
          <w:i/>
          <w:sz w:val="22"/>
          <w:szCs w:val="22"/>
        </w:rPr>
      </w:pPr>
      <w:r w:rsidRPr="000938A6">
        <w:rPr>
          <w:rFonts w:ascii="Arial" w:hAnsi="Arial" w:cs="Arial"/>
          <w:bCs/>
          <w:i/>
          <w:sz w:val="22"/>
          <w:szCs w:val="22"/>
        </w:rPr>
        <w:t xml:space="preserve">e-mail: </w:t>
      </w:r>
      <w:r w:rsidR="004402D3">
        <w:rPr>
          <w:rFonts w:ascii="Arial" w:hAnsi="Arial" w:cs="Arial"/>
          <w:bCs/>
          <w:i/>
          <w:sz w:val="22"/>
          <w:szCs w:val="22"/>
        </w:rPr>
        <w:t>XXXXX</w:t>
      </w:r>
    </w:p>
    <w:p w:rsidR="00B24AAC" w:rsidRPr="000938A6" w:rsidRDefault="00A66307" w:rsidP="00B24AAC">
      <w:pPr>
        <w:shd w:val="clear" w:color="auto" w:fill="FFFFFF"/>
        <w:tabs>
          <w:tab w:val="left" w:pos="4253"/>
        </w:tabs>
        <w:spacing w:before="120"/>
        <w:ind w:left="2832"/>
        <w:rPr>
          <w:rFonts w:ascii="Arial" w:hAnsi="Arial" w:cs="Arial"/>
          <w:bCs/>
          <w:i/>
          <w:sz w:val="22"/>
          <w:szCs w:val="22"/>
        </w:rPr>
      </w:pPr>
      <w:r w:rsidRPr="000938A6">
        <w:rPr>
          <w:rFonts w:ascii="Arial" w:hAnsi="Arial" w:cs="Arial"/>
          <w:bCs/>
          <w:i/>
          <w:sz w:val="22"/>
          <w:szCs w:val="22"/>
        </w:rPr>
        <w:tab/>
      </w:r>
      <w:r w:rsidRPr="000938A6">
        <w:rPr>
          <w:rFonts w:ascii="Arial" w:hAnsi="Arial" w:cs="Arial"/>
          <w:bCs/>
          <w:i/>
          <w:sz w:val="22"/>
          <w:szCs w:val="22"/>
        </w:rPr>
        <w:tab/>
        <w:t xml:space="preserve">tel.: </w:t>
      </w:r>
      <w:r w:rsidRPr="000938A6">
        <w:rPr>
          <w:rFonts w:ascii="Arial" w:hAnsi="Arial" w:cs="Arial"/>
          <w:bCs/>
          <w:i/>
          <w:sz w:val="22"/>
          <w:szCs w:val="22"/>
        </w:rPr>
        <w:tab/>
      </w:r>
      <w:r w:rsidR="004402D3">
        <w:rPr>
          <w:rFonts w:ascii="Arial" w:hAnsi="Arial" w:cs="Arial"/>
          <w:bCs/>
          <w:i/>
          <w:sz w:val="22"/>
          <w:szCs w:val="22"/>
        </w:rPr>
        <w:t>XXXXX</w:t>
      </w:r>
      <w:bookmarkStart w:id="0" w:name="_GoBack"/>
      <w:bookmarkEnd w:id="0"/>
    </w:p>
    <w:p w:rsidR="00B24AAC" w:rsidRPr="000938A6" w:rsidRDefault="00A66307" w:rsidP="00B24AAC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 (dále jen </w:t>
      </w:r>
      <w:r w:rsidRPr="000938A6">
        <w:rPr>
          <w:rFonts w:ascii="Arial" w:hAnsi="Arial" w:cs="Arial"/>
          <w:bCs/>
          <w:sz w:val="22"/>
          <w:szCs w:val="22"/>
        </w:rPr>
        <w:t>„dodavatel“</w:t>
      </w:r>
      <w:r w:rsidRPr="000938A6">
        <w:rPr>
          <w:rFonts w:ascii="Arial" w:hAnsi="Arial" w:cs="Arial"/>
          <w:sz w:val="22"/>
          <w:szCs w:val="22"/>
        </w:rPr>
        <w:t>)</w:t>
      </w:r>
    </w:p>
    <w:p w:rsidR="00B24AAC" w:rsidRPr="000938A6" w:rsidRDefault="00A66307" w:rsidP="00B24AAC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(zadavatel a dodavatel dále společně také jako „</w:t>
      </w:r>
      <w:r w:rsidRPr="000938A6">
        <w:rPr>
          <w:bCs/>
          <w:color w:val="auto"/>
          <w:sz w:val="22"/>
          <w:szCs w:val="22"/>
        </w:rPr>
        <w:t>účastníci dohody</w:t>
      </w:r>
      <w:r w:rsidRPr="000938A6">
        <w:rPr>
          <w:color w:val="auto"/>
          <w:sz w:val="22"/>
          <w:szCs w:val="22"/>
        </w:rPr>
        <w:t>“)</w:t>
      </w:r>
    </w:p>
    <w:p w:rsidR="00B24AAC" w:rsidRPr="000938A6" w:rsidRDefault="00A66307" w:rsidP="00B24AAC">
      <w:pPr>
        <w:pStyle w:val="Default"/>
        <w:spacing w:before="360" w:line="276" w:lineRule="auto"/>
        <w:jc w:val="both"/>
        <w:rPr>
          <w:bCs/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uzavírají níže uvedeného dne, měsíce a roku Rámcovou dohodu o dodávce hygienických potřeb ÚZSVM </w:t>
      </w:r>
      <w:r w:rsidRPr="000938A6">
        <w:rPr>
          <w:bCs/>
          <w:color w:val="auto"/>
          <w:sz w:val="22"/>
          <w:szCs w:val="22"/>
        </w:rPr>
        <w:t xml:space="preserve">ÚP Plzeň č. </w:t>
      </w:r>
      <w:r w:rsidR="00B938D5">
        <w:rPr>
          <w:bCs/>
          <w:color w:val="auto"/>
          <w:sz w:val="22"/>
          <w:szCs w:val="22"/>
        </w:rPr>
        <w:t>125</w:t>
      </w:r>
      <w:r w:rsidRPr="000938A6">
        <w:rPr>
          <w:bCs/>
          <w:color w:val="auto"/>
          <w:sz w:val="22"/>
          <w:szCs w:val="22"/>
        </w:rPr>
        <w:t>/202</w:t>
      </w:r>
      <w:r>
        <w:rPr>
          <w:bCs/>
          <w:color w:val="auto"/>
          <w:sz w:val="22"/>
          <w:szCs w:val="22"/>
        </w:rPr>
        <w:t>3</w:t>
      </w:r>
      <w:r w:rsidRPr="000938A6">
        <w:rPr>
          <w:bCs/>
          <w:color w:val="auto"/>
          <w:sz w:val="22"/>
          <w:szCs w:val="22"/>
        </w:rPr>
        <w:t xml:space="preserve"> </w:t>
      </w:r>
      <w:r w:rsidRPr="000938A6">
        <w:rPr>
          <w:color w:val="auto"/>
          <w:sz w:val="22"/>
          <w:szCs w:val="22"/>
        </w:rPr>
        <w:t xml:space="preserve">(dále jen „rámcová dohoda“ nebo jen „dohoda“) tohoto znění: </w:t>
      </w:r>
    </w:p>
    <w:p w:rsidR="00B24AAC" w:rsidRPr="000938A6" w:rsidRDefault="00B24AAC" w:rsidP="00B24AAC">
      <w:pPr>
        <w:pStyle w:val="Default"/>
        <w:tabs>
          <w:tab w:val="center" w:pos="4748"/>
          <w:tab w:val="left" w:pos="5355"/>
        </w:tabs>
        <w:spacing w:before="120" w:line="276" w:lineRule="auto"/>
        <w:rPr>
          <w:b/>
          <w:bCs/>
          <w:color w:val="auto"/>
          <w:sz w:val="22"/>
          <w:szCs w:val="22"/>
        </w:rPr>
      </w:pPr>
    </w:p>
    <w:p w:rsidR="00B24AAC" w:rsidRDefault="00B24AAC" w:rsidP="00B24AAC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</w:p>
    <w:p w:rsidR="00B24AAC" w:rsidRPr="000938A6" w:rsidRDefault="00A66307" w:rsidP="00B24AAC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I.</w:t>
      </w:r>
    </w:p>
    <w:p w:rsidR="00B24AAC" w:rsidRPr="000938A6" w:rsidRDefault="00A66307" w:rsidP="00B24AAC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>Úvodní ustanovení</w:t>
      </w:r>
    </w:p>
    <w:p w:rsidR="00B24AAC" w:rsidRPr="000938A6" w:rsidRDefault="00A66307" w:rsidP="00B24AAC">
      <w:pPr>
        <w:pStyle w:val="Default"/>
        <w:numPr>
          <w:ilvl w:val="1"/>
          <w:numId w:val="1"/>
        </w:numPr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Účastníci dohody prohlašují, že pokud rámcová dohoda nestanoví jinak, bude postupováno v souladu s příslušnými ustanoveními občanského zákoníku a v souladu s dalšími právními předpisy, které se vztahují na předmět rámcové dohody.</w:t>
      </w:r>
    </w:p>
    <w:p w:rsidR="00B24AAC" w:rsidRPr="000938A6" w:rsidRDefault="00A66307" w:rsidP="00B24AAC">
      <w:pPr>
        <w:pStyle w:val="Default"/>
        <w:numPr>
          <w:ilvl w:val="1"/>
          <w:numId w:val="1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Dodavatel prohlašuje, že splňuje veškeré podmínky stanovené právními předpisy k plnění předmětu rámcové dohody a veškeré podmínky a požadavky v této rámcové dohodě stanovené a je oprávněn tuto rámcovou dohodu uzavřít a řádně plnit závazky v ní obsažené.</w:t>
      </w:r>
    </w:p>
    <w:p w:rsidR="00B24AAC" w:rsidRPr="000938A6" w:rsidRDefault="00A66307" w:rsidP="00B24AAC">
      <w:pPr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II.</w:t>
      </w:r>
    </w:p>
    <w:p w:rsidR="00B24AAC" w:rsidRPr="000938A6" w:rsidRDefault="00A66307" w:rsidP="00B24A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>Předmět rámcové dohody</w:t>
      </w:r>
    </w:p>
    <w:p w:rsidR="00B24AAC" w:rsidRPr="000938A6" w:rsidRDefault="00A66307" w:rsidP="00B24AAC">
      <w:pPr>
        <w:pStyle w:val="Odstavecseseznamem"/>
        <w:numPr>
          <w:ilvl w:val="1"/>
          <w:numId w:val="2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Tato rámcová dohoda upravuje podmínky zadávání jednotlivých dílčích zakázek na dodávání hygienických potřeb (dále jen „zboží“) po dobu platnosti rámcové dohody s tím, že zadavatel bude zadávat jednotlivé dílčí zakázky na základě písemných objednávek (dále jen „objednávka“ nebo „objednávky“) zaslaných dodavateli, kdy přijetím objednávky dodavatelem dojde mezi zadavatelem a dodavatelem k uzavření kupní smlouvy ve smyslu § 2079 a násl. občanského zákoníku (dále jen „kupní smlouva“ nebo jen „smlouva“).</w:t>
      </w:r>
    </w:p>
    <w:p w:rsidR="00B24AAC" w:rsidRPr="000938A6" w:rsidRDefault="00A66307" w:rsidP="00B24AAC">
      <w:pPr>
        <w:pStyle w:val="Odstavecseseznamem"/>
        <w:numPr>
          <w:ilvl w:val="1"/>
          <w:numId w:val="2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Style w:val="FontStyle16"/>
          <w:sz w:val="22"/>
          <w:szCs w:val="22"/>
        </w:rPr>
        <w:t>Dodavatel se podpisem rámcové dohody zavazuje</w:t>
      </w:r>
      <w:r w:rsidRPr="000938A6">
        <w:rPr>
          <w:rFonts w:ascii="Arial" w:hAnsi="Arial" w:cs="Arial"/>
          <w:sz w:val="22"/>
          <w:szCs w:val="22"/>
        </w:rPr>
        <w:t xml:space="preserve"> dodávat zboží, a to dle zadavatelem zaslaných objednávek.</w:t>
      </w:r>
    </w:p>
    <w:p w:rsidR="00B24AAC" w:rsidRPr="000938A6" w:rsidRDefault="00A66307" w:rsidP="00B24AAC">
      <w:pPr>
        <w:pStyle w:val="Odstavecseseznamem"/>
        <w:numPr>
          <w:ilvl w:val="1"/>
          <w:numId w:val="2"/>
        </w:numPr>
        <w:spacing w:before="120" w:line="276" w:lineRule="auto"/>
        <w:ind w:left="425" w:hanging="567"/>
        <w:contextualSpacing w:val="0"/>
        <w:jc w:val="both"/>
        <w:rPr>
          <w:rStyle w:val="FontStyle16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Bude</w:t>
      </w:r>
      <w:r w:rsidRPr="000938A6">
        <w:rPr>
          <w:rStyle w:val="FontStyle16"/>
          <w:sz w:val="22"/>
          <w:szCs w:val="22"/>
        </w:rPr>
        <w:t xml:space="preserve">-li hodnota plnění vyšší než 50 000 Kč bez DPH, bude uzavřena mezi zadavatelem </w:t>
      </w:r>
      <w:r>
        <w:rPr>
          <w:rStyle w:val="FontStyle16"/>
          <w:sz w:val="22"/>
          <w:szCs w:val="22"/>
        </w:rPr>
        <w:br/>
      </w:r>
      <w:r w:rsidRPr="000938A6">
        <w:rPr>
          <w:rStyle w:val="FontStyle16"/>
          <w:sz w:val="22"/>
          <w:szCs w:val="22"/>
        </w:rPr>
        <w:t>a dodavatelem dílčí smlouva k této rámcové dohodě, pro kterou budou platit stejné podmínky jako pro objednávku dle této rámcové dohody, nebude-li dohodnuto jinak.</w:t>
      </w:r>
    </w:p>
    <w:p w:rsidR="00B24AAC" w:rsidRPr="000938A6" w:rsidRDefault="00A66307" w:rsidP="00B24AAC">
      <w:pPr>
        <w:pStyle w:val="Odstavecseseznamem"/>
        <w:numPr>
          <w:ilvl w:val="1"/>
          <w:numId w:val="2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Style w:val="FontStyle16"/>
          <w:sz w:val="22"/>
          <w:szCs w:val="22"/>
        </w:rPr>
        <w:t>Dodavatel je plně odpovědný za poskytnuté plnění.</w:t>
      </w:r>
    </w:p>
    <w:p w:rsidR="00B24AAC" w:rsidRDefault="00A66307" w:rsidP="00B24AAC">
      <w:pPr>
        <w:pStyle w:val="Odstavecseseznamem"/>
        <w:numPr>
          <w:ilvl w:val="1"/>
          <w:numId w:val="2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Zadavatel se podpisem rámcové dohody zavazuje platit dodavateli za řádně dodané zboží dohodnutou cenu dle </w:t>
      </w:r>
      <w:r>
        <w:rPr>
          <w:rFonts w:ascii="Arial" w:hAnsi="Arial" w:cs="Arial"/>
          <w:sz w:val="22"/>
          <w:szCs w:val="22"/>
        </w:rPr>
        <w:t>Č</w:t>
      </w:r>
      <w:r w:rsidRPr="000938A6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V.</w:t>
      </w:r>
      <w:r w:rsidRPr="000938A6">
        <w:rPr>
          <w:rFonts w:ascii="Arial" w:hAnsi="Arial" w:cs="Arial"/>
          <w:sz w:val="22"/>
          <w:szCs w:val="22"/>
        </w:rPr>
        <w:t xml:space="preserve"> rámcové dohody.</w:t>
      </w:r>
    </w:p>
    <w:p w:rsidR="00B24AAC" w:rsidRPr="000938A6" w:rsidRDefault="00A66307" w:rsidP="00B24AAC">
      <w:pPr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III.</w:t>
      </w:r>
    </w:p>
    <w:p w:rsidR="00B24AAC" w:rsidRPr="000938A6" w:rsidRDefault="00A66307" w:rsidP="00B24A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>Místo a doba plnění</w:t>
      </w:r>
    </w:p>
    <w:p w:rsidR="00B24AAC" w:rsidRPr="000938A6" w:rsidRDefault="00A66307" w:rsidP="00B24AAC">
      <w:pPr>
        <w:pStyle w:val="Odstavecseseznamem"/>
        <w:numPr>
          <w:ilvl w:val="1"/>
          <w:numId w:val="3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72538A">
        <w:rPr>
          <w:rFonts w:ascii="Arial" w:hAnsi="Arial" w:cs="Arial"/>
          <w:sz w:val="22"/>
          <w:szCs w:val="22"/>
        </w:rPr>
        <w:t xml:space="preserve">Místem plnění této </w:t>
      </w:r>
      <w:r>
        <w:rPr>
          <w:rFonts w:ascii="Arial" w:hAnsi="Arial" w:cs="Arial"/>
          <w:sz w:val="22"/>
          <w:szCs w:val="22"/>
        </w:rPr>
        <w:t>r</w:t>
      </w:r>
      <w:r w:rsidRPr="0072538A">
        <w:rPr>
          <w:rFonts w:ascii="Arial" w:hAnsi="Arial" w:cs="Arial"/>
          <w:sz w:val="22"/>
          <w:szCs w:val="22"/>
        </w:rPr>
        <w:t>ámcové dohody jsou</w:t>
      </w:r>
      <w:r w:rsidRPr="000938A6">
        <w:rPr>
          <w:rFonts w:ascii="Arial" w:hAnsi="Arial" w:cs="Arial"/>
          <w:sz w:val="22"/>
          <w:szCs w:val="22"/>
        </w:rPr>
        <w:t xml:space="preserve"> tyto administrativní budovy</w:t>
      </w:r>
      <w:r>
        <w:rPr>
          <w:rFonts w:ascii="Arial" w:hAnsi="Arial" w:cs="Arial"/>
          <w:sz w:val="22"/>
          <w:szCs w:val="22"/>
        </w:rPr>
        <w:t>: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3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Radobyčická 1313/14, Jižní Předměstí, 30100 Plzeň (Územní pracoviště Plzeň); 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3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Svazu bojovníků za svobodu 68, Střed, 33701 Rokycany (Územní pracoviště Plzeň);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3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Americká 8/39, Jižní Předměstí, 30100 Plzeň (Územní pracoviště Plzeň);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3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17. listopadu 1926/1, Jižní Předměstí, 301 00 Plzeň (Územní pracoviště Plzeň);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Paroubkova 228, Týnské Předměstí, 34401 Domažlice (Odloučené pracoviště Domažlice); 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3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T. G. Masaryka 1326, 34701 Tachov (Územní pracoviště Plzeň);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Randova 167, Klatovy I, 33901 Klatovy (Odloučené pracoviště Klatovy);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2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Závodu míru 725/16, Stará Role, 36017 Karlovy Vary (Odloučené pracoviště Karlovy Vary); </w:t>
      </w:r>
    </w:p>
    <w:p w:rsidR="00B24AAC" w:rsidRPr="000938A6" w:rsidRDefault="00A66307" w:rsidP="00B24AAC">
      <w:pPr>
        <w:pStyle w:val="Odstavecseseznamem"/>
        <w:numPr>
          <w:ilvl w:val="0"/>
          <w:numId w:val="4"/>
        </w:numPr>
        <w:spacing w:before="120" w:line="276" w:lineRule="auto"/>
        <w:ind w:left="993" w:hanging="567"/>
        <w:contextualSpacing w:val="0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Evropská 1605/8, 35002 Cheb (Odloučené pracoviště Karlovy Vary).</w:t>
      </w:r>
    </w:p>
    <w:p w:rsidR="00B24AAC" w:rsidRPr="000938A6" w:rsidRDefault="00A66307" w:rsidP="00B24AAC">
      <w:pPr>
        <w:pStyle w:val="Odstavecseseznamem"/>
        <w:spacing w:before="12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lastRenderedPageBreak/>
        <w:t xml:space="preserve">Zboží je dodavatel povinen dodat a složit dovnitř budovy, a to do přízemí, příp. zvýšeného přízemí, na místo určené </w:t>
      </w:r>
      <w:r w:rsidRPr="000938A6">
        <w:rPr>
          <w:rFonts w:ascii="Arial" w:hAnsi="Arial" w:cs="Arial"/>
          <w:bCs/>
          <w:spacing w:val="-2"/>
          <w:sz w:val="22"/>
          <w:szCs w:val="22"/>
        </w:rPr>
        <w:t>osobou oprávněnou k protokolárnímu převzetí zboží</w:t>
      </w:r>
      <w:r w:rsidRPr="000938A6">
        <w:rPr>
          <w:rFonts w:ascii="Arial" w:hAnsi="Arial" w:cs="Arial"/>
          <w:sz w:val="22"/>
          <w:szCs w:val="22"/>
        </w:rPr>
        <w:t>.</w:t>
      </w:r>
    </w:p>
    <w:p w:rsidR="00B24AAC" w:rsidRPr="000938A6" w:rsidRDefault="00A66307" w:rsidP="00B24AAC">
      <w:pPr>
        <w:pStyle w:val="Odstavecseseznamem"/>
        <w:numPr>
          <w:ilvl w:val="1"/>
          <w:numId w:val="5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bCs/>
          <w:spacing w:val="-2"/>
          <w:sz w:val="22"/>
          <w:szCs w:val="22"/>
        </w:rPr>
        <w:t xml:space="preserve">Dodavatel je povinen dodat zadavateli zboží, pokud nebude dohodnuto účastníky dohody jinak, </w:t>
      </w:r>
      <w:r w:rsidRPr="000938A6">
        <w:rPr>
          <w:rFonts w:ascii="Arial" w:hAnsi="Arial" w:cs="Arial"/>
          <w:b/>
          <w:bCs/>
          <w:spacing w:val="-2"/>
          <w:sz w:val="22"/>
          <w:szCs w:val="22"/>
        </w:rPr>
        <w:t>nejpozději do 14 kalendářních dnů ode dne zadání objednávky dodavateli</w:t>
      </w:r>
      <w:r w:rsidRPr="000938A6">
        <w:rPr>
          <w:rFonts w:ascii="Arial" w:hAnsi="Arial" w:cs="Arial"/>
          <w:bCs/>
          <w:spacing w:val="-2"/>
          <w:sz w:val="22"/>
          <w:szCs w:val="22"/>
        </w:rPr>
        <w:t>. (</w:t>
      </w:r>
      <w:r w:rsidRPr="000938A6">
        <w:rPr>
          <w:rFonts w:ascii="Arial" w:hAnsi="Arial" w:cs="Arial"/>
          <w:sz w:val="22"/>
          <w:szCs w:val="22"/>
        </w:rPr>
        <w:t>Připadne-li poslední den lhůty na sobotu, neděli nebo svátek, je posledním dnem lhůty pracovní den nejblíže následující</w:t>
      </w:r>
      <w:r w:rsidRPr="000938A6">
        <w:rPr>
          <w:rFonts w:ascii="Arial" w:hAnsi="Arial" w:cs="Arial"/>
          <w:bCs/>
          <w:spacing w:val="-2"/>
          <w:sz w:val="22"/>
          <w:szCs w:val="22"/>
        </w:rPr>
        <w:t>.)</w:t>
      </w:r>
    </w:p>
    <w:p w:rsidR="00B24AAC" w:rsidRPr="000938A6" w:rsidRDefault="00A66307" w:rsidP="00B24AAC">
      <w:pPr>
        <w:pStyle w:val="Odstavecseseznamem"/>
        <w:numPr>
          <w:ilvl w:val="1"/>
          <w:numId w:val="5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bCs/>
          <w:spacing w:val="-2"/>
          <w:sz w:val="22"/>
          <w:szCs w:val="22"/>
        </w:rPr>
        <w:t xml:space="preserve">Dodavatel předá zboží zadavateli na základě dodacího listu připraveného dodavatelem (případně předávacího protokolu). </w:t>
      </w:r>
      <w:r w:rsidRPr="000938A6">
        <w:rPr>
          <w:rFonts w:ascii="Arial" w:hAnsi="Arial" w:cs="Arial"/>
          <w:b/>
          <w:bCs/>
          <w:spacing w:val="-2"/>
          <w:sz w:val="22"/>
          <w:szCs w:val="22"/>
        </w:rPr>
        <w:t>Dodavatel je povinen předem avizovat osobám oprávněným k protokolárnímu převzetí zboží</w:t>
      </w:r>
      <w:r w:rsidRPr="000938A6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0938A6">
        <w:rPr>
          <w:rFonts w:ascii="Arial" w:hAnsi="Arial" w:cs="Arial"/>
          <w:b/>
          <w:bCs/>
          <w:spacing w:val="-2"/>
          <w:sz w:val="22"/>
          <w:szCs w:val="22"/>
        </w:rPr>
        <w:t>přesný den a čas dodání zboží</w:t>
      </w:r>
      <w:r w:rsidRPr="000938A6">
        <w:rPr>
          <w:rFonts w:ascii="Arial" w:hAnsi="Arial" w:cs="Arial"/>
          <w:bCs/>
          <w:spacing w:val="-2"/>
          <w:sz w:val="22"/>
          <w:szCs w:val="22"/>
        </w:rPr>
        <w:t xml:space="preserve">. Pokud není osoba oprávněná k protokolárnímu převzetí zboží výslovně uvedená v objednávce, pak platí, </w:t>
      </w:r>
      <w:r>
        <w:rPr>
          <w:rFonts w:ascii="Arial" w:hAnsi="Arial" w:cs="Arial"/>
          <w:bCs/>
          <w:spacing w:val="-2"/>
          <w:sz w:val="22"/>
          <w:szCs w:val="22"/>
        </w:rPr>
        <w:br/>
      </w:r>
      <w:r w:rsidRPr="000938A6">
        <w:rPr>
          <w:rFonts w:ascii="Arial" w:hAnsi="Arial" w:cs="Arial"/>
          <w:bCs/>
          <w:spacing w:val="-2"/>
          <w:sz w:val="22"/>
          <w:szCs w:val="22"/>
        </w:rPr>
        <w:t>že touto osobou je ta, která vystavila objednávku.</w:t>
      </w:r>
    </w:p>
    <w:p w:rsidR="00B24AAC" w:rsidRPr="000938A6" w:rsidRDefault="00A66307" w:rsidP="00B24AAC">
      <w:pPr>
        <w:pStyle w:val="Odstavecseseznamem"/>
        <w:numPr>
          <w:ilvl w:val="1"/>
          <w:numId w:val="5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Rámcová dohoda je uzavřena na dobu určitou</w:t>
      </w:r>
      <w:r w:rsidRPr="000938A6">
        <w:rPr>
          <w:rFonts w:ascii="Arial" w:hAnsi="Arial" w:cs="Arial"/>
          <w:iCs/>
          <w:sz w:val="22"/>
          <w:szCs w:val="22"/>
        </w:rPr>
        <w:t>, a to na dobu 24 měsíců ode dne nabytí účinnosti</w:t>
      </w:r>
      <w:r>
        <w:rPr>
          <w:rFonts w:ascii="Arial" w:hAnsi="Arial" w:cs="Arial"/>
          <w:iCs/>
          <w:sz w:val="22"/>
          <w:szCs w:val="22"/>
        </w:rPr>
        <w:t xml:space="preserve"> této dohody</w:t>
      </w:r>
      <w:r w:rsidRPr="000938A6">
        <w:rPr>
          <w:rFonts w:ascii="Arial" w:hAnsi="Arial" w:cs="Arial"/>
          <w:sz w:val="22"/>
          <w:szCs w:val="22"/>
        </w:rPr>
        <w:t xml:space="preserve"> anebo do vyčerpání finančního limitu ve výši </w:t>
      </w:r>
      <w:r w:rsidRPr="000938A6">
        <w:rPr>
          <w:rFonts w:ascii="Arial" w:hAnsi="Arial" w:cs="Arial"/>
          <w:b/>
          <w:sz w:val="22"/>
          <w:szCs w:val="22"/>
        </w:rPr>
        <w:t xml:space="preserve">500 000 Kč bez DPH, </w:t>
      </w:r>
      <w:r>
        <w:rPr>
          <w:rFonts w:ascii="Arial" w:hAnsi="Arial" w:cs="Arial"/>
          <w:b/>
          <w:sz w:val="22"/>
          <w:szCs w:val="22"/>
        </w:rPr>
        <w:br/>
      </w:r>
      <w:r w:rsidRPr="000938A6">
        <w:rPr>
          <w:rFonts w:ascii="Arial" w:hAnsi="Arial" w:cs="Arial"/>
          <w:b/>
          <w:sz w:val="22"/>
          <w:szCs w:val="22"/>
        </w:rPr>
        <w:t>tj.  605 000 Kč s DPH</w:t>
      </w:r>
      <w:r w:rsidRPr="000938A6">
        <w:rPr>
          <w:rFonts w:ascii="Arial" w:hAnsi="Arial" w:cs="Arial"/>
          <w:sz w:val="22"/>
          <w:szCs w:val="22"/>
        </w:rPr>
        <w:t xml:space="preserve"> (dále jen „finanční limit“), a to podle toho, která z těchto skutečností nastane dříve. </w:t>
      </w:r>
    </w:p>
    <w:p w:rsidR="00B24AAC" w:rsidRDefault="00A66307" w:rsidP="00B24AAC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Na čerpání finančního limitu nevzniká dodavateli právní nárok. V případě vyčerpání finančního limitu rámcová dohoda pozbude účinnosti dnem, kdy bude dodavateli doručeno písemné oznámení zadavatele o vyčerpání finančního limitu.</w:t>
      </w:r>
    </w:p>
    <w:p w:rsidR="00B24AAC" w:rsidRPr="000938A6" w:rsidRDefault="00A66307" w:rsidP="00B24AAC">
      <w:pPr>
        <w:spacing w:before="360" w:line="276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IV.</w:t>
      </w:r>
    </w:p>
    <w:p w:rsidR="00B24AAC" w:rsidRPr="000938A6" w:rsidRDefault="00A66307" w:rsidP="00B24AAC">
      <w:pPr>
        <w:spacing w:line="276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>Podmínky plnění</w:t>
      </w:r>
    </w:p>
    <w:p w:rsidR="00B24AAC" w:rsidRPr="000938A6" w:rsidRDefault="00A66307" w:rsidP="00B24AAC">
      <w:pPr>
        <w:pStyle w:val="Odstavecseseznamem"/>
        <w:numPr>
          <w:ilvl w:val="1"/>
          <w:numId w:val="6"/>
        </w:numPr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Písemné objednávky na dodávky zboží budou zadávány zadavatelem – příslušným útvarem (pracovištěm) Úřadu pro zastupování státu ve věcech majetkových (dále jen „ÚZSVM“) v rámci Územního pracoviště Plzeň prostřednictvím e-mailu, na emailovou adresu dodavatele určenou pro zadávání objednávek. Objednávka stanoví zejména specifikaci druhu a množství zboží, smluvní cenu, konkrétní místo plnění (místo dodání zboží).</w:t>
      </w:r>
    </w:p>
    <w:p w:rsidR="00B24AAC" w:rsidRPr="000938A6" w:rsidRDefault="00A66307" w:rsidP="00B24AAC">
      <w:pPr>
        <w:pStyle w:val="Odstavecseseznamem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Útvary ÚZSVM v rámci Územního pracoviště Plzeň jsou: Územní pracoviště Plzeň, Odloučené pracoviště Domažlice, Odloučené pracoviště Klatovy a Odloučené pracoviště Karlovy Vary.</w:t>
      </w:r>
    </w:p>
    <w:p w:rsidR="00B24AAC" w:rsidRPr="000938A6" w:rsidRDefault="00A66307" w:rsidP="00B24AAC">
      <w:pPr>
        <w:pStyle w:val="Odstavecseseznamem"/>
        <w:numPr>
          <w:ilvl w:val="1"/>
          <w:numId w:val="6"/>
        </w:numPr>
        <w:spacing w:before="120" w:line="276" w:lineRule="auto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Okamžikem odeslání příslušného e-mailu s objednávkou na emailovou adresu dodavatele určenou pro zadávání objednávek se objednávka považuje za zadanou. </w:t>
      </w:r>
      <w:r w:rsidRPr="000938A6">
        <w:rPr>
          <w:rFonts w:ascii="Arial" w:hAnsi="Arial" w:cs="Arial"/>
          <w:b/>
          <w:sz w:val="22"/>
          <w:szCs w:val="22"/>
        </w:rPr>
        <w:t xml:space="preserve">Dodavatel je povinen zadavateli potvrdit přijetí objednávky </w:t>
      </w:r>
      <w:r w:rsidRPr="000938A6">
        <w:rPr>
          <w:rFonts w:ascii="Arial" w:hAnsi="Arial" w:cs="Arial"/>
          <w:sz w:val="22"/>
          <w:szCs w:val="22"/>
        </w:rPr>
        <w:t>(akceptace objednávky)</w:t>
      </w:r>
      <w:r w:rsidRPr="000938A6">
        <w:rPr>
          <w:rFonts w:ascii="Arial" w:hAnsi="Arial" w:cs="Arial"/>
          <w:b/>
          <w:sz w:val="22"/>
          <w:szCs w:val="22"/>
        </w:rPr>
        <w:t>, a to e-mailem nejpozději druhý pracovní den po zadání objednávky.</w:t>
      </w:r>
    </w:p>
    <w:p w:rsidR="00B24AAC" w:rsidRPr="000938A6" w:rsidRDefault="00A66307" w:rsidP="00B24AAC">
      <w:pPr>
        <w:pStyle w:val="Odstavecseseznamem"/>
        <w:numPr>
          <w:ilvl w:val="1"/>
          <w:numId w:val="6"/>
        </w:numPr>
        <w:spacing w:before="120" w:line="276" w:lineRule="auto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Zadavatel neakceptuje podobné zboží jiné značky. </w:t>
      </w:r>
    </w:p>
    <w:p w:rsidR="00B24AAC" w:rsidRPr="000938A6" w:rsidRDefault="00A66307" w:rsidP="00B24AAC">
      <w:pPr>
        <w:pStyle w:val="Odstavecseseznamem"/>
        <w:numPr>
          <w:ilvl w:val="1"/>
          <w:numId w:val="6"/>
        </w:numPr>
        <w:spacing w:before="120" w:line="276" w:lineRule="auto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bere na vědomí, že zadavatel není povinen převzít zboží v jiném místě dodání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(na adrese jiného pracoviště ÚZSVM).</w:t>
      </w:r>
    </w:p>
    <w:p w:rsidR="00B24AAC" w:rsidRPr="000938A6" w:rsidRDefault="00A66307" w:rsidP="00B24AAC">
      <w:pPr>
        <w:pStyle w:val="Odstavecseseznamem"/>
        <w:numPr>
          <w:ilvl w:val="1"/>
          <w:numId w:val="6"/>
        </w:numPr>
        <w:spacing w:before="120" w:line="276" w:lineRule="auto"/>
        <w:ind w:left="425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je povinen dodat objednané zboží najednou. V případě, že to nebude možné,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lze dodávku rozdělit na maximálně 2 dodávky, a to po předchozí dohodě se zadavatelem.</w:t>
      </w:r>
    </w:p>
    <w:p w:rsidR="00B24AAC" w:rsidRPr="000938A6" w:rsidRDefault="00A66307" w:rsidP="00B24AAC">
      <w:pPr>
        <w:spacing w:before="360" w:line="276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V.</w:t>
      </w:r>
    </w:p>
    <w:p w:rsidR="00B24AAC" w:rsidRPr="000938A6" w:rsidRDefault="00A66307" w:rsidP="00B24AAC">
      <w:pPr>
        <w:spacing w:line="276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>Smluvní ceny</w:t>
      </w:r>
    </w:p>
    <w:p w:rsidR="00B24AAC" w:rsidRPr="000938A6" w:rsidRDefault="00A66307" w:rsidP="00B24AAC">
      <w:pPr>
        <w:pStyle w:val="Default"/>
        <w:numPr>
          <w:ilvl w:val="1"/>
          <w:numId w:val="7"/>
        </w:numPr>
        <w:tabs>
          <w:tab w:val="left" w:pos="426"/>
        </w:tabs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0938A6">
        <w:rPr>
          <w:bCs/>
          <w:color w:val="auto"/>
          <w:sz w:val="22"/>
          <w:szCs w:val="22"/>
        </w:rPr>
        <w:t>Smluvní ceny odpovídají nabídkové ceně dodavatele a jsou stanoveny dohodou účastníků dohody následovně</w:t>
      </w:r>
      <w:r w:rsidRPr="000938A6">
        <w:rPr>
          <w:color w:val="auto"/>
          <w:sz w:val="22"/>
          <w:szCs w:val="22"/>
        </w:rPr>
        <w:t xml:space="preserve">:  </w:t>
      </w:r>
    </w:p>
    <w:tbl>
      <w:tblPr>
        <w:tblpPr w:leftFromText="141" w:rightFromText="141" w:bottomFromText="200" w:vertAnchor="text" w:horzAnchor="margin" w:tblpXSpec="center" w:tblpY="156"/>
        <w:tblW w:w="8996" w:type="dxa"/>
        <w:tblLayout w:type="fixed"/>
        <w:tblLook w:val="04A0" w:firstRow="1" w:lastRow="0" w:firstColumn="1" w:lastColumn="0" w:noHBand="0" w:noVBand="1"/>
      </w:tblPr>
      <w:tblGrid>
        <w:gridCol w:w="4034"/>
        <w:gridCol w:w="1626"/>
        <w:gridCol w:w="1635"/>
        <w:gridCol w:w="1701"/>
      </w:tblGrid>
      <w:tr w:rsidR="00654F14" w:rsidTr="001A0B65">
        <w:trPr>
          <w:trHeight w:val="934"/>
        </w:trPr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lastRenderedPageBreak/>
              <w:t>Obsah smluvních cen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Jednotka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Smluvní ceny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za jednotku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v Kč bez DPH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 xml:space="preserve">Smluvní ceny 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za jednotku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v Kč s DPH</w:t>
            </w:r>
          </w:p>
        </w:tc>
      </w:tr>
      <w:tr w:rsidR="00654F14" w:rsidTr="001A0B65">
        <w:trPr>
          <w:trHeight w:val="934"/>
        </w:trPr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i/>
                <w:lang w:bidi="en-US"/>
              </w:rPr>
            </w:pPr>
            <w:r w:rsidRPr="000938A6">
              <w:rPr>
                <w:rFonts w:ascii="Arial" w:hAnsi="Arial" w:cs="Arial"/>
                <w:i/>
                <w:lang w:bidi="en-US"/>
              </w:rPr>
              <w:t>Toaletní papír: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 xml:space="preserve">Jumbo dvouvrstvý </w:t>
            </w:r>
            <w:r w:rsidRPr="000938A6">
              <w:rPr>
                <w:rFonts w:ascii="Arial" w:hAnsi="Arial" w:cs="Arial"/>
              </w:rPr>
              <w:t>– bílý</w:t>
            </w:r>
            <w:r w:rsidRPr="000938A6">
              <w:rPr>
                <w:rFonts w:ascii="Arial" w:hAnsi="Arial" w:cs="Arial"/>
                <w:lang w:bidi="en-US"/>
              </w:rPr>
              <w:t xml:space="preserve"> (průměr role 190 mm)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B24AAC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</w:p>
          <w:p w:rsidR="00B24AAC" w:rsidRPr="000938A6" w:rsidRDefault="00A66307" w:rsidP="001A0B65">
            <w:pPr>
              <w:pStyle w:val="Bezmezer"/>
              <w:spacing w:after="240"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balení 6 ks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1A0B65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101,76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655ED1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123,13 Kč</w:t>
            </w:r>
          </w:p>
        </w:tc>
      </w:tr>
      <w:tr w:rsidR="00654F14" w:rsidTr="001A0B65">
        <w:trPr>
          <w:trHeight w:val="833"/>
        </w:trPr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i/>
                <w:lang w:bidi="en-US"/>
              </w:rPr>
            </w:pPr>
            <w:r w:rsidRPr="000938A6">
              <w:rPr>
                <w:rFonts w:ascii="Arial" w:hAnsi="Arial" w:cs="Arial"/>
                <w:i/>
                <w:lang w:bidi="en-US"/>
              </w:rPr>
              <w:t>Toaletní papír: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 xml:space="preserve">Jumbo dvouvrstvý </w:t>
            </w:r>
            <w:r w:rsidRPr="000938A6">
              <w:rPr>
                <w:rFonts w:ascii="Arial" w:hAnsi="Arial" w:cs="Arial"/>
              </w:rPr>
              <w:t>– bílý</w:t>
            </w:r>
            <w:r w:rsidRPr="000938A6">
              <w:rPr>
                <w:rFonts w:ascii="Arial" w:hAnsi="Arial" w:cs="Arial"/>
                <w:lang w:bidi="en-US"/>
              </w:rPr>
              <w:t xml:space="preserve"> (průměr role 230 mm)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B24AAC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</w:p>
          <w:p w:rsidR="00B24AAC" w:rsidRPr="000938A6" w:rsidRDefault="00A66307" w:rsidP="001A0B65">
            <w:pPr>
              <w:pStyle w:val="Bezmezer"/>
              <w:spacing w:after="240"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balení 6 ks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B24AAC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</w:p>
          <w:p w:rsidR="00B24AAC" w:rsidRPr="000938A6" w:rsidRDefault="00A66307" w:rsidP="001A0B65">
            <w:pPr>
              <w:pStyle w:val="Bezmezer"/>
              <w:spacing w:after="24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159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655ED1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192,39 Kč</w:t>
            </w:r>
          </w:p>
        </w:tc>
      </w:tr>
      <w:tr w:rsidR="00654F14" w:rsidTr="001A0B65">
        <w:trPr>
          <w:trHeight w:val="833"/>
        </w:trPr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i/>
                <w:lang w:bidi="en-US"/>
              </w:rPr>
            </w:pPr>
            <w:r w:rsidRPr="000938A6">
              <w:rPr>
                <w:rFonts w:ascii="Arial" w:hAnsi="Arial" w:cs="Arial"/>
                <w:i/>
                <w:lang w:bidi="en-US"/>
              </w:rPr>
              <w:t>Tekuté mýdlo: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Tekuté mýdlo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B24AAC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</w:p>
          <w:p w:rsidR="00B24AAC" w:rsidRPr="000938A6" w:rsidRDefault="00A66307" w:rsidP="001A0B65">
            <w:pPr>
              <w:pStyle w:val="Bezmezer"/>
              <w:spacing w:after="240"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balení 5 litrů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1A0B65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 </w:t>
            </w:r>
            <w:r w:rsidR="00B938D5">
              <w:rPr>
                <w:rFonts w:ascii="Arial" w:hAnsi="Arial" w:cs="Arial"/>
                <w:lang w:bidi="en-US"/>
              </w:rPr>
              <w:t>47,70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655ED1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 </w:t>
            </w:r>
            <w:r w:rsidR="00655ED1">
              <w:rPr>
                <w:rFonts w:ascii="Arial" w:hAnsi="Arial" w:cs="Arial"/>
                <w:lang w:bidi="en-US"/>
              </w:rPr>
              <w:t xml:space="preserve"> </w:t>
            </w:r>
            <w:r>
              <w:rPr>
                <w:rFonts w:ascii="Arial" w:hAnsi="Arial" w:cs="Arial"/>
                <w:lang w:bidi="en-US"/>
              </w:rPr>
              <w:t>57,72 Kč</w:t>
            </w:r>
          </w:p>
        </w:tc>
      </w:tr>
      <w:tr w:rsidR="00654F14" w:rsidTr="001A0B65">
        <w:trPr>
          <w:trHeight w:val="832"/>
        </w:trPr>
        <w:tc>
          <w:tcPr>
            <w:tcW w:w="4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i/>
                <w:lang w:bidi="en-US"/>
              </w:rPr>
            </w:pPr>
            <w:r w:rsidRPr="000938A6">
              <w:rPr>
                <w:rFonts w:ascii="Arial" w:hAnsi="Arial" w:cs="Arial"/>
                <w:i/>
                <w:lang w:bidi="en-US"/>
              </w:rPr>
              <w:t>Papírové ručníky: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spacing w:val="-4"/>
                <w:lang w:bidi="en-US"/>
              </w:rPr>
              <w:t xml:space="preserve">Papírové ručníky – ZZ (balení 5000 ks </w:t>
            </w:r>
            <w:r w:rsidRPr="000938A6">
              <w:rPr>
                <w:rFonts w:ascii="Arial" w:hAnsi="Arial" w:cs="Arial"/>
                <w:lang w:bidi="en-US"/>
              </w:rPr>
              <w:t>kart., šedý, gramáž min. 38g/ m</w:t>
            </w:r>
            <w:r w:rsidRPr="000938A6">
              <w:rPr>
                <w:rFonts w:ascii="Arial" w:hAnsi="Arial" w:cs="Arial"/>
                <w:vertAlign w:val="superscript"/>
                <w:lang w:bidi="en-US"/>
              </w:rPr>
              <w:t>2</w:t>
            </w:r>
            <w:r w:rsidRPr="000938A6">
              <w:rPr>
                <w:rFonts w:ascii="Arial" w:hAnsi="Arial" w:cs="Arial"/>
                <w:lang w:bidi="en-US"/>
              </w:rPr>
              <w:t>)</w:t>
            </w:r>
          </w:p>
        </w:tc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lang w:bidi="en-US"/>
              </w:rPr>
              <w:t>balení 5000 ks</w:t>
            </w:r>
          </w:p>
          <w:p w:rsidR="00B24AAC" w:rsidRPr="000938A6" w:rsidRDefault="00A66307" w:rsidP="001A0B65">
            <w:pPr>
              <w:pStyle w:val="Bezmezer"/>
              <w:spacing w:line="276" w:lineRule="auto"/>
              <w:rPr>
                <w:rFonts w:ascii="Arial" w:hAnsi="Arial" w:cs="Arial"/>
                <w:lang w:bidi="en-US"/>
              </w:rPr>
            </w:pPr>
            <w:r w:rsidRPr="000938A6">
              <w:rPr>
                <w:rFonts w:ascii="Arial" w:hAnsi="Arial" w:cs="Arial"/>
                <w:spacing w:val="-4"/>
                <w:lang w:bidi="en-US"/>
              </w:rPr>
              <w:t>(20 x 250 ks)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1A0B65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259,70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AAC" w:rsidRPr="000938A6" w:rsidRDefault="00A66307" w:rsidP="00655ED1">
            <w:pPr>
              <w:pStyle w:val="Bezmezer"/>
              <w:spacing w:before="360" w:line="276" w:lineRule="auto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 314,24 Kč</w:t>
            </w:r>
          </w:p>
        </w:tc>
      </w:tr>
    </w:tbl>
    <w:p w:rsidR="007F6333" w:rsidRPr="007F6333" w:rsidRDefault="007F6333" w:rsidP="007F6333">
      <w:pPr>
        <w:pStyle w:val="Default"/>
        <w:tabs>
          <w:tab w:val="left" w:pos="426"/>
        </w:tabs>
        <w:spacing w:line="276" w:lineRule="auto"/>
        <w:ind w:left="426"/>
        <w:jc w:val="both"/>
        <w:rPr>
          <w:color w:val="auto"/>
          <w:sz w:val="22"/>
          <w:szCs w:val="22"/>
        </w:rPr>
      </w:pPr>
    </w:p>
    <w:p w:rsidR="00B24AAC" w:rsidRPr="000938A6" w:rsidRDefault="00A66307" w:rsidP="00B24AAC">
      <w:pPr>
        <w:pStyle w:val="Default"/>
        <w:numPr>
          <w:ilvl w:val="1"/>
          <w:numId w:val="7"/>
        </w:numPr>
        <w:tabs>
          <w:tab w:val="left" w:pos="426"/>
        </w:tabs>
        <w:spacing w:line="276" w:lineRule="auto"/>
        <w:ind w:left="426" w:hanging="568"/>
        <w:jc w:val="both"/>
        <w:rPr>
          <w:color w:val="auto"/>
          <w:sz w:val="22"/>
          <w:szCs w:val="22"/>
        </w:rPr>
      </w:pPr>
      <w:r w:rsidRPr="000938A6">
        <w:rPr>
          <w:bCs/>
          <w:color w:val="auto"/>
          <w:sz w:val="22"/>
          <w:szCs w:val="22"/>
        </w:rPr>
        <w:t xml:space="preserve">Smluvní ceny </w:t>
      </w:r>
      <w:r w:rsidRPr="000938A6">
        <w:rPr>
          <w:color w:val="auto"/>
          <w:sz w:val="22"/>
          <w:szCs w:val="22"/>
        </w:rPr>
        <w:t>jsou stanoveny jako ceny nejvýše přípustné a konečné a platné v nezměněné výši po celou dobu trvání rámcové dohody. Smluvní ceny zahrnují veškeré náklady dodavatele související s realizací předmětu rámcové dohody, včetně dopravy zboží do místa plnění a složení zboží na určené místo</w:t>
      </w:r>
      <w:r>
        <w:rPr>
          <w:color w:val="auto"/>
          <w:sz w:val="22"/>
          <w:szCs w:val="22"/>
        </w:rPr>
        <w:t xml:space="preserve"> určené kontaktní osobou zadavatele</w:t>
      </w:r>
      <w:r w:rsidRPr="000938A6">
        <w:rPr>
          <w:color w:val="auto"/>
          <w:sz w:val="22"/>
          <w:szCs w:val="22"/>
        </w:rPr>
        <w:t xml:space="preserve">. </w:t>
      </w:r>
    </w:p>
    <w:p w:rsidR="00B24AAC" w:rsidRPr="000938A6" w:rsidRDefault="00A66307" w:rsidP="00B24AAC">
      <w:pPr>
        <w:pStyle w:val="Default"/>
        <w:numPr>
          <w:ilvl w:val="1"/>
          <w:numId w:val="7"/>
        </w:numPr>
        <w:tabs>
          <w:tab w:val="left" w:pos="426"/>
        </w:tabs>
        <w:spacing w:before="120" w:line="276" w:lineRule="auto"/>
        <w:ind w:left="425" w:hanging="567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Smluvní ceny bude možné upravit pouze v souvislosti se změnou daňových předpisů týkajících se DPH, a to o výši, která bude odpovídat takové legislativní změně.</w:t>
      </w:r>
    </w:p>
    <w:p w:rsidR="00B24AAC" w:rsidRPr="000938A6" w:rsidRDefault="00A66307" w:rsidP="00B24AAC">
      <w:pPr>
        <w:pStyle w:val="Default"/>
        <w:numPr>
          <w:ilvl w:val="1"/>
          <w:numId w:val="7"/>
        </w:numPr>
        <w:tabs>
          <w:tab w:val="left" w:pos="426"/>
        </w:tabs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 xml:space="preserve">Dodavatel je povinen dodat zboží zadavateli v požadovaném rozsahu, a to bez jakéhokoliv omezení. Dodavatel není oprávněn doúčtovat zadavateli jakékoliv dodatečné dodávky či služby, které budou nezbytné pro řádné splnění dílčího nebo celého předmětu </w:t>
      </w:r>
      <w:r>
        <w:rPr>
          <w:color w:val="auto"/>
          <w:sz w:val="22"/>
          <w:szCs w:val="22"/>
        </w:rPr>
        <w:t>r</w:t>
      </w:r>
      <w:r w:rsidRPr="000938A6">
        <w:rPr>
          <w:color w:val="auto"/>
          <w:sz w:val="22"/>
          <w:szCs w:val="22"/>
        </w:rPr>
        <w:t xml:space="preserve">ámcové dohody, a to např. i z důvodu, že dodavatel chybně odhadl nabídkovou (smluvní) cenu anebo poskytl nekvalitní dodávku či službu, v jejichž důsledku bylo nezbytné poskytnout další plnění pro komplexní a řádné splnění dílčího nebo celého předmětu </w:t>
      </w:r>
      <w:r>
        <w:rPr>
          <w:color w:val="auto"/>
          <w:sz w:val="22"/>
          <w:szCs w:val="22"/>
        </w:rPr>
        <w:t>r</w:t>
      </w:r>
      <w:r w:rsidRPr="000938A6">
        <w:rPr>
          <w:color w:val="auto"/>
          <w:sz w:val="22"/>
          <w:szCs w:val="22"/>
        </w:rPr>
        <w:t>ámcové dohody apod.</w:t>
      </w:r>
    </w:p>
    <w:p w:rsidR="00B24AAC" w:rsidRPr="000938A6" w:rsidRDefault="00A66307" w:rsidP="00B24AAC">
      <w:pPr>
        <w:pStyle w:val="Bezmezer"/>
        <w:spacing w:before="360" w:line="276" w:lineRule="auto"/>
        <w:jc w:val="center"/>
        <w:rPr>
          <w:rFonts w:ascii="Arial" w:hAnsi="Arial" w:cs="Arial"/>
        </w:rPr>
      </w:pPr>
      <w:r w:rsidRPr="000938A6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VI.</w:t>
      </w:r>
    </w:p>
    <w:p w:rsidR="00B24AAC" w:rsidRPr="000938A6" w:rsidRDefault="00A66307" w:rsidP="00B24AAC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0938A6">
        <w:rPr>
          <w:b/>
          <w:bCs/>
          <w:color w:val="auto"/>
          <w:sz w:val="22"/>
          <w:szCs w:val="22"/>
        </w:rPr>
        <w:t>Platební podmínky</w:t>
      </w:r>
    </w:p>
    <w:p w:rsidR="00B24AAC" w:rsidRPr="000938A6" w:rsidRDefault="00A66307" w:rsidP="00B24AAC">
      <w:pPr>
        <w:pStyle w:val="FSCNormal"/>
        <w:numPr>
          <w:ilvl w:val="1"/>
          <w:numId w:val="8"/>
        </w:numPr>
        <w:spacing w:before="120" w:after="0" w:line="276" w:lineRule="auto"/>
        <w:ind w:left="425" w:hanging="567"/>
        <w:rPr>
          <w:rFonts w:eastAsia="Calibri"/>
        </w:rPr>
      </w:pPr>
      <w:r w:rsidRPr="000938A6">
        <w:rPr>
          <w:rFonts w:eastAsia="Calibri"/>
        </w:rPr>
        <w:t xml:space="preserve">Podkladem pro úhradu smluvní ceny za </w:t>
      </w:r>
      <w:r w:rsidRPr="000938A6">
        <w:t>dodání zboží</w:t>
      </w:r>
      <w:r w:rsidRPr="000938A6">
        <w:rPr>
          <w:rFonts w:eastAsia="Calibri"/>
        </w:rPr>
        <w:t xml:space="preserve"> bude faktura</w:t>
      </w:r>
      <w:r w:rsidRPr="000938A6">
        <w:t xml:space="preserve">, kterou je dodavatel oprávněn vystavit až po řádném dodání zboží dle objednávky. </w:t>
      </w:r>
    </w:p>
    <w:p w:rsidR="00B24AAC" w:rsidRPr="000938A6" w:rsidRDefault="00A66307" w:rsidP="00B24AAC">
      <w:pPr>
        <w:pStyle w:val="FSCNormal"/>
        <w:numPr>
          <w:ilvl w:val="1"/>
          <w:numId w:val="8"/>
        </w:numPr>
        <w:spacing w:before="120" w:after="0" w:line="276" w:lineRule="auto"/>
        <w:ind w:left="426" w:hanging="568"/>
        <w:rPr>
          <w:rFonts w:eastAsia="Calibri"/>
        </w:rPr>
      </w:pPr>
      <w:r w:rsidRPr="000938A6">
        <w:rPr>
          <w:rFonts w:eastAsia="Calibri"/>
        </w:rPr>
        <w:t xml:space="preserve">Ve faktuře musí být uvedeno </w:t>
      </w:r>
      <w:r w:rsidRPr="000938A6">
        <w:rPr>
          <w:rFonts w:eastAsia="Calibri"/>
          <w:b/>
        </w:rPr>
        <w:t>číslo objednávky</w:t>
      </w:r>
      <w:r w:rsidRPr="000938A6">
        <w:rPr>
          <w:rFonts w:eastAsia="Calibri"/>
        </w:rPr>
        <w:t xml:space="preserve"> a </w:t>
      </w:r>
      <w:r w:rsidRPr="000938A6">
        <w:rPr>
          <w:rFonts w:eastAsia="Calibri"/>
          <w:b/>
        </w:rPr>
        <w:t>specifikace druhu a množství dodaného zboží (dle objednávky)</w:t>
      </w:r>
      <w:r w:rsidRPr="000938A6">
        <w:rPr>
          <w:rFonts w:eastAsia="Calibri"/>
        </w:rPr>
        <w:t xml:space="preserve">. </w:t>
      </w:r>
    </w:p>
    <w:p w:rsidR="00B24AAC" w:rsidRPr="000938A6" w:rsidRDefault="00A66307" w:rsidP="00B24AAC">
      <w:pPr>
        <w:pStyle w:val="FSCNormal"/>
        <w:numPr>
          <w:ilvl w:val="1"/>
          <w:numId w:val="8"/>
        </w:numPr>
        <w:spacing w:before="120" w:after="0" w:line="276" w:lineRule="auto"/>
        <w:ind w:left="426" w:hanging="568"/>
        <w:rPr>
          <w:rFonts w:eastAsia="Calibri"/>
          <w:bCs/>
        </w:rPr>
      </w:pPr>
      <w:r w:rsidRPr="000938A6">
        <w:rPr>
          <w:rFonts w:eastAsia="Calibri"/>
          <w:bCs/>
        </w:rPr>
        <w:t>Faktura musí být předána osobně nebo doručena zadavateli na adr</w:t>
      </w:r>
      <w:r w:rsidRPr="000938A6">
        <w:rPr>
          <w:rFonts w:eastAsia="Calibri"/>
        </w:rPr>
        <w:t xml:space="preserve">esu: </w:t>
      </w:r>
      <w:r w:rsidRPr="000938A6">
        <w:rPr>
          <w:rFonts w:eastAsia="Calibri"/>
          <w:b/>
        </w:rPr>
        <w:t xml:space="preserve">Úřad pro zastupování státu ve věcech majetkových, Územní pracoviště Plzeň, </w:t>
      </w:r>
      <w:r w:rsidRPr="000938A6">
        <w:rPr>
          <w:rFonts w:eastAsia="Calibri"/>
          <w:b/>
          <w:bCs/>
        </w:rPr>
        <w:t>Radobyčická 1313/14, Jižní Předměstí, 30100 Plzeň</w:t>
      </w:r>
      <w:r w:rsidRPr="000938A6">
        <w:rPr>
          <w:rFonts w:eastAsia="Calibri"/>
          <w:bCs/>
        </w:rPr>
        <w:t xml:space="preserve">, </w:t>
      </w:r>
      <w:r w:rsidRPr="000938A6">
        <w:rPr>
          <w:bCs/>
        </w:rPr>
        <w:t xml:space="preserve">nebo elektronicky na e-mailovou adresu  </w:t>
      </w:r>
      <w:hyperlink r:id="rId9" w:history="1">
        <w:r w:rsidRPr="000938A6">
          <w:rPr>
            <w:rStyle w:val="Hypertextovodkaz"/>
            <w:bCs/>
          </w:rPr>
          <w:t>podatelna.plzen@uzsvm.cz</w:t>
        </w:r>
      </w:hyperlink>
      <w:r w:rsidRPr="000938A6">
        <w:rPr>
          <w:rStyle w:val="Hypertextovodkaz"/>
          <w:bCs/>
        </w:rPr>
        <w:t xml:space="preserve">, </w:t>
      </w:r>
      <w:r w:rsidRPr="000938A6">
        <w:rPr>
          <w:rFonts w:eastAsia="Calibri"/>
          <w:bCs/>
        </w:rPr>
        <w:t xml:space="preserve">a to do </w:t>
      </w:r>
      <w:r w:rsidRPr="000938A6">
        <w:rPr>
          <w:bCs/>
        </w:rPr>
        <w:t>7 kalendářních</w:t>
      </w:r>
      <w:r w:rsidRPr="000938A6">
        <w:rPr>
          <w:rFonts w:eastAsia="Calibri"/>
          <w:bCs/>
        </w:rPr>
        <w:t xml:space="preserve"> dnů od řádného </w:t>
      </w:r>
      <w:r w:rsidRPr="000938A6">
        <w:rPr>
          <w:bCs/>
        </w:rPr>
        <w:t>dodání zboží dle objednávky</w:t>
      </w:r>
      <w:r w:rsidRPr="000938A6">
        <w:rPr>
          <w:rFonts w:eastAsia="Calibri"/>
          <w:bCs/>
        </w:rPr>
        <w:t>.</w:t>
      </w:r>
    </w:p>
    <w:p w:rsidR="00B24AAC" w:rsidRPr="000938A6" w:rsidRDefault="00A66307" w:rsidP="00B24AAC">
      <w:pPr>
        <w:pStyle w:val="FSCNormal"/>
        <w:numPr>
          <w:ilvl w:val="1"/>
          <w:numId w:val="8"/>
        </w:numPr>
        <w:spacing w:before="120" w:after="0" w:line="276" w:lineRule="auto"/>
        <w:ind w:left="426" w:hanging="568"/>
      </w:pPr>
      <w:r w:rsidRPr="000938A6">
        <w:t xml:space="preserve">Faktura bude uhrazena bankovním převodem se splatnostní 21 kalendářních dnů ode dne, kdy zadavatel prokazatelně převezme fakturu, popř. </w:t>
      </w:r>
      <w:r>
        <w:t xml:space="preserve">dodavatelem </w:t>
      </w:r>
      <w:r w:rsidRPr="000938A6">
        <w:t>opravenou fakturu.</w:t>
      </w:r>
    </w:p>
    <w:p w:rsidR="00B24AAC" w:rsidRPr="000938A6" w:rsidRDefault="00A66307" w:rsidP="00B24AAC">
      <w:pPr>
        <w:pStyle w:val="FSCNormal"/>
        <w:numPr>
          <w:ilvl w:val="1"/>
          <w:numId w:val="8"/>
        </w:numPr>
        <w:spacing w:before="120" w:after="0" w:line="276" w:lineRule="auto"/>
        <w:ind w:left="426" w:hanging="568"/>
      </w:pPr>
      <w:r w:rsidRPr="000938A6">
        <w:rPr>
          <w:bCs/>
        </w:rPr>
        <w:t xml:space="preserve">Faktura musí mít náležitosti podle </w:t>
      </w:r>
      <w:r w:rsidRPr="000938A6">
        <w:t xml:space="preserve">aktuální legislativy. Zadavatel si vyhrazuje právo vrátit fakturu dodavateli k opravě (doplnění), pokud nebude faktura takové náležitosti obsahovat či přesáhne dohodnutou smluvní cenu. V takovém případě bude přerušen běh lhůty splatnosti </w:t>
      </w:r>
      <w:r w:rsidRPr="000938A6">
        <w:lastRenderedPageBreak/>
        <w:t>a nová lhůta splatnosti začne běžet okamžikem doručení opravené (doplněné) faktury zadavateli.</w:t>
      </w:r>
    </w:p>
    <w:p w:rsidR="00B24AAC" w:rsidRPr="000938A6" w:rsidRDefault="00A66307" w:rsidP="00B24AAC">
      <w:pPr>
        <w:pStyle w:val="FSCNormal"/>
        <w:numPr>
          <w:ilvl w:val="1"/>
          <w:numId w:val="8"/>
        </w:numPr>
        <w:spacing w:before="120" w:after="0" w:line="276" w:lineRule="auto"/>
        <w:ind w:left="426" w:hanging="568"/>
      </w:pPr>
      <w:r w:rsidRPr="000938A6">
        <w:t>Zadavatel neposkytuje zálohy.</w:t>
      </w:r>
    </w:p>
    <w:p w:rsidR="00B24AAC" w:rsidRPr="000938A6" w:rsidRDefault="00A66307" w:rsidP="00B24AAC">
      <w:pPr>
        <w:autoSpaceDE w:val="0"/>
        <w:autoSpaceDN w:val="0"/>
        <w:adjustRightInd w:val="0"/>
        <w:spacing w:before="3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8A6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VII.</w:t>
      </w:r>
    </w:p>
    <w:p w:rsidR="00B24AAC" w:rsidRPr="000938A6" w:rsidRDefault="00A66307" w:rsidP="00B24AA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8A6">
        <w:rPr>
          <w:rFonts w:ascii="Arial" w:hAnsi="Arial" w:cs="Arial"/>
          <w:b/>
          <w:bCs/>
          <w:sz w:val="22"/>
          <w:szCs w:val="22"/>
        </w:rPr>
        <w:t>Odpovědnost za vady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odpovídá za vady zboží, které má zboží v době jeho převzetí zadavatelem,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jakož i za vady zboží, které vzniknou v průběhu záruční doby (záruka za jakost).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je povinen dodat zboží v množství, druhu a jakosti dle objednávky a při dodržení všech podmínek sjednaných v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>ámcové dohodě. Dále se dodavatel zavazuje, že zboží bude po celou záruční dobu použitelné k obvyklému účelu a zachová si obvyklé vlastnosti. Dodavatel prohlašuje, že jím dodávané zboží je způsobilé k užití v souladu s jeho určením a odpovídá všem požadavkům obecně závazných právních předpisů, a že je bez vad faktických i právních.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Poruší-li dodavatel povinnosti stanovené v odst. 7.2 tohoto článku, jedná se o vady plnění. Zadavatel je povinen reklamovat vady bez zbytečného odkladu po jejich zjištění.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ind w:left="425" w:hanging="567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Dodavatel poskytuje na zboží smluvní záruky</w:t>
      </w:r>
      <w:r w:rsidRPr="000938A6">
        <w:rPr>
          <w:rFonts w:ascii="Arial" w:hAnsi="Arial" w:cs="Arial"/>
          <w:b/>
          <w:sz w:val="22"/>
          <w:szCs w:val="22"/>
        </w:rPr>
        <w:t xml:space="preserve"> </w:t>
      </w:r>
      <w:r w:rsidRPr="000938A6">
        <w:rPr>
          <w:rFonts w:ascii="Arial" w:hAnsi="Arial" w:cs="Arial"/>
          <w:sz w:val="22"/>
          <w:szCs w:val="22"/>
        </w:rPr>
        <w:t>v délce: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475"/>
        <w:gridCol w:w="4477"/>
      </w:tblGrid>
      <w:tr w:rsidR="00654F14" w:rsidTr="001A0B65">
        <w:tc>
          <w:tcPr>
            <w:tcW w:w="4535" w:type="dxa"/>
          </w:tcPr>
          <w:p w:rsidR="00B24AAC" w:rsidRPr="000938A6" w:rsidRDefault="00A66307" w:rsidP="001A0B65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A6">
              <w:rPr>
                <w:rFonts w:ascii="Arial" w:hAnsi="Arial" w:cs="Arial"/>
                <w:sz w:val="22"/>
                <w:szCs w:val="22"/>
              </w:rPr>
              <w:t>záruka za jakost na toaletní papír a papírové ručníky v měsících</w:t>
            </w:r>
          </w:p>
        </w:tc>
        <w:tc>
          <w:tcPr>
            <w:tcW w:w="4537" w:type="dxa"/>
          </w:tcPr>
          <w:p w:rsidR="00B24AAC" w:rsidRPr="000938A6" w:rsidRDefault="00A66307" w:rsidP="001A0B65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8A6">
              <w:rPr>
                <w:rFonts w:ascii="Arial" w:hAnsi="Arial" w:cs="Arial"/>
                <w:sz w:val="22"/>
                <w:szCs w:val="22"/>
              </w:rPr>
              <w:t>záruka za jakost na tekuté mýdlo                 v měsících</w:t>
            </w:r>
          </w:p>
        </w:tc>
      </w:tr>
      <w:tr w:rsidR="00654F14" w:rsidTr="001A0B65">
        <w:tc>
          <w:tcPr>
            <w:tcW w:w="4535" w:type="dxa"/>
          </w:tcPr>
          <w:p w:rsidR="00B24AAC" w:rsidRPr="005B3329" w:rsidRDefault="00A66307" w:rsidP="001A0B65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32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537" w:type="dxa"/>
          </w:tcPr>
          <w:p w:rsidR="00B24AAC" w:rsidRPr="005B3329" w:rsidRDefault="00A66307" w:rsidP="001A0B65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329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:rsidR="00B24AAC" w:rsidRPr="000938A6" w:rsidRDefault="00A66307" w:rsidP="00B24AAC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Záruční doba běží ode dne předání zboží zadavateli.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Zjistí-li zadavatel vady týkající se množství, druhu nebo jakosti dodaného zboží již při dodání, je oprávněn odmítnout jeho převzetí. V takovém případě je dodavatel povinen odstranit vady zboží bezúplatně dodáním náhradního zboží v množství, druhu a jakosti dle objednávky,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 xml:space="preserve">a to do 3 pracovních dnů ode dne odmítnutí převzetí zboží zadavatelem, nedohodnou-li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se účastníci dohody jinak.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Zjistí-li zadavatel vady týkající se množství, druhu nebo jakosti dodaného zboží až po převzetí dodávky, je dodavatel povinen odstranit vady nejpozději do 3 pracovních dnů od doručení písemné reklamace zadavatele. V takovém případě je dodavatel povinen odstranit vady zboží bezúplatně dodáním náhradního zboží v množství, druhu a jakosti dle objednávky, nedohodnou-li se účastnící dohody jinak. Jestliže dodání náhradního zboží dle předchozí věty není v uvedené lhůtě možné, je zadavatel oprávněn opatřit si náhradní zboží od jiné osoby a požadovat na dodavateli náhradu takto vynaložených nákladů.</w:t>
      </w:r>
    </w:p>
    <w:p w:rsidR="00B24AAC" w:rsidRPr="000938A6" w:rsidRDefault="00A66307" w:rsidP="00B24AAC">
      <w:pPr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Ujednáním o dodání náhradního zboží bez vad není dotčena odpovědnost dodavatele za vzniklou škodu.</w:t>
      </w:r>
    </w:p>
    <w:p w:rsidR="00B24AAC" w:rsidRPr="000938A6" w:rsidRDefault="00A66307" w:rsidP="00B24AAC">
      <w:pPr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VIII.</w:t>
      </w:r>
    </w:p>
    <w:p w:rsidR="00B24AAC" w:rsidRPr="000938A6" w:rsidRDefault="00A66307" w:rsidP="00B24A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>Sankce</w:t>
      </w:r>
    </w:p>
    <w:p w:rsidR="00B24AAC" w:rsidRPr="000938A6" w:rsidRDefault="00A66307" w:rsidP="00B24AAC">
      <w:pPr>
        <w:pStyle w:val="Odstavecseseznamem"/>
        <w:numPr>
          <w:ilvl w:val="1"/>
          <w:numId w:val="10"/>
        </w:numPr>
        <w:spacing w:before="120" w:after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nese plnou odpovědnost za škodu způsobenou zadavateli v souvislosti s plněním předmětu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dohody a zavazuje se takovou škodu zadavateli uhradit. Výše náhrady škody není omezena. Škoda způsobená zadavateli zahrnuje i případné pokuty a finanční důsledky jiných sankcí stanovených zadavateli z důvodu porušení smluvních povinností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ze strany dodavatele, o nichž pravomocně rozhodne příslušný orgán.</w:t>
      </w:r>
    </w:p>
    <w:p w:rsidR="00B24AAC" w:rsidRPr="000938A6" w:rsidRDefault="00A66307" w:rsidP="00B24AAC">
      <w:pPr>
        <w:pStyle w:val="Odstavecseseznamem"/>
        <w:numPr>
          <w:ilvl w:val="1"/>
          <w:numId w:val="10"/>
        </w:numPr>
        <w:spacing w:before="120" w:after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lastRenderedPageBreak/>
        <w:t xml:space="preserve">V případě </w:t>
      </w:r>
      <w:r w:rsidRPr="000938A6">
        <w:rPr>
          <w:rFonts w:ascii="Arial" w:hAnsi="Arial" w:cs="Arial"/>
          <w:bCs/>
          <w:sz w:val="22"/>
          <w:szCs w:val="22"/>
        </w:rPr>
        <w:t xml:space="preserve">prodlení dodavatele </w:t>
      </w:r>
      <w:r w:rsidRPr="000938A6">
        <w:rPr>
          <w:rFonts w:ascii="Arial" w:hAnsi="Arial" w:cs="Arial"/>
          <w:sz w:val="22"/>
          <w:szCs w:val="22"/>
        </w:rPr>
        <w:t xml:space="preserve">s dodáním zboží v souladu objednávkou a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ámcovou dohodou nebo v případě prodlení dodavatele s dodáním náhradního zboží dle </w:t>
      </w:r>
      <w:r>
        <w:rPr>
          <w:rFonts w:ascii="Arial" w:hAnsi="Arial" w:cs="Arial"/>
          <w:sz w:val="22"/>
          <w:szCs w:val="22"/>
        </w:rPr>
        <w:t>Č</w:t>
      </w:r>
      <w:r w:rsidRPr="000938A6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VII.</w:t>
      </w:r>
      <w:r w:rsidRPr="000938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>ámcové dohody,</w:t>
      </w:r>
      <w:r w:rsidRPr="000938A6">
        <w:rPr>
          <w:rFonts w:ascii="Arial" w:hAnsi="Arial" w:cs="Arial"/>
          <w:bCs/>
          <w:sz w:val="22"/>
          <w:szCs w:val="22"/>
        </w:rPr>
        <w:t xml:space="preserve"> </w:t>
      </w:r>
      <w:r w:rsidRPr="000938A6">
        <w:rPr>
          <w:rFonts w:ascii="Arial" w:hAnsi="Arial" w:cs="Arial"/>
          <w:sz w:val="22"/>
          <w:szCs w:val="22"/>
        </w:rPr>
        <w:t>zavazuje se dodavatel, nedohodnou-li se účastníci dohody jinak, zaplatit zadavateli smluvní pokutu ve výši 100 Kč, a to za každý kalendářní den prodlení až do řádného splnění závazku. Pokud dodavatel dodá náhradní zboží ve lhůtách uvedených v </w:t>
      </w:r>
      <w:r>
        <w:rPr>
          <w:rFonts w:ascii="Arial" w:hAnsi="Arial" w:cs="Arial"/>
          <w:sz w:val="22"/>
          <w:szCs w:val="22"/>
        </w:rPr>
        <w:t>Č</w:t>
      </w:r>
      <w:r w:rsidRPr="000938A6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VII.</w:t>
      </w:r>
      <w:r w:rsidRPr="000938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>ámcové dohody, nárok na zaplacení smluvní pokuty zadavateli nevznikne.</w:t>
      </w:r>
    </w:p>
    <w:p w:rsidR="00B24AAC" w:rsidRPr="000938A6" w:rsidRDefault="00A66307" w:rsidP="00B24AAC">
      <w:pPr>
        <w:pStyle w:val="Bezmezer"/>
        <w:numPr>
          <w:ilvl w:val="1"/>
          <w:numId w:val="10"/>
        </w:numPr>
        <w:spacing w:before="120" w:line="276" w:lineRule="auto"/>
        <w:ind w:hanging="502"/>
        <w:jc w:val="both"/>
        <w:rPr>
          <w:rFonts w:ascii="Arial" w:hAnsi="Arial" w:cs="Arial"/>
        </w:rPr>
      </w:pPr>
      <w:r w:rsidRPr="000938A6">
        <w:rPr>
          <w:rFonts w:ascii="Arial" w:hAnsi="Arial" w:cs="Arial"/>
        </w:rPr>
        <w:t xml:space="preserve">Zadavatel se zavazuje uhradit dodavateli z jakékoli neoprávněně neuhrazené části faktury dodavatele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 a evidence svěřeneckých fondů a evidence údajů o skutečných majitelích, </w:t>
      </w:r>
      <w:r>
        <w:rPr>
          <w:rFonts w:ascii="Arial" w:hAnsi="Arial" w:cs="Arial"/>
        </w:rPr>
        <w:br/>
      </w:r>
      <w:r w:rsidRPr="000938A6">
        <w:rPr>
          <w:rFonts w:ascii="Arial" w:hAnsi="Arial" w:cs="Arial"/>
        </w:rPr>
        <w:t xml:space="preserve">ve znění pozdějších předpisů, a to za každý kalendářní den prodlení vůči dnu splatnosti faktury.  </w:t>
      </w:r>
    </w:p>
    <w:p w:rsidR="00B24AAC" w:rsidRPr="000938A6" w:rsidRDefault="00A66307" w:rsidP="00B24AAC">
      <w:pPr>
        <w:pStyle w:val="Bezmezer"/>
        <w:numPr>
          <w:ilvl w:val="1"/>
          <w:numId w:val="10"/>
        </w:numPr>
        <w:spacing w:before="120" w:line="276" w:lineRule="auto"/>
        <w:ind w:hanging="502"/>
        <w:jc w:val="both"/>
        <w:rPr>
          <w:rFonts w:ascii="Arial" w:hAnsi="Arial" w:cs="Arial"/>
        </w:rPr>
      </w:pPr>
      <w:r w:rsidRPr="000938A6">
        <w:rPr>
          <w:rFonts w:ascii="Arial" w:hAnsi="Arial" w:cs="Arial"/>
        </w:rPr>
        <w:t xml:space="preserve">Smluvní pokuty, jakož i případné úroky z prodlení, jsou splatné 14. kalendářní den ode dne odeslání příslušné výzvy povinnému účastníku dohody na jeho adresu uvedenou v záhlaví rámcové dohody anebo do datové schránky. </w:t>
      </w:r>
    </w:p>
    <w:p w:rsidR="00B24AAC" w:rsidRPr="000938A6" w:rsidRDefault="00A66307" w:rsidP="00B24AAC">
      <w:pPr>
        <w:pStyle w:val="Bezmezer"/>
        <w:numPr>
          <w:ilvl w:val="1"/>
          <w:numId w:val="10"/>
        </w:numPr>
        <w:spacing w:before="120" w:line="276" w:lineRule="auto"/>
        <w:ind w:hanging="502"/>
        <w:jc w:val="both"/>
        <w:rPr>
          <w:rFonts w:ascii="Arial" w:hAnsi="Arial" w:cs="Arial"/>
        </w:rPr>
      </w:pPr>
      <w:r w:rsidRPr="000938A6">
        <w:rPr>
          <w:rFonts w:ascii="Arial" w:hAnsi="Arial" w:cs="Arial"/>
        </w:rPr>
        <w:t>Právo na náhradu škody v plné výši, tedy i ve výši přesahující smluvní pokutu, není výše uvedenými ustanoveními dotčeno.</w:t>
      </w:r>
    </w:p>
    <w:p w:rsidR="00B24AAC" w:rsidRPr="000938A6" w:rsidRDefault="00A66307" w:rsidP="00B24AAC">
      <w:pPr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IX.</w:t>
      </w:r>
    </w:p>
    <w:p w:rsidR="00B24AAC" w:rsidRPr="000938A6" w:rsidRDefault="00A66307" w:rsidP="00B24AA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38A6">
        <w:rPr>
          <w:rFonts w:ascii="Arial" w:hAnsi="Arial" w:cs="Arial"/>
          <w:b/>
          <w:bCs/>
          <w:sz w:val="22"/>
          <w:szCs w:val="22"/>
        </w:rPr>
        <w:t>Odstoupení od kupní smlouvy, odstoupení od rámcové dohody</w:t>
      </w:r>
    </w:p>
    <w:p w:rsidR="00B24AAC" w:rsidRPr="000938A6" w:rsidRDefault="00A66307" w:rsidP="00B24AA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363" w:hanging="505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Zadavatel je oprávněn odstoupit od kupní smlouvy (dle § 2001 a násl. občanského zákoníku) v těchto případech:</w:t>
      </w:r>
    </w:p>
    <w:p w:rsidR="00B24AAC" w:rsidRPr="000938A6" w:rsidRDefault="00A66307" w:rsidP="00B24A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jestliže se dodavatel dostane do</w:t>
      </w:r>
      <w:r w:rsidRPr="000938A6">
        <w:rPr>
          <w:rFonts w:ascii="Arial" w:hAnsi="Arial" w:cs="Arial"/>
          <w:sz w:val="22"/>
          <w:szCs w:val="22"/>
        </w:rPr>
        <w:t xml:space="preserve"> prodlení delší</w:t>
      </w:r>
      <w:r>
        <w:rPr>
          <w:rFonts w:ascii="Arial" w:hAnsi="Arial" w:cs="Arial"/>
          <w:sz w:val="22"/>
          <w:szCs w:val="22"/>
        </w:rPr>
        <w:t>ho</w:t>
      </w:r>
      <w:r w:rsidRPr="000938A6">
        <w:rPr>
          <w:rFonts w:ascii="Arial" w:hAnsi="Arial" w:cs="Arial"/>
          <w:sz w:val="22"/>
          <w:szCs w:val="22"/>
        </w:rPr>
        <w:t xml:space="preserve"> než 10 pracovních dnů s dodáním zboží</w:t>
      </w:r>
    </w:p>
    <w:p w:rsidR="00B24AAC" w:rsidRPr="000938A6" w:rsidRDefault="00A66307" w:rsidP="00B24A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jestliže dodavatel nebude plnit v souladu s požadavky uvedenými v objednávce</w:t>
      </w:r>
    </w:p>
    <w:p w:rsidR="00B24AAC" w:rsidRPr="000938A6" w:rsidRDefault="00A66307" w:rsidP="00B24A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jestliže nabude právní moci rozhodnutí insolvenčního soudu o úpadku dodavatele, v němž tento soud konstatuje, že je dodavatel v úpadku</w:t>
      </w:r>
    </w:p>
    <w:p w:rsidR="00B24AAC" w:rsidRPr="000938A6" w:rsidRDefault="00A66307" w:rsidP="00B24AA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Dodavatel je oprávněn odstoupit od kupní smlouvy v případě, že zadavatel bude neoprávněně v prodlení s úhradou faktury delší než 60 kalendářních dní.</w:t>
      </w:r>
    </w:p>
    <w:p w:rsidR="00B24AAC" w:rsidRPr="000938A6" w:rsidRDefault="00A66307" w:rsidP="00B24AA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Zadavatel je oprávněn odstoupit od rámcové dohody (dle § 2001 a násl. občanského zákoníku)</w:t>
      </w:r>
      <w:r w:rsidRPr="000938A6">
        <w:rPr>
          <w:rFonts w:ascii="Arial" w:hAnsi="Arial" w:cs="Arial"/>
        </w:rPr>
        <w:t xml:space="preserve"> </w:t>
      </w:r>
      <w:r w:rsidRPr="000938A6">
        <w:rPr>
          <w:rFonts w:ascii="Arial" w:hAnsi="Arial" w:cs="Arial"/>
          <w:sz w:val="22"/>
          <w:szCs w:val="22"/>
        </w:rPr>
        <w:t>v těchto případech:</w:t>
      </w:r>
    </w:p>
    <w:p w:rsidR="00B24AAC" w:rsidRPr="000938A6" w:rsidRDefault="00A66307" w:rsidP="00B24A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jestliže se dodavatel dostane v průběhu trvání rámcové smlouvy do prodlení delším než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10 pracovních dnů s dodáním zboží, a to ve více než 3 případech</w:t>
      </w:r>
    </w:p>
    <w:p w:rsidR="00B24AAC" w:rsidRPr="000938A6" w:rsidRDefault="00A66307" w:rsidP="00B24A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jestliže dodavatel opakovaně (tj. minimálně 2x) poruší rámcovou dohodu</w:t>
      </w:r>
    </w:p>
    <w:p w:rsidR="00B24AAC" w:rsidRPr="000938A6" w:rsidRDefault="00A66307" w:rsidP="00B24A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jestliže nabude právní moci rozhodnutí insolvenčního soudu o úpadku dodavatele, v němž tento soud konstatuje, že je dodavatel v úpadku.</w:t>
      </w:r>
    </w:p>
    <w:p w:rsidR="00B24AAC" w:rsidRDefault="00A66307" w:rsidP="00B24AA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left="363" w:hanging="505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je oprávněn odstoupit od rámcové dohody v případě, že se zadavatel dostane do neoprávněného prodlení s úhradou faktury delší než 60 kalendářních dní, a to ve více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než 3 případech.</w:t>
      </w:r>
    </w:p>
    <w:p w:rsidR="00B24AAC" w:rsidRPr="000938A6" w:rsidRDefault="00A66307" w:rsidP="00B24AA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Odstoupení </w:t>
      </w:r>
      <w:r>
        <w:rPr>
          <w:rFonts w:ascii="Arial" w:hAnsi="Arial" w:cs="Arial"/>
          <w:sz w:val="22"/>
          <w:szCs w:val="22"/>
        </w:rPr>
        <w:t>od r</w:t>
      </w:r>
      <w:r w:rsidRPr="000938A6">
        <w:rPr>
          <w:rFonts w:ascii="Arial" w:hAnsi="Arial" w:cs="Arial"/>
          <w:sz w:val="22"/>
          <w:szCs w:val="22"/>
        </w:rPr>
        <w:t xml:space="preserve">ámcové dohody je účinné okamžikem doručení písemného odstoupení od smlouvy nebo od rámcové dohody druhé straně. </w:t>
      </w:r>
    </w:p>
    <w:p w:rsidR="00B24AAC" w:rsidRPr="000938A6" w:rsidRDefault="00A66307" w:rsidP="00B24AAC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Odstoupení od kupní smlouvy nebo rámcové dohody se netýká nároku na úhradu všech peněžitých plnění (zejména smluvních pokut a náhrad škod), na které vznikl účastníku dohody nárok na základě rámcové dohody.</w:t>
      </w:r>
    </w:p>
    <w:p w:rsidR="00B24AAC" w:rsidRDefault="00B24AAC" w:rsidP="00B24AAC">
      <w:pPr>
        <w:ind w:left="851" w:hanging="851"/>
        <w:jc w:val="center"/>
        <w:rPr>
          <w:rFonts w:ascii="Arial" w:hAnsi="Arial" w:cs="Arial"/>
          <w:b/>
          <w:bCs/>
          <w:sz w:val="22"/>
          <w:szCs w:val="22"/>
        </w:rPr>
      </w:pPr>
    </w:p>
    <w:p w:rsidR="00B24AAC" w:rsidRPr="000938A6" w:rsidRDefault="00A66307" w:rsidP="00B24AAC">
      <w:pPr>
        <w:ind w:left="851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0938A6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X.</w:t>
      </w:r>
    </w:p>
    <w:p w:rsidR="00B24AAC" w:rsidRPr="000938A6" w:rsidRDefault="00A66307" w:rsidP="00B24AAC">
      <w:pPr>
        <w:spacing w:after="120" w:line="276" w:lineRule="auto"/>
        <w:ind w:left="851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0938A6">
        <w:rPr>
          <w:rFonts w:ascii="Arial" w:hAnsi="Arial" w:cs="Arial"/>
          <w:b/>
          <w:bCs/>
          <w:sz w:val="22"/>
          <w:szCs w:val="22"/>
        </w:rPr>
        <w:t xml:space="preserve">Náhradní plnění </w:t>
      </w:r>
    </w:p>
    <w:p w:rsidR="00B24AAC" w:rsidRPr="000938A6" w:rsidRDefault="00A66307" w:rsidP="00B24AAC">
      <w:pPr>
        <w:pStyle w:val="Odstavecseseznamem"/>
        <w:numPr>
          <w:ilvl w:val="1"/>
          <w:numId w:val="14"/>
        </w:numPr>
        <w:spacing w:before="120" w:line="276" w:lineRule="auto"/>
        <w:ind w:left="284" w:hanging="709"/>
        <w:contextualSpacing w:val="0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Dodavatel se podle zákona č. 435/2004 Sb., o zaměstnanosti, ve znění pozdějších předpisů (dále jen „zákon o zaměstnanosti“) zavazuje, že zahrne zadavatele do režimu náhradního plnění a vyvine maximální úsilí, aby bylo požadavků zadavatele na plnění povinnosti formou náhradního plnění dosaženo. Dodavatel se za tímto účelem zavazuje poskytovat zadavateli po celou dobu platnosti a účinnosti rámcové dohody plnění tak, aby byly naplněny podmínky tzv. náhradního plnění dle § 81 odst. 2 písm. b) zákona o zaměstnanosti, a to minimálně v množství odpovídajícím přepočtenému počtu pěti zaměstnanců se zdravotním postižením dle zákona o zaměstnanosti.</w:t>
      </w:r>
    </w:p>
    <w:p w:rsidR="00B24AAC" w:rsidRPr="000938A6" w:rsidRDefault="00B24AAC" w:rsidP="00B24AAC">
      <w:pPr>
        <w:jc w:val="both"/>
        <w:rPr>
          <w:rFonts w:ascii="Arial" w:hAnsi="Arial" w:cs="Arial"/>
          <w:sz w:val="22"/>
          <w:szCs w:val="22"/>
        </w:rPr>
      </w:pPr>
    </w:p>
    <w:p w:rsidR="00B24AAC" w:rsidRPr="000938A6" w:rsidRDefault="00A66307" w:rsidP="00B24AAC">
      <w:pPr>
        <w:pStyle w:val="Odstavecseseznamem"/>
        <w:numPr>
          <w:ilvl w:val="1"/>
          <w:numId w:val="14"/>
        </w:numPr>
        <w:ind w:left="284" w:hanging="709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Potvrzení o poskytnutí služeb v rámci náhradního plnění za dobu plnění bude vystaveno zadavateli pouze za skutečně a včas uhrazené faktury. Součástí každé vystavené faktury bude výkaz </w:t>
      </w:r>
      <w:r>
        <w:rPr>
          <w:rFonts w:ascii="Arial" w:hAnsi="Arial" w:cs="Arial"/>
          <w:sz w:val="22"/>
          <w:szCs w:val="22"/>
        </w:rPr>
        <w:t>poskytnutého plnění</w:t>
      </w:r>
      <w:r w:rsidRPr="000938A6">
        <w:rPr>
          <w:rFonts w:ascii="Arial" w:hAnsi="Arial" w:cs="Arial"/>
          <w:sz w:val="22"/>
          <w:szCs w:val="22"/>
        </w:rPr>
        <w:t xml:space="preserve"> v rámci náhradního plnění.</w:t>
      </w:r>
    </w:p>
    <w:p w:rsidR="00B24AAC" w:rsidRPr="000938A6" w:rsidRDefault="00B24AAC" w:rsidP="00B24AAC">
      <w:pPr>
        <w:pStyle w:val="Odstavecseseznamem"/>
        <w:ind w:left="375"/>
        <w:jc w:val="both"/>
        <w:rPr>
          <w:rFonts w:ascii="Arial" w:hAnsi="Arial" w:cs="Arial"/>
          <w:sz w:val="22"/>
          <w:szCs w:val="22"/>
        </w:rPr>
      </w:pPr>
    </w:p>
    <w:p w:rsidR="00B24AAC" w:rsidRPr="000938A6" w:rsidRDefault="00A66307" w:rsidP="00B24AAC">
      <w:pPr>
        <w:pStyle w:val="Odstavecseseznamem"/>
        <w:numPr>
          <w:ilvl w:val="1"/>
          <w:numId w:val="14"/>
        </w:numPr>
        <w:ind w:left="284" w:hanging="709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Dodavatel se zavazuje do 30 kalendářních dnů od zaplacení poskytnutého náhradního plnění vložit údaje o poskytnutém náhradním plnění do elektronické evidence ve smyslu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 xml:space="preserve">§ 81 odst. 3 ve spojení s § 84 zákona o zaměstnanosti. Doklady dle § 84 zákona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 xml:space="preserve">o zaměstnanosti odsouhlasí zadavatel prostřednictvím e-mailu, generovaného automaticky na adresu zadavatele: </w:t>
      </w:r>
      <w:hyperlink r:id="rId10" w:history="1">
        <w:r w:rsidRPr="000938A6">
          <w:rPr>
            <w:rStyle w:val="Hypertextovodkaz"/>
            <w:rFonts w:ascii="Arial" w:hAnsi="Arial" w:cs="Arial"/>
            <w:sz w:val="22"/>
            <w:szCs w:val="22"/>
          </w:rPr>
          <w:t>nahradni.plneni@uzsvm.cz</w:t>
        </w:r>
      </w:hyperlink>
      <w:r w:rsidRPr="000938A6">
        <w:rPr>
          <w:rFonts w:ascii="Arial" w:hAnsi="Arial" w:cs="Arial"/>
          <w:sz w:val="22"/>
          <w:szCs w:val="22"/>
        </w:rPr>
        <w:t>.</w:t>
      </w:r>
    </w:p>
    <w:p w:rsidR="00B24AAC" w:rsidRPr="000938A6" w:rsidRDefault="00B24AAC" w:rsidP="00B24AAC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B24AAC" w:rsidRPr="000938A6" w:rsidRDefault="00A66307" w:rsidP="00B24AAC">
      <w:pPr>
        <w:pStyle w:val="Odstavecseseznamem"/>
        <w:numPr>
          <w:ilvl w:val="1"/>
          <w:numId w:val="14"/>
        </w:numPr>
        <w:ind w:left="284" w:hanging="709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V případě nedodržení povinnosti dodavatele dle tohoto </w:t>
      </w:r>
      <w:r>
        <w:rPr>
          <w:rFonts w:ascii="Arial" w:hAnsi="Arial" w:cs="Arial"/>
          <w:sz w:val="22"/>
          <w:szCs w:val="22"/>
        </w:rPr>
        <w:t>článku</w:t>
      </w:r>
      <w:r w:rsidRPr="000938A6">
        <w:rPr>
          <w:rFonts w:ascii="Arial" w:hAnsi="Arial" w:cs="Arial"/>
          <w:sz w:val="22"/>
          <w:szCs w:val="22"/>
        </w:rPr>
        <w:t xml:space="preserve"> platí analogicky ustanovení </w:t>
      </w:r>
      <w:r>
        <w:rPr>
          <w:rFonts w:ascii="Arial" w:hAnsi="Arial" w:cs="Arial"/>
          <w:sz w:val="22"/>
          <w:szCs w:val="22"/>
        </w:rPr>
        <w:t>Č</w:t>
      </w:r>
      <w:r w:rsidRPr="000938A6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VIII.</w:t>
      </w:r>
      <w:r w:rsidRPr="000938A6">
        <w:rPr>
          <w:rFonts w:ascii="Arial" w:hAnsi="Arial" w:cs="Arial"/>
          <w:sz w:val="22"/>
          <w:szCs w:val="22"/>
        </w:rPr>
        <w:t xml:space="preserve"> odst. 8.1 rámcové dohody, tedy dodavatel je povinen k náhradě škody a k úhradě nákladů, které zadavateli tímto vzniknou (např. odvod do státního rozpočtu a příslušenství). </w:t>
      </w:r>
    </w:p>
    <w:p w:rsidR="00B24AAC" w:rsidRPr="000938A6" w:rsidRDefault="00A66307" w:rsidP="00B24AAC">
      <w:pPr>
        <w:spacing w:before="3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XI.</w:t>
      </w:r>
    </w:p>
    <w:p w:rsidR="00B24AAC" w:rsidRPr="000938A6" w:rsidRDefault="00A66307" w:rsidP="00B24AAC">
      <w:pPr>
        <w:spacing w:line="276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0938A6">
        <w:rPr>
          <w:rFonts w:ascii="Arial" w:hAnsi="Arial" w:cs="Arial"/>
          <w:b/>
          <w:sz w:val="22"/>
          <w:szCs w:val="22"/>
        </w:rPr>
        <w:t>Závěrečná ustanovení</w:t>
      </w:r>
    </w:p>
    <w:p w:rsidR="00B24AAC" w:rsidRPr="0000224A" w:rsidRDefault="00A66307" w:rsidP="00B24AAC">
      <w:pPr>
        <w:numPr>
          <w:ilvl w:val="1"/>
          <w:numId w:val="13"/>
        </w:numPr>
        <w:spacing w:before="120" w:line="276" w:lineRule="auto"/>
        <w:ind w:left="284" w:hanging="561"/>
        <w:jc w:val="both"/>
        <w:rPr>
          <w:sz w:val="22"/>
          <w:szCs w:val="22"/>
        </w:rPr>
      </w:pPr>
      <w:r w:rsidRPr="0000224A">
        <w:rPr>
          <w:rFonts w:ascii="Arial" w:eastAsia="Calibri" w:hAnsi="Arial" w:cs="Arial"/>
          <w:sz w:val="22"/>
          <w:szCs w:val="22"/>
        </w:rPr>
        <w:t>Dodavatel je povinen po celou dobu platnosti rámcové dohody mít sjednáno pojištění odpovědnosti za škodu způsobenou dodavatelem třetí osobě, a to s limitem pojistného plnění minimálně ve výši 200 tis. Kč a zaplacené pojistné. V případě, že dojde k porušení této smluvní povinnosti, dodavatel se zavazuje uhradit zadavateli smluvní pokutu ve výši 20 tis. Kč, a to do</w:t>
      </w:r>
      <w:r w:rsidRPr="0000224A">
        <w:rPr>
          <w:rFonts w:ascii="Arial" w:hAnsi="Arial" w:cs="Arial"/>
          <w:sz w:val="22"/>
          <w:szCs w:val="22"/>
        </w:rPr>
        <w:t xml:space="preserve"> 14 kalendářních dnů ode dne obdržení příslušné výzvy</w:t>
      </w:r>
      <w:r w:rsidRPr="0000224A">
        <w:rPr>
          <w:rFonts w:ascii="Arial" w:eastAsia="Calibri" w:hAnsi="Arial" w:cs="Arial"/>
          <w:sz w:val="22"/>
          <w:szCs w:val="22"/>
        </w:rPr>
        <w:t>. Úhradou smluvní pokuty není dotčeno právo zadavatele na náhradu škody v plné výši, tedy i ve výši přesahující smluvní pokutu.</w:t>
      </w:r>
      <w:r w:rsidRPr="0000224A">
        <w:rPr>
          <w:i/>
        </w:rPr>
        <w:t xml:space="preserve"> </w:t>
      </w:r>
      <w:r w:rsidRPr="0000224A">
        <w:rPr>
          <w:rFonts w:ascii="Arial" w:hAnsi="Arial" w:cs="Arial"/>
          <w:i/>
          <w:sz w:val="22"/>
          <w:szCs w:val="22"/>
        </w:rPr>
        <w:t>(doklad o sjednaném pojištění předloží dodavatel před podpisem rámcové dohody)</w:t>
      </w:r>
      <w:r w:rsidRPr="0000224A">
        <w:rPr>
          <w:i/>
          <w:sz w:val="22"/>
          <w:szCs w:val="22"/>
        </w:rPr>
        <w:t xml:space="preserve"> </w:t>
      </w:r>
    </w:p>
    <w:p w:rsidR="00B24AAC" w:rsidRDefault="00A66307" w:rsidP="00B24AAC">
      <w:pPr>
        <w:numPr>
          <w:ilvl w:val="1"/>
          <w:numId w:val="13"/>
        </w:numPr>
        <w:spacing w:before="120" w:line="276" w:lineRule="auto"/>
        <w:ind w:left="284" w:hanging="562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V souvislosti s možnými úpravami státního rozpočtu je zadavatel oprávněn zastavit průběh plnění předmětu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dohody anebo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ámcovou dohodu vypovědět, a to bez jakékoliv sankce či náhrady za nedokončené plnění. Výpověď je účinná vůči dodavateli okamžikem jejího doručení. Zadavatel se zavazuje, že dílčí plnění objednané písemnou objednávkou před dnem ukončení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dohody uhradí v souladu s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ámcovou dohodou. Dodavatel se zavazuje, že dílčí plnění objednané písemnou objednávkou před dnem ukončení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dohody dokončí v souladu s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ámcovou dohodou. </w:t>
      </w:r>
    </w:p>
    <w:p w:rsidR="00B24AAC" w:rsidRPr="000938A6" w:rsidRDefault="00A66307" w:rsidP="00B24AAC">
      <w:pPr>
        <w:numPr>
          <w:ilvl w:val="1"/>
          <w:numId w:val="13"/>
        </w:numPr>
        <w:spacing w:before="120" w:line="276" w:lineRule="auto"/>
        <w:ind w:left="284" w:hanging="562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Zadavatel může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ámcovou dohodu vypovědět z jakéhokoliv důvodu, resp. bez udání důvodu, a to s výpovědní dobou 1 měsíce s tím, že výpovědní doba začne běžet od prvního dne měsíce následujícího po měsíci, v němž bude druhé smluvní straně výpověď doručena. Zadavatel se zavazuje, že dílčí plnění objednané písemnou objednávkou před dnem ukončení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>ámcové dohody uhradí v souladu s rámcovou dohodou. Dodavatel se zavazuje, že dílčí plnění objednané písemnou objednávkou před dnem ukončení rámcové dohody dokončí v souladu    s rámcovou dohodou.</w:t>
      </w:r>
    </w:p>
    <w:p w:rsidR="00B24AAC" w:rsidRPr="000938A6" w:rsidRDefault="00A66307" w:rsidP="00B24AAC">
      <w:pPr>
        <w:numPr>
          <w:ilvl w:val="1"/>
          <w:numId w:val="13"/>
        </w:numPr>
        <w:spacing w:before="120" w:line="276" w:lineRule="auto"/>
        <w:ind w:left="284" w:hanging="562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Účastníci dohody prohlašují, že tato rámcová dohoda neobsahuje obchodní tajemství.</w:t>
      </w:r>
    </w:p>
    <w:p w:rsidR="00B24AAC" w:rsidRPr="000938A6" w:rsidRDefault="00A66307" w:rsidP="00B24AAC">
      <w:pPr>
        <w:numPr>
          <w:ilvl w:val="1"/>
          <w:numId w:val="13"/>
        </w:numPr>
        <w:spacing w:before="120" w:line="276" w:lineRule="auto"/>
        <w:ind w:left="284" w:hanging="562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lastRenderedPageBreak/>
        <w:t>Dodavatel vyslovuje souhlas s tím, že zadavatel v rámci transparentnosti zveřejní rámcovou dohodu (včetně případných dodatků) na internetových stránkách zadavatele, na profilu zadavatele a na elektronickém tržišti.</w:t>
      </w:r>
    </w:p>
    <w:p w:rsidR="00DC0AE1" w:rsidRPr="000938A6" w:rsidRDefault="00A66307" w:rsidP="00DC0AE1">
      <w:pPr>
        <w:numPr>
          <w:ilvl w:val="1"/>
          <w:numId w:val="13"/>
        </w:numPr>
        <w:spacing w:before="12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V případě, že dodavatel použije, byť i jen k plnění určité části předmětu rámcové dohody, poddodavatele, odpovídá dodavatel zadavateli za plnění poskytnuté poddodavatelem, jako by toto plnění poskytoval sám.</w:t>
      </w:r>
    </w:p>
    <w:p w:rsidR="00DC0AE1" w:rsidRPr="000938A6" w:rsidRDefault="00A66307" w:rsidP="00DC0AE1">
      <w:pPr>
        <w:numPr>
          <w:ilvl w:val="1"/>
          <w:numId w:val="13"/>
        </w:numPr>
        <w:spacing w:before="120" w:after="240" w:line="276" w:lineRule="auto"/>
        <w:ind w:left="284" w:hanging="568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Změny či doplnění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dohody je možné činit výhradně formou písemných a číselně označených dodatků k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dohodě schválených zadavatelem a dodavatelem,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 xml:space="preserve">a to s výjimkou změn osob a kontaktních údajů uvedených v úvodu 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 xml:space="preserve">ámcové dohody v části „Účastníci dohody“, které se považují za změněné dnem doručení písemného oznámení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>o takové změně druhému účastníku dohody, tedy změna se neprovádí formou písemného dodatku k </w:t>
      </w:r>
      <w:r>
        <w:rPr>
          <w:rFonts w:ascii="Arial" w:hAnsi="Arial" w:cs="Arial"/>
          <w:sz w:val="22"/>
          <w:szCs w:val="22"/>
        </w:rPr>
        <w:t>r</w:t>
      </w:r>
      <w:r w:rsidRPr="000938A6">
        <w:rPr>
          <w:rFonts w:ascii="Arial" w:hAnsi="Arial" w:cs="Arial"/>
          <w:sz w:val="22"/>
          <w:szCs w:val="22"/>
        </w:rPr>
        <w:t>ámcové dohodě.</w:t>
      </w:r>
    </w:p>
    <w:p w:rsidR="00B24AAC" w:rsidRDefault="00A66307" w:rsidP="00DC0AE1">
      <w:pPr>
        <w:numPr>
          <w:ilvl w:val="1"/>
          <w:numId w:val="13"/>
        </w:numPr>
        <w:spacing w:before="120" w:line="276" w:lineRule="auto"/>
        <w:ind w:left="284" w:hanging="562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 xml:space="preserve">Zadavatel zašle tuto rámcovou dohodu správci registru smluv k uveřejnění bez zbytečného odkladu, nejpozději však do 30 dnů od uzavření rámcové dohody. Zadavatel předá dodavateli doklad o uveřejnění rámcové dohody v registru smluv podle § 5 odst. 4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0938A6">
        <w:rPr>
          <w:rFonts w:ascii="Arial" w:hAnsi="Arial" w:cs="Arial"/>
          <w:sz w:val="22"/>
          <w:szCs w:val="22"/>
        </w:rPr>
        <w:t xml:space="preserve">a o registru smluv, ve znění pozdějších předpisů (zákon o registru smluv), jako potvrzení skutečnosti, že rámcová dohoda nabyla účinnosti. Pokud má dodavatel zřízenou datovou schránku, bude mu potvrzení o uveřejnění rámcové dohody automaticky zasláno správcem registru smluv. </w:t>
      </w:r>
    </w:p>
    <w:p w:rsidR="005B3329" w:rsidRPr="00344C77" w:rsidRDefault="00A66307" w:rsidP="00DC0AE1">
      <w:pPr>
        <w:pStyle w:val="Bezmezer"/>
        <w:numPr>
          <w:ilvl w:val="1"/>
          <w:numId w:val="13"/>
        </w:numPr>
        <w:spacing w:before="120" w:after="240" w:line="276" w:lineRule="auto"/>
        <w:ind w:left="284" w:hanging="568"/>
        <w:jc w:val="both"/>
        <w:rPr>
          <w:rFonts w:ascii="Arial" w:hAnsi="Arial" w:cs="Arial"/>
        </w:rPr>
      </w:pPr>
      <w:r w:rsidRPr="00344C77">
        <w:rPr>
          <w:rFonts w:ascii="Arial" w:hAnsi="Arial" w:cs="Arial"/>
        </w:rPr>
        <w:t xml:space="preserve">Smlouva nabývá platnosti podpisem poslední ze smluvních stran a účinnosti </w:t>
      </w:r>
      <w:r w:rsidRPr="00344C77">
        <w:rPr>
          <w:rFonts w:ascii="Arial" w:hAnsi="Arial" w:cs="Arial"/>
          <w:bCs/>
        </w:rPr>
        <w:t xml:space="preserve">uveřejněním     v registru smluv. </w:t>
      </w:r>
    </w:p>
    <w:p w:rsidR="00B24AAC" w:rsidRPr="00DC0AE1" w:rsidRDefault="00A66307" w:rsidP="00DC0AE1">
      <w:pPr>
        <w:numPr>
          <w:ilvl w:val="1"/>
          <w:numId w:val="13"/>
        </w:numPr>
        <w:spacing w:line="276" w:lineRule="auto"/>
        <w:ind w:left="284" w:hanging="5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Tato </w:t>
      </w:r>
      <w:r w:rsidR="003865F8" w:rsidRPr="000938A6">
        <w:rPr>
          <w:rFonts w:ascii="Arial" w:hAnsi="Arial" w:cs="Arial"/>
          <w:sz w:val="22"/>
          <w:szCs w:val="22"/>
        </w:rPr>
        <w:t xml:space="preserve">Rámcová dohoda je vyhotovena </w:t>
      </w:r>
      <w:r>
        <w:rPr>
          <w:rFonts w:ascii="Arial" w:hAnsi="Arial" w:cs="Arial"/>
          <w:sz w:val="22"/>
          <w:szCs w:val="22"/>
        </w:rPr>
        <w:t>elektronicky v jednom vyhotovení s</w:t>
      </w:r>
      <w:r w:rsidR="00DC0AE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platností</w:t>
      </w:r>
      <w:r w:rsidR="00DC0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originálu,</w:t>
      </w:r>
      <w:r w:rsidR="00DC0AE1">
        <w:rPr>
          <w:rFonts w:ascii="Arial" w:hAnsi="Arial" w:cs="Arial"/>
          <w:sz w:val="22"/>
          <w:szCs w:val="22"/>
        </w:rPr>
        <w:t xml:space="preserve"> </w:t>
      </w:r>
      <w:r w:rsidRPr="00DC0AE1">
        <w:rPr>
          <w:rFonts w:ascii="Arial" w:hAnsi="Arial" w:cs="Arial"/>
          <w:sz w:val="22"/>
          <w:szCs w:val="22"/>
        </w:rPr>
        <w:t>s kvalifikovanými elektronickými podpisy zadavatele i dodavatele v souladu se</w:t>
      </w:r>
      <w:r w:rsidR="00DC0AE1">
        <w:rPr>
          <w:rFonts w:ascii="Arial" w:hAnsi="Arial" w:cs="Arial"/>
          <w:sz w:val="22"/>
          <w:szCs w:val="22"/>
        </w:rPr>
        <w:t xml:space="preserve"> </w:t>
      </w:r>
      <w:r w:rsidRPr="00DC0AE1">
        <w:rPr>
          <w:rFonts w:ascii="Arial" w:hAnsi="Arial" w:cs="Arial"/>
          <w:sz w:val="22"/>
          <w:szCs w:val="22"/>
        </w:rPr>
        <w:t>zákonem</w:t>
      </w:r>
      <w:r w:rsidR="00DC0AE1" w:rsidRPr="00DC0AE1">
        <w:rPr>
          <w:rFonts w:ascii="Arial" w:hAnsi="Arial" w:cs="Arial"/>
          <w:sz w:val="22"/>
          <w:szCs w:val="22"/>
        </w:rPr>
        <w:t xml:space="preserve"> </w:t>
      </w:r>
      <w:r w:rsidRPr="00DC0AE1">
        <w:rPr>
          <w:rFonts w:ascii="Arial" w:hAnsi="Arial" w:cs="Arial"/>
          <w:sz w:val="22"/>
          <w:szCs w:val="22"/>
        </w:rPr>
        <w:t>297/2016 Sb., o službách vytvářející důvěru pro elektronické transakce, ve znění</w:t>
      </w:r>
      <w:r w:rsidR="00DC0AE1">
        <w:rPr>
          <w:rFonts w:ascii="Arial" w:hAnsi="Arial" w:cs="Arial"/>
          <w:sz w:val="22"/>
          <w:szCs w:val="22"/>
        </w:rPr>
        <w:t xml:space="preserve"> </w:t>
      </w:r>
      <w:r w:rsidRPr="00DC0AE1">
        <w:rPr>
          <w:rFonts w:ascii="Arial" w:hAnsi="Arial" w:cs="Arial"/>
          <w:sz w:val="22"/>
          <w:szCs w:val="22"/>
        </w:rPr>
        <w:t>pozdějších předpisů.</w:t>
      </w:r>
    </w:p>
    <w:p w:rsidR="00B24AAC" w:rsidRDefault="00A66307" w:rsidP="00DC0AE1">
      <w:pPr>
        <w:numPr>
          <w:ilvl w:val="1"/>
          <w:numId w:val="13"/>
        </w:numPr>
        <w:spacing w:before="120" w:line="276" w:lineRule="auto"/>
        <w:ind w:left="284" w:hanging="5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938A6">
        <w:rPr>
          <w:rFonts w:ascii="Arial" w:hAnsi="Arial" w:cs="Arial"/>
          <w:sz w:val="22"/>
          <w:szCs w:val="22"/>
        </w:rPr>
        <w:t xml:space="preserve">Účastníci </w:t>
      </w:r>
      <w:r w:rsidRPr="00C60C16">
        <w:rPr>
          <w:rFonts w:ascii="Arial" w:hAnsi="Arial" w:cs="Arial"/>
          <w:sz w:val="22"/>
          <w:szCs w:val="22"/>
        </w:rPr>
        <w:t xml:space="preserve">dohody tímto prohlašují, že tuto dohodu uzavřeli svobodně a vážně, nikoliv </w:t>
      </w:r>
      <w:r w:rsidR="00DC0AE1">
        <w:rPr>
          <w:rFonts w:ascii="Arial" w:hAnsi="Arial" w:cs="Arial"/>
          <w:sz w:val="22"/>
          <w:szCs w:val="22"/>
        </w:rPr>
        <w:t xml:space="preserve">  </w:t>
      </w:r>
      <w:r w:rsidRPr="00C60C16">
        <w:rPr>
          <w:rFonts w:ascii="Arial" w:hAnsi="Arial" w:cs="Arial"/>
          <w:sz w:val="22"/>
          <w:szCs w:val="22"/>
        </w:rPr>
        <w:t>z přinucení či omylu. Na důkaz toho připojují své podpisy.</w:t>
      </w:r>
    </w:p>
    <w:p w:rsidR="00C27D82" w:rsidRPr="00C60C16" w:rsidRDefault="00C27D82" w:rsidP="00C27D82">
      <w:pPr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C27D82" w:rsidRDefault="00C27D82" w:rsidP="00B24AAC">
      <w:pPr>
        <w:pStyle w:val="Default"/>
        <w:spacing w:before="120" w:line="276" w:lineRule="auto"/>
        <w:ind w:hanging="142"/>
        <w:jc w:val="both"/>
        <w:rPr>
          <w:bCs/>
          <w:color w:val="auto"/>
          <w:sz w:val="22"/>
          <w:szCs w:val="22"/>
        </w:rPr>
      </w:pPr>
    </w:p>
    <w:p w:rsidR="00B24AAC" w:rsidRDefault="00A66307" w:rsidP="00B24AAC">
      <w:pPr>
        <w:pStyle w:val="Default"/>
        <w:spacing w:before="120" w:line="276" w:lineRule="auto"/>
        <w:ind w:hanging="142"/>
        <w:jc w:val="both"/>
        <w:rPr>
          <w:bCs/>
          <w:color w:val="auto"/>
          <w:sz w:val="22"/>
          <w:szCs w:val="22"/>
        </w:rPr>
      </w:pPr>
      <w:r w:rsidRPr="000938A6">
        <w:rPr>
          <w:bCs/>
          <w:color w:val="auto"/>
          <w:sz w:val="22"/>
          <w:szCs w:val="22"/>
        </w:rPr>
        <w:t>Za zadavatele:</w:t>
      </w:r>
      <w:r w:rsidRPr="000938A6">
        <w:rPr>
          <w:bCs/>
          <w:color w:val="auto"/>
          <w:sz w:val="22"/>
          <w:szCs w:val="22"/>
        </w:rPr>
        <w:tab/>
      </w:r>
      <w:r w:rsidRPr="000938A6">
        <w:rPr>
          <w:bCs/>
          <w:color w:val="auto"/>
          <w:sz w:val="22"/>
          <w:szCs w:val="22"/>
        </w:rPr>
        <w:tab/>
      </w:r>
      <w:r w:rsidRPr="000938A6">
        <w:rPr>
          <w:bCs/>
          <w:color w:val="auto"/>
          <w:sz w:val="22"/>
          <w:szCs w:val="22"/>
        </w:rPr>
        <w:tab/>
      </w:r>
      <w:r w:rsidRPr="000938A6">
        <w:rPr>
          <w:bCs/>
          <w:color w:val="auto"/>
          <w:sz w:val="22"/>
          <w:szCs w:val="22"/>
        </w:rPr>
        <w:tab/>
      </w:r>
      <w:r w:rsidRPr="000938A6">
        <w:rPr>
          <w:bCs/>
          <w:color w:val="auto"/>
          <w:sz w:val="22"/>
          <w:szCs w:val="22"/>
        </w:rPr>
        <w:tab/>
      </w:r>
      <w:r w:rsidRPr="000938A6">
        <w:rPr>
          <w:bCs/>
          <w:color w:val="auto"/>
          <w:sz w:val="22"/>
          <w:szCs w:val="22"/>
        </w:rPr>
        <w:tab/>
        <w:t>Za dodavatele:</w:t>
      </w:r>
    </w:p>
    <w:p w:rsidR="00B24AAC" w:rsidRDefault="00B24AAC" w:rsidP="00B24AAC">
      <w:pPr>
        <w:pStyle w:val="Default"/>
        <w:spacing w:before="120" w:line="276" w:lineRule="auto"/>
        <w:ind w:hanging="142"/>
        <w:jc w:val="both"/>
        <w:rPr>
          <w:bCs/>
          <w:color w:val="auto"/>
          <w:sz w:val="22"/>
          <w:szCs w:val="22"/>
        </w:rPr>
      </w:pPr>
    </w:p>
    <w:p w:rsidR="00B24AAC" w:rsidRPr="00996365" w:rsidRDefault="00A66307" w:rsidP="00B24AAC">
      <w:pPr>
        <w:pStyle w:val="Default"/>
        <w:ind w:hanging="142"/>
        <w:jc w:val="both"/>
        <w:rPr>
          <w:b/>
          <w:bCs/>
          <w:color w:val="auto"/>
          <w:sz w:val="22"/>
          <w:szCs w:val="22"/>
        </w:rPr>
      </w:pPr>
      <w:r w:rsidRPr="00996365">
        <w:rPr>
          <w:b/>
          <w:bCs/>
          <w:color w:val="auto"/>
          <w:sz w:val="22"/>
          <w:szCs w:val="22"/>
        </w:rPr>
        <w:t>Česká republika – Úřad pro zastupování</w:t>
      </w:r>
      <w:r w:rsidR="00760461">
        <w:rPr>
          <w:b/>
          <w:bCs/>
          <w:color w:val="auto"/>
          <w:sz w:val="22"/>
          <w:szCs w:val="22"/>
        </w:rPr>
        <w:t xml:space="preserve">               Enttiva s.r.o.,</w:t>
      </w:r>
    </w:p>
    <w:p w:rsidR="00B24AAC" w:rsidRPr="00996365" w:rsidRDefault="00A66307" w:rsidP="00B24AAC">
      <w:pPr>
        <w:pStyle w:val="Default"/>
        <w:ind w:hanging="142"/>
        <w:jc w:val="both"/>
        <w:rPr>
          <w:b/>
          <w:bCs/>
          <w:color w:val="auto"/>
          <w:sz w:val="22"/>
          <w:szCs w:val="22"/>
        </w:rPr>
      </w:pPr>
      <w:r w:rsidRPr="00996365">
        <w:rPr>
          <w:b/>
          <w:bCs/>
          <w:color w:val="auto"/>
          <w:sz w:val="22"/>
          <w:szCs w:val="22"/>
        </w:rPr>
        <w:t>státu ve věcech majetkových</w:t>
      </w:r>
      <w:r w:rsidR="00760461">
        <w:rPr>
          <w:b/>
          <w:bCs/>
          <w:color w:val="auto"/>
          <w:sz w:val="22"/>
          <w:szCs w:val="22"/>
        </w:rPr>
        <w:t xml:space="preserve">                                  </w:t>
      </w:r>
    </w:p>
    <w:p w:rsidR="00B24AAC" w:rsidRPr="000938A6" w:rsidRDefault="00B24AAC" w:rsidP="00B24AAC">
      <w:pPr>
        <w:pStyle w:val="Default"/>
        <w:spacing w:before="120" w:line="276" w:lineRule="auto"/>
        <w:ind w:hanging="142"/>
        <w:jc w:val="both"/>
        <w:rPr>
          <w:bCs/>
          <w:color w:val="auto"/>
          <w:sz w:val="22"/>
          <w:szCs w:val="22"/>
        </w:rPr>
      </w:pPr>
    </w:p>
    <w:p w:rsidR="00B24AAC" w:rsidRPr="000938A6" w:rsidRDefault="00B24AAC" w:rsidP="00B24AA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24AAC" w:rsidRPr="000938A6" w:rsidRDefault="00A66307" w:rsidP="00B24AAC">
      <w:pPr>
        <w:pStyle w:val="Default"/>
        <w:spacing w:before="120" w:line="276" w:lineRule="auto"/>
        <w:ind w:hanging="142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V</w:t>
      </w:r>
      <w:r w:rsidR="00760461">
        <w:rPr>
          <w:color w:val="auto"/>
          <w:sz w:val="22"/>
          <w:szCs w:val="22"/>
        </w:rPr>
        <w:t> </w:t>
      </w:r>
      <w:r w:rsidRPr="000938A6">
        <w:rPr>
          <w:color w:val="auto"/>
          <w:sz w:val="22"/>
          <w:szCs w:val="22"/>
        </w:rPr>
        <w:t>Plzni</w:t>
      </w:r>
      <w:r w:rsidR="00760461">
        <w:rPr>
          <w:color w:val="auto"/>
          <w:sz w:val="22"/>
          <w:szCs w:val="22"/>
        </w:rPr>
        <w:t>: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760461">
        <w:rPr>
          <w:color w:val="auto"/>
          <w:sz w:val="22"/>
          <w:szCs w:val="22"/>
        </w:rPr>
        <w:t xml:space="preserve">                                                          </w:t>
      </w:r>
      <w:r w:rsidRPr="000938A6">
        <w:rPr>
          <w:color w:val="auto"/>
          <w:sz w:val="22"/>
          <w:szCs w:val="22"/>
        </w:rPr>
        <w:t xml:space="preserve">V </w:t>
      </w:r>
      <w:r w:rsidR="00760461">
        <w:rPr>
          <w:color w:val="auto"/>
          <w:sz w:val="22"/>
          <w:szCs w:val="22"/>
        </w:rPr>
        <w:t>Praze</w:t>
      </w:r>
      <w:r w:rsidRPr="000938A6">
        <w:rPr>
          <w:color w:val="auto"/>
          <w:sz w:val="22"/>
          <w:szCs w:val="22"/>
        </w:rPr>
        <w:t xml:space="preserve"> dne </w:t>
      </w:r>
      <w:r w:rsidR="00760461">
        <w:rPr>
          <w:color w:val="auto"/>
          <w:sz w:val="22"/>
          <w:szCs w:val="22"/>
        </w:rPr>
        <w:t>:</w:t>
      </w:r>
      <w:r w:rsidRPr="000938A6">
        <w:rPr>
          <w:color w:val="auto"/>
          <w:sz w:val="22"/>
          <w:szCs w:val="22"/>
        </w:rPr>
        <w:t xml:space="preserve"> </w:t>
      </w:r>
    </w:p>
    <w:p w:rsidR="00B24AAC" w:rsidRPr="000938A6" w:rsidRDefault="00A66307" w:rsidP="00B24AAC">
      <w:pPr>
        <w:pStyle w:val="Default"/>
        <w:spacing w:before="120" w:line="276" w:lineRule="auto"/>
        <w:ind w:hanging="142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…………………………………………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  <w:t>…………………………………………</w:t>
      </w:r>
      <w:r w:rsidRPr="000938A6">
        <w:rPr>
          <w:color w:val="auto"/>
          <w:sz w:val="22"/>
          <w:szCs w:val="22"/>
        </w:rPr>
        <w:tab/>
        <w:t>…</w:t>
      </w:r>
    </w:p>
    <w:p w:rsidR="00B24AAC" w:rsidRPr="000938A6" w:rsidRDefault="00A66307" w:rsidP="00B24AAC">
      <w:pPr>
        <w:pStyle w:val="Default"/>
        <w:spacing w:before="120" w:line="276" w:lineRule="auto"/>
        <w:ind w:hanging="142"/>
        <w:jc w:val="both"/>
        <w:rPr>
          <w:color w:val="auto"/>
          <w:sz w:val="22"/>
          <w:szCs w:val="22"/>
        </w:rPr>
      </w:pPr>
      <w:r w:rsidRPr="000938A6">
        <w:rPr>
          <w:color w:val="auto"/>
          <w:sz w:val="22"/>
          <w:szCs w:val="22"/>
        </w:rPr>
        <w:t>Mgr. Ing. Ladislav Nový</w:t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Pr="000938A6">
        <w:rPr>
          <w:color w:val="auto"/>
          <w:sz w:val="22"/>
          <w:szCs w:val="22"/>
        </w:rPr>
        <w:tab/>
      </w:r>
      <w:r w:rsidR="00760461">
        <w:rPr>
          <w:color w:val="auto"/>
          <w:sz w:val="22"/>
          <w:szCs w:val="22"/>
        </w:rPr>
        <w:t>Dana Zachová - jednatelka</w:t>
      </w:r>
    </w:p>
    <w:p w:rsidR="00B24AAC" w:rsidRPr="00760461" w:rsidRDefault="00A66307" w:rsidP="00B24AAC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0938A6">
        <w:rPr>
          <w:rFonts w:ascii="Arial" w:hAnsi="Arial" w:cs="Arial"/>
          <w:sz w:val="22"/>
          <w:szCs w:val="22"/>
        </w:rPr>
        <w:t>ředitel Územního pracoviště Plzeň</w:t>
      </w:r>
      <w:r w:rsidRPr="000938A6">
        <w:rPr>
          <w:rFonts w:ascii="Arial" w:hAnsi="Arial" w:cs="Arial"/>
          <w:i/>
          <w:sz w:val="22"/>
          <w:szCs w:val="22"/>
        </w:rPr>
        <w:tab/>
      </w:r>
      <w:r w:rsidRPr="000938A6">
        <w:rPr>
          <w:rFonts w:ascii="Arial" w:hAnsi="Arial" w:cs="Arial"/>
          <w:i/>
          <w:sz w:val="22"/>
          <w:szCs w:val="22"/>
        </w:rPr>
        <w:tab/>
      </w:r>
      <w:r w:rsidRPr="000938A6">
        <w:rPr>
          <w:rFonts w:ascii="Arial" w:hAnsi="Arial" w:cs="Arial"/>
          <w:i/>
          <w:sz w:val="22"/>
          <w:szCs w:val="22"/>
        </w:rPr>
        <w:tab/>
      </w:r>
      <w:r w:rsidR="00760461" w:rsidRPr="00760461">
        <w:rPr>
          <w:rFonts w:ascii="Arial" w:hAnsi="Arial" w:cs="Arial"/>
          <w:sz w:val="22"/>
          <w:szCs w:val="22"/>
        </w:rPr>
        <w:t>Lukáš Zach - jednatel</w:t>
      </w:r>
    </w:p>
    <w:p w:rsidR="00E07B64" w:rsidRPr="00760461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760461" w:rsidSect="00345881">
      <w:footerReference w:type="default" r:id="rId11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312" w:rsidRDefault="00081312">
      <w:r>
        <w:separator/>
      </w:r>
    </w:p>
  </w:endnote>
  <w:endnote w:type="continuationSeparator" w:id="0">
    <w:p w:rsidR="00081312" w:rsidRDefault="0008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368283"/>
      <w:docPartObj>
        <w:docPartGallery w:val="Page Numbers (Bottom of Page)"/>
        <w:docPartUnique/>
      </w:docPartObj>
    </w:sdtPr>
    <w:sdtEndPr/>
    <w:sdtContent>
      <w:p w:rsidR="00C27D82" w:rsidRDefault="00A663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C27D82" w:rsidRDefault="00C27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312" w:rsidRDefault="00081312">
      <w:r>
        <w:separator/>
      </w:r>
    </w:p>
  </w:footnote>
  <w:footnote w:type="continuationSeparator" w:id="0">
    <w:p w:rsidR="00081312" w:rsidRDefault="0008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0A5"/>
    <w:multiLevelType w:val="multilevel"/>
    <w:tmpl w:val="6A0478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8" w:hanging="360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294" w:hanging="720"/>
      </w:pPr>
    </w:lvl>
    <w:lvl w:ilvl="4">
      <w:start w:val="1"/>
      <w:numFmt w:val="decimal"/>
      <w:lvlText w:val="%1.%2.%3.%4.%5"/>
      <w:lvlJc w:val="left"/>
      <w:pPr>
        <w:ind w:left="512" w:hanging="1080"/>
      </w:pPr>
    </w:lvl>
    <w:lvl w:ilvl="5">
      <w:start w:val="1"/>
      <w:numFmt w:val="decimal"/>
      <w:lvlText w:val="%1.%2.%3.%4.%5.%6"/>
      <w:lvlJc w:val="left"/>
      <w:pPr>
        <w:ind w:left="370" w:hanging="1080"/>
      </w:pPr>
    </w:lvl>
    <w:lvl w:ilvl="6">
      <w:start w:val="1"/>
      <w:numFmt w:val="decimal"/>
      <w:lvlText w:val="%1.%2.%3.%4.%5.%6.%7"/>
      <w:lvlJc w:val="left"/>
      <w:pPr>
        <w:ind w:left="588" w:hanging="1440"/>
      </w:pPr>
    </w:lvl>
    <w:lvl w:ilvl="7">
      <w:start w:val="1"/>
      <w:numFmt w:val="decimal"/>
      <w:lvlText w:val="%1.%2.%3.%4.%5.%6.%7.%8"/>
      <w:lvlJc w:val="left"/>
      <w:pPr>
        <w:ind w:left="446" w:hanging="1440"/>
      </w:pPr>
    </w:lvl>
    <w:lvl w:ilvl="8">
      <w:start w:val="1"/>
      <w:numFmt w:val="decimal"/>
      <w:lvlText w:val="%1.%2.%3.%4.%5.%6.%7.%8.%9"/>
      <w:lvlJc w:val="left"/>
      <w:pPr>
        <w:ind w:left="664" w:hanging="1800"/>
      </w:pPr>
    </w:lvl>
  </w:abstractNum>
  <w:abstractNum w:abstractNumId="1" w15:restartNumberingAfterBreak="0">
    <w:nsid w:val="0F4E58DA"/>
    <w:multiLevelType w:val="multilevel"/>
    <w:tmpl w:val="6486C2F8"/>
    <w:lvl w:ilvl="0">
      <w:start w:val="10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ascii="Arial" w:eastAsia="Calibri" w:hAnsi="Arial" w:cs="Arial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1E2E09CB"/>
    <w:multiLevelType w:val="multilevel"/>
    <w:tmpl w:val="DD56C8F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F1E6C5B"/>
    <w:multiLevelType w:val="multilevel"/>
    <w:tmpl w:val="88602FE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FA5470A"/>
    <w:multiLevelType w:val="multilevel"/>
    <w:tmpl w:val="0CC8BAF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7B92E29"/>
    <w:multiLevelType w:val="multilevel"/>
    <w:tmpl w:val="0CD6DB2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6E2342F"/>
    <w:multiLevelType w:val="multilevel"/>
    <w:tmpl w:val="55401258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3C1E198D"/>
    <w:multiLevelType w:val="multilevel"/>
    <w:tmpl w:val="6486C2F8"/>
    <w:lvl w:ilvl="0">
      <w:start w:val="10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11.%2"/>
      <w:lvlJc w:val="left"/>
      <w:pPr>
        <w:ind w:left="420" w:hanging="420"/>
      </w:pPr>
      <w:rPr>
        <w:rFonts w:ascii="Arial" w:eastAsia="Calibri" w:hAnsi="Arial" w:cs="Arial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8" w15:restartNumberingAfterBreak="0">
    <w:nsid w:val="3E713EA6"/>
    <w:multiLevelType w:val="hybridMultilevel"/>
    <w:tmpl w:val="703ACC06"/>
    <w:lvl w:ilvl="0" w:tplc="372E5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7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28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E0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08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A9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8F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0D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26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228F6"/>
    <w:multiLevelType w:val="multilevel"/>
    <w:tmpl w:val="40709A0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65CD3C25"/>
    <w:multiLevelType w:val="hybridMultilevel"/>
    <w:tmpl w:val="BEE87374"/>
    <w:lvl w:ilvl="0" w:tplc="7158A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734C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0A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A1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08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6F8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86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02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AF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11929"/>
    <w:multiLevelType w:val="multilevel"/>
    <w:tmpl w:val="0574943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6B0B4604"/>
    <w:multiLevelType w:val="multilevel"/>
    <w:tmpl w:val="B3A68C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E782E08"/>
    <w:multiLevelType w:val="multilevel"/>
    <w:tmpl w:val="47B8D4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04D0DAE"/>
    <w:multiLevelType w:val="multilevel"/>
    <w:tmpl w:val="20E6649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C0B0FE1"/>
    <w:multiLevelType w:val="multilevel"/>
    <w:tmpl w:val="A922F55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224A"/>
    <w:rsid w:val="00006124"/>
    <w:rsid w:val="00024E9F"/>
    <w:rsid w:val="00055F55"/>
    <w:rsid w:val="00074C6C"/>
    <w:rsid w:val="000756E8"/>
    <w:rsid w:val="00081312"/>
    <w:rsid w:val="0008691A"/>
    <w:rsid w:val="000938A6"/>
    <w:rsid w:val="000A1C44"/>
    <w:rsid w:val="000B60E1"/>
    <w:rsid w:val="0011356D"/>
    <w:rsid w:val="001440AB"/>
    <w:rsid w:val="00150919"/>
    <w:rsid w:val="00181D76"/>
    <w:rsid w:val="001917D1"/>
    <w:rsid w:val="001A0B65"/>
    <w:rsid w:val="001B20B1"/>
    <w:rsid w:val="001E5FA4"/>
    <w:rsid w:val="001F7A01"/>
    <w:rsid w:val="00201A27"/>
    <w:rsid w:val="00245AA4"/>
    <w:rsid w:val="00340C2E"/>
    <w:rsid w:val="00344C77"/>
    <w:rsid w:val="00345881"/>
    <w:rsid w:val="003810A5"/>
    <w:rsid w:val="003865F8"/>
    <w:rsid w:val="00397BA0"/>
    <w:rsid w:val="003A32E9"/>
    <w:rsid w:val="003A697C"/>
    <w:rsid w:val="003C27D2"/>
    <w:rsid w:val="003E45C2"/>
    <w:rsid w:val="00423D91"/>
    <w:rsid w:val="0043735F"/>
    <w:rsid w:val="004402D3"/>
    <w:rsid w:val="00442699"/>
    <w:rsid w:val="00442F87"/>
    <w:rsid w:val="00461041"/>
    <w:rsid w:val="00465355"/>
    <w:rsid w:val="00470BDF"/>
    <w:rsid w:val="00486F1B"/>
    <w:rsid w:val="004C4F20"/>
    <w:rsid w:val="004D1DC1"/>
    <w:rsid w:val="004E3209"/>
    <w:rsid w:val="004F0D3F"/>
    <w:rsid w:val="00514E1D"/>
    <w:rsid w:val="00555134"/>
    <w:rsid w:val="00572A14"/>
    <w:rsid w:val="005B3329"/>
    <w:rsid w:val="005E2087"/>
    <w:rsid w:val="005E7EA1"/>
    <w:rsid w:val="006119F4"/>
    <w:rsid w:val="00630907"/>
    <w:rsid w:val="00652748"/>
    <w:rsid w:val="00654F14"/>
    <w:rsid w:val="00655ED1"/>
    <w:rsid w:val="006B5A0C"/>
    <w:rsid w:val="00710088"/>
    <w:rsid w:val="0071682A"/>
    <w:rsid w:val="007219D4"/>
    <w:rsid w:val="0072538A"/>
    <w:rsid w:val="00742876"/>
    <w:rsid w:val="00742A88"/>
    <w:rsid w:val="00760461"/>
    <w:rsid w:val="007A662F"/>
    <w:rsid w:val="007B5E91"/>
    <w:rsid w:val="007F6333"/>
    <w:rsid w:val="00805892"/>
    <w:rsid w:val="008214AA"/>
    <w:rsid w:val="0085766B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8E7045"/>
    <w:rsid w:val="00935FFB"/>
    <w:rsid w:val="009417DF"/>
    <w:rsid w:val="00960620"/>
    <w:rsid w:val="00975498"/>
    <w:rsid w:val="0098294A"/>
    <w:rsid w:val="00993874"/>
    <w:rsid w:val="00996365"/>
    <w:rsid w:val="009C0B16"/>
    <w:rsid w:val="00A34317"/>
    <w:rsid w:val="00A43C1C"/>
    <w:rsid w:val="00A464E3"/>
    <w:rsid w:val="00A57848"/>
    <w:rsid w:val="00A66307"/>
    <w:rsid w:val="00A6667F"/>
    <w:rsid w:val="00B12B3B"/>
    <w:rsid w:val="00B15FE9"/>
    <w:rsid w:val="00B24AAC"/>
    <w:rsid w:val="00B3019C"/>
    <w:rsid w:val="00B31EA2"/>
    <w:rsid w:val="00B46735"/>
    <w:rsid w:val="00B63C26"/>
    <w:rsid w:val="00B938D5"/>
    <w:rsid w:val="00BC2E73"/>
    <w:rsid w:val="00BD13C5"/>
    <w:rsid w:val="00BD7B45"/>
    <w:rsid w:val="00BE39EC"/>
    <w:rsid w:val="00BF6E12"/>
    <w:rsid w:val="00C10781"/>
    <w:rsid w:val="00C11CA4"/>
    <w:rsid w:val="00C27D82"/>
    <w:rsid w:val="00C41738"/>
    <w:rsid w:val="00C60C16"/>
    <w:rsid w:val="00C93AF6"/>
    <w:rsid w:val="00CA3E79"/>
    <w:rsid w:val="00CA54D8"/>
    <w:rsid w:val="00CD68F1"/>
    <w:rsid w:val="00CE765E"/>
    <w:rsid w:val="00D066F0"/>
    <w:rsid w:val="00D1179D"/>
    <w:rsid w:val="00D45009"/>
    <w:rsid w:val="00D45E56"/>
    <w:rsid w:val="00D71111"/>
    <w:rsid w:val="00D85CFD"/>
    <w:rsid w:val="00DC0AE1"/>
    <w:rsid w:val="00DD17A3"/>
    <w:rsid w:val="00DF12DF"/>
    <w:rsid w:val="00E01A39"/>
    <w:rsid w:val="00E07B64"/>
    <w:rsid w:val="00E1670F"/>
    <w:rsid w:val="00E22C86"/>
    <w:rsid w:val="00E23836"/>
    <w:rsid w:val="00E42E14"/>
    <w:rsid w:val="00E57DD7"/>
    <w:rsid w:val="00E834F4"/>
    <w:rsid w:val="00EE65A4"/>
    <w:rsid w:val="00F04730"/>
    <w:rsid w:val="00F179C9"/>
    <w:rsid w:val="00F445EC"/>
    <w:rsid w:val="00F47D84"/>
    <w:rsid w:val="00F50311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842E"/>
  <w15:docId w15:val="{FFC26D84-D8D0-4DD5-A895-40095F7A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A662F"/>
    <w:pPr>
      <w:spacing w:after="0" w:line="240" w:lineRule="auto"/>
    </w:pPr>
  </w:style>
  <w:style w:type="paragraph" w:customStyle="1" w:styleId="Default">
    <w:name w:val="Default"/>
    <w:rsid w:val="00B24A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B24AAC"/>
  </w:style>
  <w:style w:type="paragraph" w:styleId="Odstavecseseznamem">
    <w:name w:val="List Paragraph"/>
    <w:basedOn w:val="Normln"/>
    <w:uiPriority w:val="34"/>
    <w:qFormat/>
    <w:rsid w:val="00B24AAC"/>
    <w:pPr>
      <w:ind w:left="720"/>
      <w:contextualSpacing/>
    </w:pPr>
  </w:style>
  <w:style w:type="character" w:customStyle="1" w:styleId="FSCNormalChar">
    <w:name w:val="FSCNormal Char"/>
    <w:link w:val="FSCNormal"/>
    <w:locked/>
    <w:rsid w:val="00B24AAC"/>
    <w:rPr>
      <w:rFonts w:ascii="Arial" w:hAnsi="Arial" w:cs="Arial"/>
    </w:rPr>
  </w:style>
  <w:style w:type="paragraph" w:customStyle="1" w:styleId="FSCNormal">
    <w:name w:val="FSCNormal"/>
    <w:link w:val="FSCNormalChar"/>
    <w:rsid w:val="00B24AAC"/>
    <w:pPr>
      <w:spacing w:after="60" w:line="240" w:lineRule="auto"/>
      <w:jc w:val="both"/>
    </w:pPr>
    <w:rPr>
      <w:rFonts w:ascii="Arial" w:hAnsi="Arial" w:cs="Arial"/>
    </w:rPr>
  </w:style>
  <w:style w:type="character" w:customStyle="1" w:styleId="FontStyle16">
    <w:name w:val="Font Style16"/>
    <w:uiPriority w:val="99"/>
    <w:rsid w:val="00B24AAC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39"/>
    <w:rsid w:val="00B2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4A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27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7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7D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D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9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9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hradni.plneni@uzsv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.plzen@uzsv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29E6-AD3F-407E-BE51-B2D58369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3054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cp:lastPrinted>2023-07-27T12:28:00Z</cp:lastPrinted>
  <dcterms:created xsi:type="dcterms:W3CDTF">2023-08-04T08:37:00Z</dcterms:created>
  <dcterms:modified xsi:type="dcterms:W3CDTF">2023-08-04T08:37:00Z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*Předaudit - návrh Rámcové dohody o dodávce hygienických potřeb ÚZSVM ÚP Plzeň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Altmannová Petra,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Petra.Altmannova@uzsvm.cz</vt:lpwstr>
  </property>
  <property fmtid="{D5CDD505-2E9C-101B-9397-08002B2CF9AE}" pid="43" name="CUSTOM.VLASTNIK_TELEFON">
    <vt:lpwstr>377 169 412</vt:lpwstr>
  </property>
  <property fmtid="{D5CDD505-2E9C-101B-9397-08002B2CF9AE}" pid="44" name="CUSTOM.VYTVOREN_DNE">
    <vt:lpwstr>16.06.2023</vt:lpwstr>
  </property>
  <property fmtid="{D5CDD505-2E9C-101B-9397-08002B2CF9AE}" pid="45" name="KOD.KOD_CJ">
    <vt:lpwstr>UZSVM/P/18834/2023-HSPH</vt:lpwstr>
  </property>
  <property fmtid="{D5CDD505-2E9C-101B-9397-08002B2CF9AE}" pid="46" name="KOD.KOD_EVC">
    <vt:lpwstr>26064/P/2023-HSPH</vt:lpwstr>
  </property>
  <property fmtid="{D5CDD505-2E9C-101B-9397-08002B2CF9AE}" pid="47" name="KOD.KOD_EVC_BARCODE">
    <vt:lpwstr>µ#26064/P/2023-HSPH@7¸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3dedffa3-ce03-46d6-86ab-e59f1664055b</vt:lpwstr>
  </property>
  <property fmtid="{D5CDD505-2E9C-101B-9397-08002B2CF9AE}" pid="52" name="KrbDmsIdForm">
    <vt:lpwstr>3dedffa3-ce03-46d6-86ab-e59f1664055b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