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99" w:rsidRDefault="004B5E98">
      <w:pPr>
        <w:pStyle w:val="Zkladntext1"/>
        <w:spacing w:after="240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  <w:u w:val="single"/>
        </w:rPr>
        <w:t>Dodatek č. 4</w:t>
      </w:r>
    </w:p>
    <w:p w:rsidR="00D30E99" w:rsidRDefault="004B5E98">
      <w:pPr>
        <w:pStyle w:val="Zkladntext1"/>
        <w:spacing w:after="240"/>
        <w:jc w:val="both"/>
      </w:pPr>
      <w:r>
        <w:rPr>
          <w:rStyle w:val="Zkladntext"/>
        </w:rPr>
        <w:t>ke smlouvě o nájmu nebytových prostor ze dne 14. 11. 2011 (dále jen „smlouva“), uzavřené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5434"/>
      </w:tblGrid>
      <w:tr w:rsidR="00D30E9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30" w:type="dxa"/>
            <w:shd w:val="clear" w:color="auto" w:fill="auto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5434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left="32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D30E9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434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>Kamenice 798/1d, 625 00 Brno</w:t>
            </w:r>
          </w:p>
        </w:tc>
      </w:tr>
      <w:tr w:rsidR="00D30E9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</w:tc>
        <w:tc>
          <w:tcPr>
            <w:tcW w:w="5434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 xml:space="preserve">MUDr. Hana </w:t>
            </w:r>
            <w:r>
              <w:rPr>
                <w:rStyle w:val="Jin"/>
              </w:rPr>
              <w:t>Albrechtová, ředitelka</w:t>
            </w:r>
          </w:p>
        </w:tc>
      </w:tr>
      <w:tr w:rsidR="00D30E9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5434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>00346292</w:t>
            </w:r>
          </w:p>
        </w:tc>
      </w:tr>
      <w:tr w:rsidR="00D30E9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434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>CZ00346292</w:t>
            </w:r>
          </w:p>
        </w:tc>
      </w:tr>
      <w:tr w:rsidR="00D30E9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Zápis v OR:</w:t>
            </w:r>
          </w:p>
        </w:tc>
        <w:tc>
          <w:tcPr>
            <w:tcW w:w="5434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>Krajský soud v Brně sp. zn. Pr 1245</w:t>
            </w:r>
          </w:p>
        </w:tc>
      </w:tr>
      <w:tr w:rsidR="00D30E9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30" w:type="dxa"/>
            <w:shd w:val="clear" w:color="auto" w:fill="auto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434" w:type="dxa"/>
            <w:shd w:val="clear" w:color="auto" w:fill="auto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>GE Money Bank, a.s., č. ú. 117203514/0600</w:t>
            </w:r>
          </w:p>
        </w:tc>
      </w:tr>
    </w:tbl>
    <w:p w:rsidR="00D30E99" w:rsidRDefault="004B5E98">
      <w:pPr>
        <w:pStyle w:val="Titulektabulky0"/>
        <w:ind w:left="10"/>
      </w:pPr>
      <w:r>
        <w:rPr>
          <w:rStyle w:val="Titulektabulky"/>
        </w:rPr>
        <w:t>(dále jen „pronajímatel“)</w:t>
      </w:r>
    </w:p>
    <w:p w:rsidR="00D30E99" w:rsidRDefault="00D30E99">
      <w:pPr>
        <w:spacing w:after="3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5429"/>
      </w:tblGrid>
      <w:tr w:rsidR="00D30E99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230" w:type="dxa"/>
            <w:shd w:val="clear" w:color="auto" w:fill="auto"/>
          </w:tcPr>
          <w:p w:rsidR="00D30E99" w:rsidRDefault="004B5E98">
            <w:pPr>
              <w:pStyle w:val="Jin0"/>
              <w:spacing w:after="280"/>
            </w:pPr>
            <w:r>
              <w:rPr>
                <w:rStyle w:val="Jin"/>
              </w:rPr>
              <w:t>a</w:t>
            </w:r>
          </w:p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  <w:b/>
                <w:bCs/>
              </w:rPr>
              <w:t>Nemocnice Blansko</w:t>
            </w:r>
          </w:p>
        </w:tc>
      </w:tr>
      <w:tr w:rsidR="00D30E9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 xml:space="preserve">Sadová 33, 678 </w:t>
            </w:r>
            <w:r>
              <w:rPr>
                <w:rStyle w:val="Jin"/>
              </w:rPr>
              <w:t>01 Blansko</w:t>
            </w:r>
          </w:p>
        </w:tc>
      </w:tr>
      <w:tr w:rsidR="00D30E9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>00386634</w:t>
            </w:r>
          </w:p>
        </w:tc>
      </w:tr>
      <w:tr w:rsidR="00D30E9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</w:tc>
        <w:tc>
          <w:tcPr>
            <w:tcW w:w="5429" w:type="dxa"/>
            <w:shd w:val="clear" w:color="auto" w:fill="auto"/>
            <w:vAlign w:val="bottom"/>
          </w:tcPr>
          <w:p w:rsidR="00D30E99" w:rsidRDefault="004B5E98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>MUDr. Vladimíra Danihelková, MBA, ředitelka</w:t>
            </w:r>
          </w:p>
        </w:tc>
      </w:tr>
    </w:tbl>
    <w:p w:rsidR="00D30E99" w:rsidRDefault="004B5E98">
      <w:pPr>
        <w:pStyle w:val="Titulektabulky0"/>
        <w:ind w:left="10"/>
      </w:pPr>
      <w:r>
        <w:rPr>
          <w:rStyle w:val="Titulektabulky"/>
        </w:rPr>
        <w:t>(dále jen „nájemce“)</w:t>
      </w:r>
    </w:p>
    <w:p w:rsidR="00D30E99" w:rsidRDefault="00D30E99">
      <w:pPr>
        <w:spacing w:after="239" w:line="1" w:lineRule="exact"/>
      </w:pPr>
    </w:p>
    <w:p w:rsidR="00D30E99" w:rsidRDefault="00D30E99">
      <w:pPr>
        <w:pStyle w:val="Zkladntext1"/>
        <w:numPr>
          <w:ilvl w:val="0"/>
          <w:numId w:val="1"/>
        </w:numPr>
        <w:spacing w:after="0"/>
        <w:jc w:val="center"/>
      </w:pPr>
    </w:p>
    <w:p w:rsidR="00D30E99" w:rsidRDefault="004B5E98">
      <w:pPr>
        <w:pStyle w:val="Zkladntext1"/>
        <w:jc w:val="both"/>
      </w:pPr>
      <w:r>
        <w:rPr>
          <w:rStyle w:val="Zkladntext"/>
        </w:rPr>
        <w:t>Čl. 11 smlouvy se mění a nadále zní takto:</w:t>
      </w:r>
    </w:p>
    <w:p w:rsidR="00D30E99" w:rsidRDefault="004B5E98">
      <w:pPr>
        <w:pStyle w:val="Zkladntext1"/>
        <w:spacing w:after="340"/>
        <w:jc w:val="both"/>
      </w:pPr>
      <w:r>
        <w:rPr>
          <w:rStyle w:val="Zkladntext"/>
        </w:rPr>
        <w:t xml:space="preserve">Úhrada za služby podle čl. 8 této smlouvy je splatná na účet pronajímatele podle čl. 10 této smlouvy formou </w:t>
      </w:r>
      <w:r>
        <w:rPr>
          <w:rStyle w:val="Zkladntext"/>
        </w:rPr>
        <w:t>pravidelných měsíčních záloh ve výši 2.800,- Kč měsíčně a ve lhůtě zároveň s nájemným, a formou ročního vyúčtování po skončení příslušného kalendářního roku ve lhůtě do 10-ti dnů od předložení jeho písemného vyhotovení (faktury).</w:t>
      </w:r>
    </w:p>
    <w:p w:rsidR="00D30E99" w:rsidRDefault="00D30E99">
      <w:pPr>
        <w:pStyle w:val="Zkladntext1"/>
        <w:numPr>
          <w:ilvl w:val="0"/>
          <w:numId w:val="1"/>
        </w:numPr>
        <w:jc w:val="center"/>
      </w:pPr>
    </w:p>
    <w:p w:rsidR="00D30E99" w:rsidRDefault="004B5E98">
      <w:pPr>
        <w:pStyle w:val="Zkladntext1"/>
        <w:spacing w:after="480"/>
      </w:pPr>
      <w:r>
        <w:rPr>
          <w:rStyle w:val="Zkladntext"/>
        </w:rPr>
        <w:t xml:space="preserve">Ostatní ujednání smlouvy </w:t>
      </w:r>
      <w:r>
        <w:rPr>
          <w:rStyle w:val="Zkladntext"/>
        </w:rPr>
        <w:t>nejsou tímto dodatkem nijak dotčena.</w:t>
      </w:r>
    </w:p>
    <w:p w:rsidR="00D30E99" w:rsidRDefault="00D30E99">
      <w:pPr>
        <w:pStyle w:val="Zkladntext1"/>
        <w:numPr>
          <w:ilvl w:val="0"/>
          <w:numId w:val="1"/>
        </w:numPr>
        <w:jc w:val="center"/>
      </w:pPr>
    </w:p>
    <w:p w:rsidR="00D30E99" w:rsidRDefault="004B5E98">
      <w:pPr>
        <w:pStyle w:val="Zkladntext1"/>
        <w:spacing w:after="480"/>
        <w:jc w:val="center"/>
      </w:pPr>
      <w:r>
        <w:rPr>
          <w:rStyle w:val="Zkladntext"/>
        </w:rPr>
        <w:t>Tento dodatek lze změnit nebo zrušit pouze jinou písemnou dohodou obou smluvních stran.</w:t>
      </w:r>
    </w:p>
    <w:p w:rsidR="00D30E99" w:rsidRDefault="00D30E99">
      <w:pPr>
        <w:pStyle w:val="Zkladntext1"/>
        <w:numPr>
          <w:ilvl w:val="0"/>
          <w:numId w:val="1"/>
        </w:numPr>
        <w:jc w:val="center"/>
      </w:pPr>
    </w:p>
    <w:p w:rsidR="00D30E99" w:rsidRDefault="004B5E98">
      <w:pPr>
        <w:pStyle w:val="Zkladntext1"/>
        <w:spacing w:after="480"/>
      </w:pPr>
      <w:r>
        <w:rPr>
          <w:rStyle w:val="Zkladntext"/>
        </w:rPr>
        <w:t>Tento dodatek nabývá účinnosti dnem 1. 7. 2023.</w:t>
      </w:r>
    </w:p>
    <w:p w:rsidR="00D30E99" w:rsidRDefault="00D30E99">
      <w:pPr>
        <w:pStyle w:val="Zkladntext1"/>
        <w:numPr>
          <w:ilvl w:val="0"/>
          <w:numId w:val="1"/>
        </w:numPr>
        <w:jc w:val="center"/>
      </w:pPr>
    </w:p>
    <w:p w:rsidR="00D30E99" w:rsidRDefault="004B5E98">
      <w:pPr>
        <w:pStyle w:val="Zkladntext1"/>
        <w:tabs>
          <w:tab w:val="right" w:leader="dot" w:pos="3413"/>
          <w:tab w:val="left" w:pos="3618"/>
        </w:tabs>
        <w:spacing w:after="0"/>
        <w:sectPr w:rsidR="00D30E99">
          <w:pgSz w:w="11900" w:h="16840"/>
          <w:pgMar w:top="1129" w:right="1385" w:bottom="1126" w:left="1390" w:header="701" w:footer="698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Dáno v Brně dne</w:t>
      </w:r>
      <w:r>
        <w:rPr>
          <w:rStyle w:val="Zkladntext"/>
        </w:rPr>
        <w:tab/>
        <w:t>ve</w:t>
      </w:r>
      <w:r>
        <w:rPr>
          <w:rStyle w:val="Zkladntext"/>
        </w:rPr>
        <w:tab/>
        <w:t>dvou originálních písemných vyho</w:t>
      </w:r>
      <w:r>
        <w:rPr>
          <w:rStyle w:val="Zkladntext"/>
        </w:rPr>
        <w:t>toveních, z nichž každá ze smluvních stran obdrží po jednom.</w:t>
      </w:r>
    </w:p>
    <w:p w:rsidR="00D30E99" w:rsidRDefault="00D30E99">
      <w:pPr>
        <w:spacing w:line="211" w:lineRule="exact"/>
        <w:rPr>
          <w:sz w:val="17"/>
          <w:szCs w:val="17"/>
        </w:rPr>
      </w:pPr>
    </w:p>
    <w:p w:rsidR="00D30E99" w:rsidRDefault="00D30E99">
      <w:pPr>
        <w:spacing w:line="1" w:lineRule="exact"/>
        <w:sectPr w:rsidR="00D30E99">
          <w:type w:val="continuous"/>
          <w:pgSz w:w="11900" w:h="16840"/>
          <w:pgMar w:top="1129" w:right="0" w:bottom="1126" w:left="0" w:header="0" w:footer="3" w:gutter="0"/>
          <w:cols w:space="720"/>
          <w:noEndnote/>
          <w:docGrid w:linePitch="360"/>
        </w:sectPr>
      </w:pPr>
    </w:p>
    <w:p w:rsidR="00D30E99" w:rsidRDefault="00D30E99">
      <w:pPr>
        <w:pStyle w:val="Zkladntext20"/>
        <w:spacing w:line="233" w:lineRule="auto"/>
        <w:ind w:firstLine="0"/>
        <w:sectPr w:rsidR="00D30E99">
          <w:type w:val="continuous"/>
          <w:pgSz w:w="11900" w:h="16840"/>
          <w:pgMar w:top="1129" w:right="6914" w:bottom="1126" w:left="1524" w:header="0" w:footer="3" w:gutter="0"/>
          <w:cols w:num="2" w:space="100"/>
          <w:noEndnote/>
          <w:docGrid w:linePitch="360"/>
        </w:sectPr>
      </w:pPr>
    </w:p>
    <w:p w:rsidR="00D30E99" w:rsidRDefault="004B5E9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438785</wp:posOffset>
                </wp:positionV>
                <wp:extent cx="1576070" cy="4965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E99" w:rsidRDefault="004B5E98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MUDr. Hana Albrechtová</w:t>
                            </w:r>
                          </w:p>
                          <w:p w:rsidR="00D30E99" w:rsidRDefault="004B5E98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ředitelka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pronajímatel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25pt;margin-top:34.550000000000004pt;width:124.10000000000001pt;height:39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ředitelka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pronajímatel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30E99" w:rsidRDefault="004B5E98" w:rsidP="004B5E98">
      <w:pPr>
        <w:pStyle w:val="Zkladntext20"/>
        <w:spacing w:line="240" w:lineRule="auto"/>
        <w:ind w:hanging="2460"/>
      </w:pPr>
      <w:r>
        <w:rPr>
          <w:rStyle w:val="Zkladntext2"/>
          <w:spacing w:val="1"/>
          <w:shd w:val="clear" w:color="auto" w:fill="000000"/>
          <w:lang w:val="en-US" w:eastAsia="en-US" w:bidi="en-US"/>
        </w:rPr>
        <w:t>..</w:t>
      </w:r>
      <w:r>
        <w:rPr>
          <w:rStyle w:val="Zkladntext2"/>
          <w:spacing w:val="2"/>
          <w:shd w:val="clear" w:color="auto" w:fill="000000"/>
          <w:lang w:val="en-US" w:eastAsia="en-US" w:bidi="en-US"/>
        </w:rPr>
        <w:t>..</w:t>
      </w:r>
      <w:bookmarkStart w:id="0" w:name="_GoBack"/>
      <w:bookmarkEnd w:id="0"/>
    </w:p>
    <w:p w:rsidR="00D30E99" w:rsidRDefault="004B5E98">
      <w:pPr>
        <w:pStyle w:val="Zkladntext1"/>
        <w:spacing w:after="0"/>
        <w:ind w:left="2880"/>
      </w:pPr>
      <w:r>
        <w:rPr>
          <w:rStyle w:val="Zkladntext"/>
        </w:rPr>
        <w:t>M</w:t>
      </w:r>
      <w:r>
        <w:rPr>
          <w:rStyle w:val="Zkladntext"/>
        </w:rPr>
        <w:t>UDr. Vladimíra Danihelková, MBA ředitelka</w:t>
      </w:r>
    </w:p>
    <w:p w:rsidR="00D30E99" w:rsidRDefault="004B5E98">
      <w:pPr>
        <w:pStyle w:val="Zkladntext1"/>
        <w:spacing w:after="0"/>
        <w:ind w:left="2880"/>
      </w:pPr>
      <w:r>
        <w:rPr>
          <w:rStyle w:val="Zkladntext"/>
          <w:b/>
          <w:bCs/>
        </w:rPr>
        <w:t>nájemce</w:t>
      </w:r>
    </w:p>
    <w:sectPr w:rsidR="00D30E99">
      <w:type w:val="continuous"/>
      <w:pgSz w:w="11900" w:h="16840"/>
      <w:pgMar w:top="1129" w:right="1385" w:bottom="1126" w:left="3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5E98">
      <w:r>
        <w:separator/>
      </w:r>
    </w:p>
  </w:endnote>
  <w:endnote w:type="continuationSeparator" w:id="0">
    <w:p w:rsidR="00000000" w:rsidRDefault="004B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99" w:rsidRDefault="00D30E99"/>
  </w:footnote>
  <w:footnote w:type="continuationSeparator" w:id="0">
    <w:p w:rsidR="00D30E99" w:rsidRDefault="00D30E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1142"/>
    <w:multiLevelType w:val="multilevel"/>
    <w:tmpl w:val="6CAA3C50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99"/>
    <w:rsid w:val="004B5E98"/>
    <w:rsid w:val="00D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54073-E17D-454B-827A-88027B2C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35" w:lineRule="auto"/>
      <w:ind w:hanging="1230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1168</Characters>
  <Application>Microsoft Office Word</Application>
  <DocSecurity>0</DocSecurity>
  <Lines>9</Lines>
  <Paragraphs>2</Paragraphs>
  <ScaleCrop>false</ScaleCrop>
  <Company>HP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KROMIKO družstvo</dc:title>
  <dc:subject/>
  <dc:creator>Drahomíra Svobodová</dc:creator>
  <cp:keywords/>
  <cp:lastModifiedBy>SEDLÁČKOVÁ Radmila, DiS.</cp:lastModifiedBy>
  <cp:revision>2</cp:revision>
  <dcterms:created xsi:type="dcterms:W3CDTF">2023-08-04T08:02:00Z</dcterms:created>
  <dcterms:modified xsi:type="dcterms:W3CDTF">2023-08-04T08:02:00Z</dcterms:modified>
</cp:coreProperties>
</file>