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tblpX="634" w:tblpY="-270"/>
        <w:tblOverlap w:val="never"/>
        "
        <w:tblW w:w="722" w:type="dxa"/>
        <w:tblLook w:val="04A0" w:firstRow="1" w:lastRow="0" w:firstColumn="1" w:lastColumn="0" w:noHBand="0" w:noVBand="1"/>
      </w:tblPr>
      <w:tblGrid>
        <w:gridCol w:w="742"/>
      </w:tblGrid>
      <w:tr>
        <w:trPr>
          <w:trHeight w:hRule="exact" w:val="37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E4032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6" behindDoc="0" locked="0" layoutInCell="1" allowOverlap="1">
                  <wp:simplePos x="0" y="0"/>
                  <wp:positionH relativeFrom="page">
                    <wp:posOffset>100308</wp:posOffset>
                  </wp:positionH>
                  <wp:positionV relativeFrom="paragraph">
                    <wp:posOffset>0</wp:posOffset>
                  </wp:positionV>
                  <wp:extent cx="270822" cy="23862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0822" cy="23862"/>
                          </a:xfrm>
                          <a:custGeom>
                            <a:rect l="l" t="t" r="r" b="b"/>
                            <a:pathLst>
                              <a:path w="913753" h="79375">
                                <a:moveTo>
                                  <a:pt x="0" y="79375"/>
                                </a:moveTo>
                                <a:lnTo>
                                  <a:pt x="913753" y="79375"/>
                                </a:lnTo>
                                <a:lnTo>
                                  <a:pt x="9137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3764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85"/>
        </w:tabs>
        <w:spacing w:before="0" w:after="0" w:line="472" w:lineRule="exact"/>
        <w:ind w:left="0" w:right="0" w:firstLine="0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1355585</wp:posOffset>
            </wp:positionH>
            <wp:positionV relativeFrom="line">
              <wp:posOffset>180969</wp:posOffset>
            </wp:positionV>
            <wp:extent cx="341026" cy="238442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1026" cy="238442"/>
                    </a:xfrm>
                    <a:custGeom>
                      <a:rect l="l" t="t" r="r" b="b"/>
                      <a:pathLst>
                        <a:path w="1150620" h="793128">
                          <a:moveTo>
                            <a:pt x="304674" y="351244"/>
                          </a:moveTo>
                          <a:cubicBezTo>
                            <a:pt x="789687" y="67806"/>
                            <a:pt x="789687" y="67806"/>
                            <a:pt x="789687" y="67806"/>
                          </a:cubicBezTo>
                          <a:cubicBezTo>
                            <a:pt x="834644" y="34062"/>
                            <a:pt x="812165" y="11252"/>
                            <a:pt x="778130" y="11252"/>
                          </a:cubicBezTo>
                          <a:cubicBezTo>
                            <a:pt x="778130" y="0"/>
                            <a:pt x="778130" y="0"/>
                            <a:pt x="778130" y="0"/>
                          </a:cubicBezTo>
                          <a:cubicBezTo>
                            <a:pt x="1127760" y="0"/>
                            <a:pt x="1127760" y="0"/>
                            <a:pt x="1127760" y="0"/>
                          </a:cubicBezTo>
                          <a:cubicBezTo>
                            <a:pt x="1127760" y="11252"/>
                            <a:pt x="1127760" y="11252"/>
                            <a:pt x="1127760" y="11252"/>
                          </a:cubicBezTo>
                          <a:cubicBezTo>
                            <a:pt x="1071500" y="22492"/>
                            <a:pt x="1014984" y="45314"/>
                            <a:pt x="969900" y="79375"/>
                          </a:cubicBezTo>
                          <a:cubicBezTo>
                            <a:pt x="529972" y="328435"/>
                            <a:pt x="529972" y="328435"/>
                            <a:pt x="529972" y="328435"/>
                          </a:cubicBezTo>
                          <a:cubicBezTo>
                            <a:pt x="1037718" y="724992"/>
                            <a:pt x="1037718" y="724992"/>
                            <a:pt x="1037718" y="724992"/>
                          </a:cubicBezTo>
                          <a:cubicBezTo>
                            <a:pt x="1082803" y="747814"/>
                            <a:pt x="1116458" y="781876"/>
                            <a:pt x="1150620" y="781876"/>
                          </a:cubicBezTo>
                          <a:cubicBezTo>
                            <a:pt x="1150620" y="793128"/>
                            <a:pt x="1150620" y="793128"/>
                            <a:pt x="1150620" y="793128"/>
                          </a:cubicBezTo>
                          <a:cubicBezTo>
                            <a:pt x="800862" y="793128"/>
                            <a:pt x="800862" y="793128"/>
                            <a:pt x="800862" y="793128"/>
                          </a:cubicBezTo>
                          <a:cubicBezTo>
                            <a:pt x="304674" y="396558"/>
                            <a:pt x="304674" y="396558"/>
                            <a:pt x="304674" y="396558"/>
                          </a:cubicBezTo>
                          <a:cubicBezTo>
                            <a:pt x="304674" y="702501"/>
                            <a:pt x="304674" y="702501"/>
                            <a:pt x="304674" y="702501"/>
                          </a:cubicBezTo>
                          <a:cubicBezTo>
                            <a:pt x="304674" y="759067"/>
                            <a:pt x="327153" y="781876"/>
                            <a:pt x="383413" y="781876"/>
                          </a:cubicBezTo>
                          <a:cubicBezTo>
                            <a:pt x="383413" y="793128"/>
                            <a:pt x="383413" y="793128"/>
                            <a:pt x="383413" y="793128"/>
                          </a:cubicBezTo>
                          <a:cubicBezTo>
                            <a:pt x="0" y="793128"/>
                            <a:pt x="0" y="793128"/>
                            <a:pt x="0" y="793128"/>
                          </a:cubicBezTo>
                          <a:cubicBezTo>
                            <a:pt x="0" y="781876"/>
                            <a:pt x="0" y="781876"/>
                            <a:pt x="0" y="781876"/>
                          </a:cubicBezTo>
                          <a:cubicBezTo>
                            <a:pt x="56515" y="781876"/>
                            <a:pt x="78994" y="759067"/>
                            <a:pt x="78994" y="702501"/>
                          </a:cubicBezTo>
                          <a:cubicBezTo>
                            <a:pt x="78994" y="90627"/>
                            <a:pt x="78994" y="90627"/>
                            <a:pt x="78994" y="90627"/>
                          </a:cubicBezTo>
                          <a:cubicBezTo>
                            <a:pt x="78994" y="45314"/>
                            <a:pt x="56515" y="11252"/>
                            <a:pt x="0" y="11252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383413" y="0"/>
                            <a:pt x="383413" y="0"/>
                            <a:pt x="383413" y="0"/>
                          </a:cubicBezTo>
                          <a:cubicBezTo>
                            <a:pt x="383413" y="11252"/>
                            <a:pt x="383413" y="11252"/>
                            <a:pt x="383413" y="11252"/>
                          </a:cubicBezTo>
                          <a:cubicBezTo>
                            <a:pt x="327153" y="11252"/>
                            <a:pt x="304674" y="45314"/>
                            <a:pt x="304674" y="90627"/>
                          </a:cubicBezTo>
                          <a:cubicBezTo>
                            <a:pt x="304674" y="351244"/>
                            <a:pt x="304674" y="351244"/>
                            <a:pt x="304674" y="351244"/>
                          </a:cubicBezTo>
                          <a:close/>
                          <a:moveTo>
                            <a:pt x="304674" y="35124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76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1733349</wp:posOffset>
            </wp:positionH>
            <wp:positionV relativeFrom="line">
              <wp:posOffset>180969</wp:posOffset>
            </wp:positionV>
            <wp:extent cx="304176" cy="238442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4176" cy="238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2528570</wp:posOffset>
            </wp:positionH>
            <wp:positionV relativeFrom="line">
              <wp:posOffset>183032</wp:posOffset>
            </wp:positionV>
            <wp:extent cx="28194" cy="233934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4" cy="233934"/>
                    </a:xfrm>
                    <a:custGeom>
                      <a:rect l="l" t="t" r="r" b="b"/>
                      <a:pathLst>
                        <a:path w="28194" h="233934">
                          <a:moveTo>
                            <a:pt x="0" y="233934"/>
                          </a:moveTo>
                          <a:lnTo>
                            <a:pt x="28194" y="233934"/>
                          </a:lnTo>
                          <a:lnTo>
                            <a:pt x="28194" y="0"/>
                          </a:lnTo>
                          <a:lnTo>
                            <a:pt x="0" y="0"/>
                          </a:lnTo>
                          <a:lnTo>
                            <a:pt x="0" y="23393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8" baseline="-16" dirty="0">
          <w:jc w:val="left"/>
          <w:rFonts w:ascii="Arial" w:hAnsi="Arial" w:cs="Arial"/>
          <w:b/>
          <w:bCs/>
          <w:color w:val="000000"/>
          <w:position w:val="-16"/>
          <w:sz w:val="28"/>
          <w:szCs w:val="28"/>
        </w:rPr>
        <w:t> 	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PRAVIDLA ČASOVÉHO POŘADÍ ÚHRAD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1416" w:space="2087"/>
            <w:col w:w="6267" w:space="0"/>
          </w:cols>
          <w:docGrid w:linePitch="360"/>
        </w:sectPr>
        <w:spacing w:before="0" w:after="0" w:line="311" w:lineRule="exact"/>
        <w:ind w:left="785" w:right="0" w:firstLine="0"/>
      </w:pP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POHLEDÁVEK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614" w:right="512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Pravidl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časového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pořadí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úhrad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pohledávek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(dále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jen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Pravidla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upravují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pořadí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plnění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splatných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luhů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lienta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vůči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Komerční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bance, a.s.,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(dále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jen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),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 případ, kdy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lient má vůči Bance více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spla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tných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luhů a jím poskytnuté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plnění nepostačuje 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jejich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úplné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mu splacen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207" w:lineRule="exact"/>
        <w:ind w:left="614" w:right="513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Pojmem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Dluh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rozumí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každý jednotlivý splatný peněžitý závazek klienta vůči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např.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jednotlivá splátka jistiny,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jednotlivá splátka úroku, úrok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prod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lení,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poplatky, ceny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náklady již určené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Pojmem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Právní vztah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 rozum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právní titul pro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nik jednotlivých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(nejčastěji úvěrová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smlouva). 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207" w:lineRule="exact"/>
        <w:ind w:left="614" w:right="513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Dluhy se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umořují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 následujících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pravidel, pokud se Banka s klientem nedohodne jinak, nebo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neexistují jiná závazná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pravidla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vyplývající z právní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ch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edpis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ů, od kterých se 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elze od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chýlit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1.</w:t>
      </w:r>
      <w:r>
        <w:rPr lang="cs-CZ" sz="18" baseline="0" dirty="0">
          <w:jc w:val="left"/>
          <w:rFonts w:ascii="Arial" w:hAnsi="Arial" w:cs="Arial"/>
          <w:color w:val="000000"/>
          <w:spacing w:val="1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 všech Právních vztahů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 níže uvedených pravidel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vždy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umoří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nejprve jistina 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pořadí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podle jejich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89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splatnosti (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plnění se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apočte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nejprve na jistinu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 úroky, které jsou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nejd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říve splatné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), a to takto:  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200" w:lineRule="exact"/>
        <w:ind w:left="89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a)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Dluhů z Právních vztahů, kterými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jsou smlouvy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 spotř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ebiteli a smlouvy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 kreditní kartě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uzavřené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: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01" w:right="595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(i)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období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 30.6.2021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etn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 nichž dosud 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enastal okam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žik konečné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splatnosti,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 nedošlo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 ze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splatnění,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(ii)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obdo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bí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 1.7.2021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včetně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18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umoří 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ejprve splatn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jistina a pot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tný úrok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; 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200" w:lineRule="exact"/>
        <w:ind w:left="89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b)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Dluhů z ostatních Právních vztahů se umoří 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ejprve 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platný úrok a poté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jistina.  </w:t>
      </w:r>
      <w:r/>
    </w:p>
    <w:p>
      <w:pPr>
        <w:rPr>
          <w:rFonts w:ascii="Times New Roman" w:hAnsi="Times New Roman" w:cs="Times New Roman"/>
          <w:color w:val="010302"/>
        </w:rPr>
        <w:spacing w:before="207" w:after="0" w:line="207" w:lineRule="exact"/>
        <w:ind w:left="898" w:right="513" w:hanging="284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2.</w:t>
      </w:r>
      <w:r>
        <w:rPr lang="cs-CZ" sz="18" baseline="0" dirty="0">
          <w:jc w:val="left"/>
          <w:rFonts w:ascii="Arial" w:hAnsi="Arial" w:cs="Arial"/>
          <w:color w:val="000000"/>
          <w:spacing w:val="1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Až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úplném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zaplacení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splatné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jistiny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splatných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úroků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umoří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splatné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úroky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prodlení,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jejich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úplném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aplacení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umoří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splatné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poplatky,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ceny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mluvní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uty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pořadí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rčeném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až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jejich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úplném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zaplacení zbývající části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Dluhu.  </w:t>
      </w:r>
      <w:r/>
    </w:p>
    <w:p>
      <w:pPr>
        <w:rPr>
          <w:rFonts w:ascii="Times New Roman" w:hAnsi="Times New Roman" w:cs="Times New Roman"/>
          <w:color w:val="010302"/>
        </w:rPr>
        <w:spacing w:before="209" w:after="0" w:line="207" w:lineRule="exact"/>
        <w:ind w:left="898" w:right="512" w:hanging="284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3.</w:t>
      </w:r>
      <w:r>
        <w:rPr lang="cs-CZ" sz="18" baseline="0" dirty="0">
          <w:jc w:val="left"/>
          <w:rFonts w:ascii="Arial" w:hAnsi="Arial" w:cs="Arial"/>
          <w:color w:val="000000"/>
          <w:spacing w:val="1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plnění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poskytnuté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klientem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nestačí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splacení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všech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splatných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Dluhů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ech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Právních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vztahů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mořují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Dluhy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pořadí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své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splatnosti,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očínaje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ávním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vztahem,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kterého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vznikl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dříve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splatný.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6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Tato Pravidla nab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ývají účinnos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ti dne 1.12.2021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nahrazují Pravidl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dosavadním znění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85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110998</wp:posOffset>
            </wp:positionV>
            <wp:extent cx="3061207" cy="9144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61207" cy="9144"/>
                    </a:xfrm>
                    <a:custGeom>
                      <a:rect l="l" t="t" r="r" b="b"/>
                      <a:pathLst>
                        <a:path w="3061207" h="9144">
                          <a:moveTo>
                            <a:pt x="0" y="9144"/>
                          </a:moveTo>
                          <a:lnTo>
                            <a:pt x="3061207" y="9144"/>
                          </a:lnTo>
                          <a:lnTo>
                            <a:pt x="3061207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3781297</wp:posOffset>
            </wp:positionH>
            <wp:positionV relativeFrom="paragraph">
              <wp:posOffset>110998</wp:posOffset>
            </wp:positionV>
            <wp:extent cx="9144" cy="9144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3790441</wp:posOffset>
            </wp:positionH>
            <wp:positionV relativeFrom="paragraph">
              <wp:posOffset>110998</wp:posOffset>
            </wp:positionV>
            <wp:extent cx="3051556" cy="9144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51556" cy="9144"/>
                    </a:xfrm>
                    <a:custGeom>
                      <a:rect l="l" t="t" r="r" b="b"/>
                      <a:pathLst>
                        <a:path w="3051556" h="9144">
                          <a:moveTo>
                            <a:pt x="0" y="9144"/>
                          </a:moveTo>
                          <a:lnTo>
                            <a:pt x="3051556" y="9144"/>
                          </a:lnTo>
                          <a:lnTo>
                            <a:pt x="305155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Komerční banka, a. s., se sídlem: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Praha 1, Na Příkopě 33 čp. 969, PSČ 114 07, IČO: 45317054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89" w:lineRule="exact"/>
        <w:ind w:left="614" w:right="0" w:firstLine="0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ZAPSANÁ V OBCHODNÍM REJSTŘÍKU VEDENÉM MĚSTSKÝM SOUDEM V PRAZE, ODDÍL B, VLOŽKA 1360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1321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1/1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5085" w:space="3565"/>
            <w:col w:w="1686" w:space="0"/>
          </w:cols>
          <w:docGrid w:linePitch="360"/>
        </w:sectPr>
        <w:spacing w:before="0" w:after="0" w:line="132" w:lineRule="exact"/>
        <w:ind w:left="-80" w:right="40" w:firstLine="53"/>
        <w:jc w:val="right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DATUM ÚČINNOSTI ŠABLONY 1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. 12. 2021  </w:t>
      </w: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VER E PRAVIDLA.DOT 31.7.2023 1:07 ODP.  </w:t>
      </w: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2" Type="http://schemas.openxmlformats.org/officeDocument/2006/relationships/image" Target="media/image10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2023-08-04T07:40:49Z</dcterms:created>
  <dcterms:modified xsi:type="dcterms:W3CDTF">2023-08-04T07:40:49Z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