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61D7C" w14:textId="77777777" w:rsidR="002E2EEF" w:rsidRDefault="002E2EEF" w:rsidP="009E775D">
      <w:pPr>
        <w:spacing w:line="240" w:lineRule="auto"/>
        <w:jc w:val="center"/>
        <w:rPr>
          <w:b/>
          <w:bCs/>
          <w:sz w:val="36"/>
          <w:szCs w:val="36"/>
        </w:rPr>
      </w:pPr>
      <w:r w:rsidRPr="008B701E">
        <w:rPr>
          <w:b/>
          <w:bCs/>
          <w:sz w:val="36"/>
          <w:szCs w:val="36"/>
        </w:rPr>
        <w:t xml:space="preserve">Rámcová </w:t>
      </w:r>
      <w:r w:rsidR="004548CA">
        <w:rPr>
          <w:b/>
          <w:bCs/>
          <w:sz w:val="36"/>
          <w:szCs w:val="36"/>
        </w:rPr>
        <w:t>dohoda</w:t>
      </w:r>
      <w:r w:rsidRPr="008B701E">
        <w:rPr>
          <w:b/>
          <w:bCs/>
          <w:sz w:val="36"/>
          <w:szCs w:val="36"/>
        </w:rPr>
        <w:t xml:space="preserve"> o poskyt</w:t>
      </w:r>
      <w:r w:rsidR="000A7225">
        <w:rPr>
          <w:b/>
          <w:bCs/>
          <w:sz w:val="36"/>
          <w:szCs w:val="36"/>
        </w:rPr>
        <w:t>ování</w:t>
      </w:r>
      <w:r w:rsidRPr="008B701E">
        <w:rPr>
          <w:b/>
          <w:bCs/>
          <w:sz w:val="36"/>
          <w:szCs w:val="36"/>
        </w:rPr>
        <w:t xml:space="preserve"> služeb</w:t>
      </w:r>
    </w:p>
    <w:p w14:paraId="16561681" w14:textId="56411950" w:rsidR="00490338" w:rsidRPr="008B701E" w:rsidRDefault="00490338" w:rsidP="009E775D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„Údržb</w:t>
      </w:r>
      <w:r w:rsidR="008B32BF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 xml:space="preserve"> a oprav</w:t>
      </w:r>
      <w:r w:rsidR="008B32BF">
        <w:rPr>
          <w:b/>
          <w:bCs/>
          <w:sz w:val="36"/>
          <w:szCs w:val="36"/>
        </w:rPr>
        <w:t>y</w:t>
      </w:r>
      <w:r>
        <w:rPr>
          <w:b/>
          <w:bCs/>
          <w:sz w:val="36"/>
          <w:szCs w:val="36"/>
        </w:rPr>
        <w:t xml:space="preserve"> vleč</w:t>
      </w:r>
      <w:r w:rsidR="008B32BF">
        <w:rPr>
          <w:b/>
          <w:bCs/>
          <w:sz w:val="36"/>
          <w:szCs w:val="36"/>
        </w:rPr>
        <w:t xml:space="preserve">ky Praha </w:t>
      </w:r>
      <w:r w:rsidR="0003250E">
        <w:rPr>
          <w:b/>
          <w:bCs/>
          <w:sz w:val="36"/>
          <w:szCs w:val="36"/>
        </w:rPr>
        <w:t>Malešice</w:t>
      </w:r>
      <w:r>
        <w:rPr>
          <w:b/>
          <w:bCs/>
          <w:sz w:val="36"/>
          <w:szCs w:val="36"/>
        </w:rPr>
        <w:t>“</w:t>
      </w:r>
    </w:p>
    <w:p w14:paraId="4DD5D2A5" w14:textId="62F360EF" w:rsidR="002E2EEF" w:rsidRPr="008B701E" w:rsidRDefault="002E2EEF" w:rsidP="009E775D">
      <w:pPr>
        <w:spacing w:line="240" w:lineRule="auto"/>
        <w:jc w:val="center"/>
        <w:rPr>
          <w:b/>
          <w:sz w:val="22"/>
          <w:szCs w:val="22"/>
        </w:rPr>
      </w:pPr>
      <w:r w:rsidRPr="008B701E">
        <w:rPr>
          <w:b/>
          <w:sz w:val="22"/>
          <w:szCs w:val="22"/>
        </w:rPr>
        <w:t>Číslo</w:t>
      </w:r>
      <w:r w:rsidR="008B701E">
        <w:rPr>
          <w:b/>
          <w:sz w:val="22"/>
          <w:szCs w:val="22"/>
        </w:rPr>
        <w:t xml:space="preserve"> </w:t>
      </w:r>
      <w:r w:rsidR="00A20E1D">
        <w:rPr>
          <w:b/>
          <w:sz w:val="22"/>
          <w:szCs w:val="22"/>
        </w:rPr>
        <w:t>2017/</w:t>
      </w:r>
      <w:r w:rsidR="00D44B33">
        <w:rPr>
          <w:b/>
          <w:sz w:val="22"/>
          <w:szCs w:val="22"/>
        </w:rPr>
        <w:t>12475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79"/>
        <w:gridCol w:w="5591"/>
      </w:tblGrid>
      <w:tr w:rsidR="002E2EEF" w:rsidRPr="008B701E" w14:paraId="11F5B643" w14:textId="77777777" w:rsidTr="002E2EEF">
        <w:tc>
          <w:tcPr>
            <w:tcW w:w="3528" w:type="dxa"/>
          </w:tcPr>
          <w:p w14:paraId="1EFEF16A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gramStart"/>
            <w:r w:rsidRPr="008B701E">
              <w:rPr>
                <w:b/>
                <w:bCs/>
                <w:sz w:val="22"/>
                <w:szCs w:val="22"/>
              </w:rPr>
              <w:t>s.p.</w:t>
            </w:r>
            <w:proofErr w:type="gramEnd"/>
          </w:p>
        </w:tc>
        <w:tc>
          <w:tcPr>
            <w:tcW w:w="5684" w:type="dxa"/>
          </w:tcPr>
          <w:p w14:paraId="35803172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E2EEF" w:rsidRPr="008B701E" w14:paraId="58C6A0A6" w14:textId="77777777" w:rsidTr="002E2EEF">
        <w:tc>
          <w:tcPr>
            <w:tcW w:w="3528" w:type="dxa"/>
          </w:tcPr>
          <w:p w14:paraId="1A5DE5A2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1F3F41A9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Politických vězňů 909/4, 225 99, Praha 1</w:t>
            </w:r>
          </w:p>
        </w:tc>
      </w:tr>
      <w:tr w:rsidR="002E2EEF" w:rsidRPr="008B701E" w14:paraId="39102E3D" w14:textId="77777777" w:rsidTr="002E2EEF">
        <w:tc>
          <w:tcPr>
            <w:tcW w:w="3528" w:type="dxa"/>
          </w:tcPr>
          <w:p w14:paraId="570DD93E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 w:rsidR="002938FF"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495410AA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47114983</w:t>
            </w:r>
          </w:p>
        </w:tc>
      </w:tr>
      <w:tr w:rsidR="002E2EEF" w:rsidRPr="008B701E" w14:paraId="66BCF261" w14:textId="77777777" w:rsidTr="002E2EEF">
        <w:tc>
          <w:tcPr>
            <w:tcW w:w="3528" w:type="dxa"/>
          </w:tcPr>
          <w:p w14:paraId="3CCAA3E4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44FE317A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CZ47114983</w:t>
            </w:r>
          </w:p>
        </w:tc>
      </w:tr>
      <w:tr w:rsidR="002E2EEF" w:rsidRPr="008B701E" w14:paraId="0B526820" w14:textId="77777777" w:rsidTr="002E2EEF">
        <w:tc>
          <w:tcPr>
            <w:tcW w:w="3528" w:type="dxa"/>
          </w:tcPr>
          <w:p w14:paraId="79AB6401" w14:textId="77777777" w:rsidR="002E2EEF" w:rsidRPr="008B701E" w:rsidRDefault="002E2EEF" w:rsidP="00DB4448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zastoupen:   </w:t>
            </w:r>
            <w:r w:rsidRPr="008B701E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3F28625D" w14:textId="7D34EEC2" w:rsidR="002E2EEF" w:rsidRPr="008B701E" w:rsidRDefault="0003250E" w:rsidP="0003250E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Vítem </w:t>
            </w:r>
            <w:proofErr w:type="spellStart"/>
            <w:r>
              <w:rPr>
                <w:sz w:val="22"/>
                <w:szCs w:val="22"/>
              </w:rPr>
              <w:t>Bukvicem</w:t>
            </w:r>
            <w:proofErr w:type="spellEnd"/>
            <w:r>
              <w:rPr>
                <w:sz w:val="22"/>
                <w:szCs w:val="22"/>
              </w:rPr>
              <w:t>,</w:t>
            </w:r>
            <w:r w:rsidR="002E2EEF" w:rsidRPr="008B701E">
              <w:rPr>
                <w:sz w:val="22"/>
                <w:szCs w:val="22"/>
              </w:rPr>
              <w:t xml:space="preserve"> ředitelem </w:t>
            </w:r>
            <w:r>
              <w:rPr>
                <w:sz w:val="22"/>
                <w:szCs w:val="22"/>
              </w:rPr>
              <w:t>divize poštovní provoz a logistika</w:t>
            </w:r>
          </w:p>
        </w:tc>
      </w:tr>
      <w:tr w:rsidR="002E2EEF" w:rsidRPr="008B701E" w14:paraId="4F60F9F7" w14:textId="77777777" w:rsidTr="002E2EEF">
        <w:tc>
          <w:tcPr>
            <w:tcW w:w="3528" w:type="dxa"/>
          </w:tcPr>
          <w:p w14:paraId="73713B09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59F2B6F0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Městského soudu v Praze</w:t>
            </w:r>
            <w:r w:rsidRPr="008B701E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E2EEF" w:rsidRPr="008B701E" w14:paraId="42BE1849" w14:textId="77777777" w:rsidTr="002E2EEF">
        <w:tc>
          <w:tcPr>
            <w:tcW w:w="3528" w:type="dxa"/>
          </w:tcPr>
          <w:p w14:paraId="56625E55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16C9C869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Československá obchodní banka, a.s., </w:t>
            </w:r>
          </w:p>
          <w:p w14:paraId="561A1C57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č. </w:t>
            </w:r>
            <w:proofErr w:type="spellStart"/>
            <w:r w:rsidRPr="008B701E">
              <w:rPr>
                <w:sz w:val="22"/>
                <w:szCs w:val="22"/>
              </w:rPr>
              <w:t>ú.</w:t>
            </w:r>
            <w:proofErr w:type="spellEnd"/>
            <w:r w:rsidRPr="008B701E">
              <w:rPr>
                <w:sz w:val="22"/>
                <w:szCs w:val="22"/>
              </w:rPr>
              <w:t xml:space="preserve">: </w:t>
            </w:r>
            <w:r w:rsidR="007171EF" w:rsidRPr="008B701E">
              <w:rPr>
                <w:sz w:val="22"/>
                <w:szCs w:val="22"/>
              </w:rPr>
              <w:t>102639446</w:t>
            </w:r>
            <w:r w:rsidRPr="008B701E">
              <w:rPr>
                <w:sz w:val="22"/>
                <w:szCs w:val="22"/>
              </w:rPr>
              <w:t>/0300</w:t>
            </w:r>
          </w:p>
        </w:tc>
      </w:tr>
      <w:tr w:rsidR="009E775D" w:rsidRPr="008B701E" w14:paraId="7B190E4E" w14:textId="77777777" w:rsidTr="002E2EEF">
        <w:tc>
          <w:tcPr>
            <w:tcW w:w="3528" w:type="dxa"/>
          </w:tcPr>
          <w:p w14:paraId="11B68AD4" w14:textId="77777777" w:rsidR="009E775D" w:rsidRPr="008B701E" w:rsidRDefault="009E775D" w:rsidP="009E775D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22F8A67B" w14:textId="77777777" w:rsidR="009E775D" w:rsidRPr="008B701E" w:rsidRDefault="009E775D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Objednatel</w:t>
            </w:r>
            <w:r w:rsidRPr="008B701E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381790C1" w14:textId="77777777" w:rsidR="009E775D" w:rsidRPr="008B701E" w:rsidRDefault="009E775D" w:rsidP="009E775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0B46D082" w14:textId="77777777" w:rsidR="002E2EEF" w:rsidRPr="008B701E" w:rsidRDefault="002E2EEF" w:rsidP="009E775D">
      <w:pPr>
        <w:spacing w:line="240" w:lineRule="auto"/>
        <w:rPr>
          <w:b/>
          <w:sz w:val="22"/>
          <w:szCs w:val="22"/>
        </w:rPr>
      </w:pPr>
    </w:p>
    <w:p w14:paraId="36B9BC9B" w14:textId="77777777" w:rsidR="002E2EEF" w:rsidRPr="008B701E" w:rsidRDefault="002E2EEF" w:rsidP="009E775D">
      <w:pPr>
        <w:spacing w:line="240" w:lineRule="auto"/>
        <w:rPr>
          <w:b/>
          <w:sz w:val="22"/>
          <w:szCs w:val="22"/>
        </w:rPr>
      </w:pPr>
    </w:p>
    <w:p w14:paraId="56866044" w14:textId="1FD4E01C" w:rsidR="008B701E" w:rsidRPr="00E7463C" w:rsidRDefault="009E775D" w:rsidP="009E775D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2E2EEF" w:rsidRPr="008B701E" w14:paraId="002E714B" w14:textId="77777777" w:rsidTr="002E2EEF">
        <w:tc>
          <w:tcPr>
            <w:tcW w:w="9288" w:type="dxa"/>
            <w:gridSpan w:val="2"/>
          </w:tcPr>
          <w:p w14:paraId="214F7454" w14:textId="5C0CDCD5" w:rsidR="002E2EEF" w:rsidRPr="008B701E" w:rsidRDefault="00A20E1D" w:rsidP="00A20E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GJW Praha spol. s r.o.</w:t>
            </w:r>
          </w:p>
        </w:tc>
      </w:tr>
      <w:tr w:rsidR="002E2EEF" w:rsidRPr="008B701E" w14:paraId="3E7BA8DA" w14:textId="77777777" w:rsidTr="00A20E1D">
        <w:tc>
          <w:tcPr>
            <w:tcW w:w="3528" w:type="dxa"/>
          </w:tcPr>
          <w:p w14:paraId="10BCF542" w14:textId="39AE1201" w:rsidR="002E2EEF" w:rsidRPr="008B701E" w:rsidRDefault="002E2EEF" w:rsidP="00A20E1D">
            <w:pPr>
              <w:tabs>
                <w:tab w:val="right" w:pos="3312"/>
              </w:tabs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  <w:r w:rsidR="00A20E1D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3C19A27F" w14:textId="43172FFB" w:rsidR="002E2EEF" w:rsidRPr="008B701E" w:rsidRDefault="00B91C45" w:rsidP="009E775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Praha 9 – Hloubětín, Mezitraťová 137, 198 21</w:t>
            </w:r>
          </w:p>
        </w:tc>
      </w:tr>
      <w:tr w:rsidR="002E2EEF" w:rsidRPr="008B701E" w14:paraId="123BDA34" w14:textId="77777777" w:rsidTr="00A20E1D">
        <w:tc>
          <w:tcPr>
            <w:tcW w:w="3528" w:type="dxa"/>
          </w:tcPr>
          <w:p w14:paraId="29098086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 w:rsidR="002938FF"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6C945989" w14:textId="5541A1DE" w:rsidR="002E2EEF" w:rsidRPr="008B701E" w:rsidRDefault="00B91C45" w:rsidP="009E775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41192869</w:t>
            </w:r>
          </w:p>
        </w:tc>
      </w:tr>
      <w:tr w:rsidR="002E2EEF" w:rsidRPr="008B701E" w14:paraId="25BB50BF" w14:textId="77777777" w:rsidTr="00A20E1D">
        <w:tc>
          <w:tcPr>
            <w:tcW w:w="3528" w:type="dxa"/>
          </w:tcPr>
          <w:p w14:paraId="1D2EB311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2398532B" w14:textId="51EBB45D" w:rsidR="002E2EEF" w:rsidRPr="008B701E" w:rsidRDefault="00B91C45" w:rsidP="009E775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CZ41192869</w:t>
            </w:r>
          </w:p>
        </w:tc>
      </w:tr>
      <w:tr w:rsidR="002E2EEF" w:rsidRPr="008B701E" w14:paraId="175FACAA" w14:textId="77777777" w:rsidTr="00A20E1D">
        <w:tc>
          <w:tcPr>
            <w:tcW w:w="3528" w:type="dxa"/>
          </w:tcPr>
          <w:p w14:paraId="1E1564BD" w14:textId="77777777" w:rsidR="002E2EEF" w:rsidRPr="008B701E" w:rsidRDefault="002E2EEF" w:rsidP="00DB4448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zastoupen</w:t>
            </w:r>
            <w:r w:rsidR="00D70BD0">
              <w:rPr>
                <w:sz w:val="22"/>
                <w:szCs w:val="22"/>
              </w:rPr>
              <w:t>a</w:t>
            </w:r>
            <w:r w:rsidRPr="008B701E">
              <w:rPr>
                <w:sz w:val="22"/>
                <w:szCs w:val="22"/>
              </w:rPr>
              <w:t xml:space="preserve">:   </w:t>
            </w:r>
            <w:r w:rsidRPr="008B701E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35C666BA" w14:textId="40BD2BCD" w:rsidR="002E2EEF" w:rsidRPr="008B701E" w:rsidRDefault="00BA4223" w:rsidP="009E77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2E2EEF" w:rsidRPr="008B701E" w14:paraId="4CF55043" w14:textId="77777777" w:rsidTr="00A20E1D">
        <w:tc>
          <w:tcPr>
            <w:tcW w:w="3528" w:type="dxa"/>
          </w:tcPr>
          <w:p w14:paraId="4C6FA6FC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zapsána v obchodním rejstříku</w:t>
            </w:r>
          </w:p>
        </w:tc>
        <w:tc>
          <w:tcPr>
            <w:tcW w:w="5760" w:type="dxa"/>
          </w:tcPr>
          <w:p w14:paraId="7265F859" w14:textId="739D38BF" w:rsidR="002E2EEF" w:rsidRPr="008B701E" w:rsidRDefault="00B91C45" w:rsidP="009E775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Městského soudu v Praze, oddíl C, vložka 4528</w:t>
            </w:r>
          </w:p>
        </w:tc>
      </w:tr>
      <w:tr w:rsidR="002E2EEF" w:rsidRPr="008B701E" w14:paraId="56164466" w14:textId="77777777" w:rsidTr="00A20E1D">
        <w:tc>
          <w:tcPr>
            <w:tcW w:w="3528" w:type="dxa"/>
          </w:tcPr>
          <w:p w14:paraId="7A1503C3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133E3F7C" w14:textId="3D6CA0B8" w:rsidR="002E2EEF" w:rsidRPr="008B701E" w:rsidRDefault="00271D7E" w:rsidP="009E775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KB, a.s., </w:t>
            </w:r>
            <w:proofErr w:type="spellStart"/>
            <w:proofErr w:type="gramStart"/>
            <w:r>
              <w:rPr>
                <w:sz w:val="22"/>
                <w:szCs w:val="22"/>
              </w:rPr>
              <w:t>č.ú</w:t>
            </w:r>
            <w:proofErr w:type="spellEnd"/>
            <w:r>
              <w:rPr>
                <w:sz w:val="22"/>
                <w:szCs w:val="22"/>
              </w:rPr>
              <w:t>.: 141590198/0100</w:t>
            </w:r>
            <w:proofErr w:type="gramEnd"/>
          </w:p>
        </w:tc>
      </w:tr>
      <w:tr w:rsidR="002E2EEF" w:rsidRPr="008B701E" w14:paraId="30480F9B" w14:textId="77777777" w:rsidTr="00A20E1D">
        <w:tc>
          <w:tcPr>
            <w:tcW w:w="3528" w:type="dxa"/>
          </w:tcPr>
          <w:p w14:paraId="2F4ADA6B" w14:textId="77777777" w:rsidR="00964DAC" w:rsidRDefault="00964DAC" w:rsidP="009E775D">
            <w:pPr>
              <w:spacing w:line="240" w:lineRule="auto"/>
              <w:rPr>
                <w:sz w:val="22"/>
                <w:szCs w:val="22"/>
              </w:rPr>
            </w:pPr>
          </w:p>
          <w:p w14:paraId="65A9FAC8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Dodavatel</w:t>
            </w:r>
            <w:r w:rsidRPr="008B701E">
              <w:rPr>
                <w:sz w:val="22"/>
                <w:szCs w:val="22"/>
              </w:rPr>
              <w:t>“</w:t>
            </w:r>
          </w:p>
        </w:tc>
        <w:tc>
          <w:tcPr>
            <w:tcW w:w="5760" w:type="dxa"/>
          </w:tcPr>
          <w:p w14:paraId="4506C889" w14:textId="77777777" w:rsidR="002E2EEF" w:rsidRPr="008B701E" w:rsidRDefault="002E2EEF" w:rsidP="009E775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AC53894" w14:textId="77777777" w:rsidR="008B701E" w:rsidRPr="00964DAC" w:rsidRDefault="008B701E" w:rsidP="002E2EEF">
      <w:pPr>
        <w:spacing w:after="0" w:line="240" w:lineRule="auto"/>
        <w:rPr>
          <w:b/>
          <w:sz w:val="22"/>
          <w:szCs w:val="22"/>
        </w:rPr>
      </w:pPr>
    </w:p>
    <w:p w14:paraId="434FBAD8" w14:textId="77777777" w:rsidR="00F925F7" w:rsidRDefault="00F925F7" w:rsidP="002E2EEF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t xml:space="preserve">(Objednatel a Dodavatel </w:t>
      </w:r>
      <w:r w:rsidR="00D70BD0">
        <w:rPr>
          <w:bCs/>
          <w:sz w:val="22"/>
          <w:szCs w:val="22"/>
        </w:rPr>
        <w:t>dále</w:t>
      </w:r>
      <w:r w:rsidRPr="008B701E">
        <w:rPr>
          <w:bCs/>
          <w:sz w:val="22"/>
          <w:szCs w:val="22"/>
        </w:rPr>
        <w:t xml:space="preserve"> jednotlivě jako „</w:t>
      </w:r>
      <w:r w:rsidRPr="008B701E">
        <w:rPr>
          <w:b/>
          <w:bCs/>
          <w:sz w:val="22"/>
          <w:szCs w:val="22"/>
        </w:rPr>
        <w:t>Smluvní strana</w:t>
      </w:r>
      <w:r w:rsidRPr="008B701E">
        <w:rPr>
          <w:bCs/>
          <w:sz w:val="22"/>
          <w:szCs w:val="22"/>
        </w:rPr>
        <w:t>“ a společně jako „</w:t>
      </w:r>
      <w:r w:rsidRPr="008B701E">
        <w:rPr>
          <w:b/>
          <w:bCs/>
          <w:sz w:val="22"/>
          <w:szCs w:val="22"/>
        </w:rPr>
        <w:t>Smluvní strany</w:t>
      </w:r>
      <w:r w:rsidRPr="008B701E">
        <w:rPr>
          <w:bCs/>
          <w:sz w:val="22"/>
          <w:szCs w:val="22"/>
        </w:rPr>
        <w:t>“)</w:t>
      </w:r>
    </w:p>
    <w:p w14:paraId="64BFD4A5" w14:textId="77777777" w:rsidR="009E775D" w:rsidRPr="008B701E" w:rsidRDefault="009E775D" w:rsidP="009E775D">
      <w:pPr>
        <w:spacing w:line="240" w:lineRule="auto"/>
        <w:rPr>
          <w:bCs/>
          <w:sz w:val="22"/>
          <w:szCs w:val="22"/>
        </w:rPr>
      </w:pPr>
    </w:p>
    <w:p w14:paraId="2E4DB887" w14:textId="77777777" w:rsidR="001634BE" w:rsidRDefault="00F925F7" w:rsidP="002811F0">
      <w:pPr>
        <w:spacing w:line="240" w:lineRule="auto"/>
        <w:rPr>
          <w:sz w:val="22"/>
          <w:szCs w:val="22"/>
        </w:rPr>
      </w:pPr>
      <w:r w:rsidRPr="008B701E">
        <w:rPr>
          <w:bCs/>
          <w:sz w:val="22"/>
          <w:szCs w:val="22"/>
        </w:rPr>
        <w:t xml:space="preserve">uzavírají v souladu s ustanovením § </w:t>
      </w:r>
      <w:r w:rsidR="00DB4448">
        <w:rPr>
          <w:bCs/>
          <w:sz w:val="22"/>
          <w:szCs w:val="22"/>
        </w:rPr>
        <w:t>1746 odst. 2 zákona č. 89/2012 Sb.</w:t>
      </w:r>
      <w:r w:rsidRPr="008B701E">
        <w:rPr>
          <w:bCs/>
          <w:sz w:val="22"/>
          <w:szCs w:val="22"/>
        </w:rPr>
        <w:t xml:space="preserve">, </w:t>
      </w:r>
      <w:r w:rsidR="00DB4448">
        <w:rPr>
          <w:bCs/>
          <w:sz w:val="22"/>
          <w:szCs w:val="22"/>
        </w:rPr>
        <w:t>občansk</w:t>
      </w:r>
      <w:r w:rsidR="00AD2E2B">
        <w:rPr>
          <w:bCs/>
          <w:sz w:val="22"/>
          <w:szCs w:val="22"/>
        </w:rPr>
        <w:t>ého</w:t>
      </w:r>
      <w:r w:rsidR="00DB4448">
        <w:rPr>
          <w:bCs/>
          <w:sz w:val="22"/>
          <w:szCs w:val="22"/>
        </w:rPr>
        <w:t xml:space="preserve"> </w:t>
      </w:r>
      <w:r w:rsidRPr="008B701E">
        <w:rPr>
          <w:bCs/>
          <w:sz w:val="22"/>
          <w:szCs w:val="22"/>
        </w:rPr>
        <w:t>zákoník</w:t>
      </w:r>
      <w:r w:rsidR="00AD2E2B">
        <w:rPr>
          <w:bCs/>
          <w:sz w:val="22"/>
          <w:szCs w:val="22"/>
        </w:rPr>
        <w:t>u</w:t>
      </w:r>
      <w:r w:rsidRPr="008B701E">
        <w:rPr>
          <w:bCs/>
          <w:sz w:val="22"/>
          <w:szCs w:val="22"/>
        </w:rPr>
        <w:t>, ve znění pozdějších předpisů (dále jen „</w:t>
      </w:r>
      <w:r w:rsidR="00DE4D63" w:rsidRPr="00DE4D63">
        <w:rPr>
          <w:b/>
          <w:bCs/>
          <w:sz w:val="22"/>
          <w:szCs w:val="22"/>
        </w:rPr>
        <w:t>Občanský</w:t>
      </w:r>
      <w:r w:rsidR="00DB4448">
        <w:rPr>
          <w:bCs/>
          <w:sz w:val="22"/>
          <w:szCs w:val="22"/>
        </w:rPr>
        <w:t xml:space="preserve"> </w:t>
      </w:r>
      <w:r w:rsidRPr="008B701E">
        <w:rPr>
          <w:b/>
          <w:bCs/>
          <w:sz w:val="22"/>
          <w:szCs w:val="22"/>
        </w:rPr>
        <w:t>zákoník</w:t>
      </w:r>
      <w:r w:rsidRPr="008B701E">
        <w:rPr>
          <w:bCs/>
          <w:sz w:val="22"/>
          <w:szCs w:val="22"/>
        </w:rPr>
        <w:t>“) tuto</w:t>
      </w:r>
      <w:r w:rsidR="00AD2E2B">
        <w:rPr>
          <w:bCs/>
          <w:sz w:val="22"/>
          <w:szCs w:val="22"/>
        </w:rPr>
        <w:t xml:space="preserve"> Rámcovou dohodu o poskytování služeb </w:t>
      </w:r>
      <w:r w:rsidR="00D553D1" w:rsidRPr="008B701E">
        <w:rPr>
          <w:sz w:val="22"/>
          <w:szCs w:val="22"/>
        </w:rPr>
        <w:t>(dále jen „</w:t>
      </w:r>
      <w:r w:rsidR="00D553D1" w:rsidRPr="008B701E">
        <w:rPr>
          <w:b/>
          <w:sz w:val="22"/>
          <w:szCs w:val="22"/>
        </w:rPr>
        <w:t>Smlouva</w:t>
      </w:r>
      <w:r w:rsidR="00D553D1" w:rsidRPr="008B701E">
        <w:rPr>
          <w:sz w:val="22"/>
          <w:szCs w:val="22"/>
        </w:rPr>
        <w:t>“)</w:t>
      </w:r>
      <w:r w:rsidR="00AD2E2B">
        <w:rPr>
          <w:sz w:val="22"/>
          <w:szCs w:val="22"/>
        </w:rPr>
        <w:t>.</w:t>
      </w:r>
    </w:p>
    <w:p w14:paraId="46C915EB" w14:textId="77777777" w:rsidR="00271D7E" w:rsidRDefault="00271D7E" w:rsidP="0003250E">
      <w:pPr>
        <w:spacing w:before="240" w:after="60"/>
        <w:jc w:val="center"/>
        <w:rPr>
          <w:b/>
          <w:sz w:val="22"/>
          <w:szCs w:val="22"/>
        </w:rPr>
      </w:pPr>
    </w:p>
    <w:p w14:paraId="5E3A2320" w14:textId="77777777" w:rsidR="007F5CA7" w:rsidRPr="00FE0F43" w:rsidRDefault="007F5CA7" w:rsidP="0003250E">
      <w:pPr>
        <w:spacing w:before="240" w:after="60"/>
        <w:jc w:val="center"/>
        <w:rPr>
          <w:b/>
          <w:sz w:val="22"/>
          <w:szCs w:val="22"/>
        </w:rPr>
      </w:pPr>
      <w:r w:rsidRPr="00FE0F43">
        <w:rPr>
          <w:b/>
          <w:sz w:val="22"/>
          <w:szCs w:val="22"/>
        </w:rPr>
        <w:t>Preambule</w:t>
      </w:r>
      <w:r>
        <w:rPr>
          <w:b/>
          <w:sz w:val="22"/>
          <w:szCs w:val="22"/>
        </w:rPr>
        <w:t xml:space="preserve"> </w:t>
      </w:r>
    </w:p>
    <w:p w14:paraId="77625B43" w14:textId="6413D411" w:rsidR="002E2EEF" w:rsidRDefault="007F5CA7" w:rsidP="007F5CA7">
      <w:pPr>
        <w:spacing w:line="240" w:lineRule="auto"/>
        <w:rPr>
          <w:sz w:val="22"/>
          <w:szCs w:val="22"/>
        </w:rPr>
      </w:pPr>
      <w:r w:rsidRPr="00FE0F43">
        <w:rPr>
          <w:sz w:val="22"/>
          <w:szCs w:val="22"/>
        </w:rPr>
        <w:lastRenderedPageBreak/>
        <w:t xml:space="preserve">Objednatel provedl </w:t>
      </w:r>
      <w:r w:rsidR="000C26E2">
        <w:rPr>
          <w:sz w:val="22"/>
          <w:szCs w:val="22"/>
        </w:rPr>
        <w:t>výběrové</w:t>
      </w:r>
      <w:r w:rsidR="000C26E2" w:rsidRPr="00FE0F43">
        <w:rPr>
          <w:sz w:val="22"/>
          <w:szCs w:val="22"/>
        </w:rPr>
        <w:t xml:space="preserve"> </w:t>
      </w:r>
      <w:r w:rsidRPr="00FE0F43">
        <w:rPr>
          <w:sz w:val="22"/>
          <w:szCs w:val="22"/>
        </w:rPr>
        <w:t xml:space="preserve">řízení k  veřejné zakázce </w:t>
      </w:r>
      <w:r w:rsidR="008B32BF" w:rsidRPr="00FE0F43">
        <w:rPr>
          <w:sz w:val="22"/>
          <w:szCs w:val="22"/>
        </w:rPr>
        <w:t>„</w:t>
      </w:r>
      <w:r w:rsidR="008B32BF">
        <w:rPr>
          <w:sz w:val="22"/>
          <w:szCs w:val="22"/>
        </w:rPr>
        <w:t xml:space="preserve">Údržba a opravy vlečky Praha </w:t>
      </w:r>
      <w:r w:rsidR="0003250E">
        <w:rPr>
          <w:sz w:val="22"/>
          <w:szCs w:val="22"/>
        </w:rPr>
        <w:t>Malešice</w:t>
      </w:r>
      <w:r w:rsidR="008B32BF">
        <w:rPr>
          <w:sz w:val="22"/>
          <w:szCs w:val="22"/>
        </w:rPr>
        <w:t xml:space="preserve"> </w:t>
      </w:r>
      <w:r w:rsidRPr="00FE0F43">
        <w:rPr>
          <w:sz w:val="22"/>
          <w:szCs w:val="22"/>
        </w:rPr>
        <w:t>“ na uzavření této Smlouvy</w:t>
      </w:r>
      <w:r>
        <w:rPr>
          <w:sz w:val="22"/>
          <w:szCs w:val="22"/>
        </w:rPr>
        <w:t xml:space="preserve"> </w:t>
      </w:r>
      <w:r w:rsidRPr="00DF11A7">
        <w:rPr>
          <w:sz w:val="22"/>
          <w:szCs w:val="22"/>
        </w:rPr>
        <w:t>(dále jen „</w:t>
      </w:r>
      <w:r w:rsidR="000C26E2">
        <w:rPr>
          <w:b/>
          <w:sz w:val="22"/>
          <w:szCs w:val="22"/>
        </w:rPr>
        <w:t>Výběrového</w:t>
      </w:r>
      <w:r w:rsidRPr="00DF11A7">
        <w:rPr>
          <w:b/>
          <w:sz w:val="22"/>
          <w:szCs w:val="22"/>
        </w:rPr>
        <w:t xml:space="preserve"> řízení</w:t>
      </w:r>
      <w:r w:rsidRPr="00DF11A7">
        <w:rPr>
          <w:sz w:val="22"/>
          <w:szCs w:val="22"/>
        </w:rPr>
        <w:t>“)</w:t>
      </w:r>
      <w:r w:rsidR="008F15AA">
        <w:rPr>
          <w:sz w:val="22"/>
          <w:szCs w:val="22"/>
        </w:rPr>
        <w:t xml:space="preserve">. </w:t>
      </w:r>
      <w:r w:rsidRPr="00FE0F43">
        <w:rPr>
          <w:sz w:val="22"/>
          <w:szCs w:val="22"/>
        </w:rPr>
        <w:t>Smlouva je uzav</w:t>
      </w:r>
      <w:r>
        <w:rPr>
          <w:sz w:val="22"/>
          <w:szCs w:val="22"/>
        </w:rPr>
        <w:t>írána</w:t>
      </w:r>
      <w:r w:rsidRPr="00FE0F43">
        <w:rPr>
          <w:sz w:val="22"/>
          <w:szCs w:val="22"/>
        </w:rPr>
        <w:t xml:space="preserve"> s Dodavatelem na základě výsledku </w:t>
      </w:r>
      <w:r w:rsidR="000C26E2">
        <w:rPr>
          <w:sz w:val="22"/>
          <w:szCs w:val="22"/>
        </w:rPr>
        <w:t>Výběrového</w:t>
      </w:r>
      <w:r w:rsidRPr="00FE0F43">
        <w:rPr>
          <w:sz w:val="22"/>
          <w:szCs w:val="22"/>
        </w:rPr>
        <w:t xml:space="preserve"> řízení.</w:t>
      </w:r>
    </w:p>
    <w:p w14:paraId="1BB56336" w14:textId="77777777" w:rsidR="002E2EEF" w:rsidRPr="00BE6034" w:rsidRDefault="002E2EEF" w:rsidP="004F30CE">
      <w:pPr>
        <w:pStyle w:val="Nadpis1"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Účel a předmět Smlouvy</w:t>
      </w:r>
    </w:p>
    <w:p w14:paraId="18ABBE6D" w14:textId="34B51E20" w:rsidR="00BC11A8" w:rsidRPr="00D76D04" w:rsidRDefault="002E2EEF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Účelem této Smlouvy je </w:t>
      </w:r>
      <w:r w:rsidR="00BC11A8">
        <w:rPr>
          <w:sz w:val="22"/>
          <w:szCs w:val="22"/>
        </w:rPr>
        <w:t xml:space="preserve">stanovení podmínek a právního rámce pro uzavírání </w:t>
      </w:r>
      <w:r w:rsidR="00346995">
        <w:rPr>
          <w:sz w:val="22"/>
          <w:szCs w:val="22"/>
        </w:rPr>
        <w:t xml:space="preserve">dílčích </w:t>
      </w:r>
      <w:r w:rsidR="00BC11A8">
        <w:rPr>
          <w:sz w:val="22"/>
          <w:szCs w:val="22"/>
        </w:rPr>
        <w:t>smluv o</w:t>
      </w:r>
      <w:r w:rsidR="002938FF">
        <w:rPr>
          <w:sz w:val="22"/>
          <w:szCs w:val="22"/>
        </w:rPr>
        <w:t> </w:t>
      </w:r>
      <w:r w:rsidR="00C83EF1">
        <w:rPr>
          <w:sz w:val="22"/>
          <w:szCs w:val="22"/>
        </w:rPr>
        <w:t xml:space="preserve">poskytování </w:t>
      </w:r>
      <w:r w:rsidR="00BC11A8">
        <w:rPr>
          <w:sz w:val="22"/>
          <w:szCs w:val="22"/>
        </w:rPr>
        <w:t>služeb mezi Dodavatelem a Objednatelem, a to na základě Objednávek Objednatele.</w:t>
      </w:r>
      <w:r w:rsidR="00AD2E2B" w:rsidRPr="00AD2E2B">
        <w:rPr>
          <w:sz w:val="22"/>
          <w:szCs w:val="22"/>
        </w:rPr>
        <w:t xml:space="preserve"> </w:t>
      </w:r>
      <w:r w:rsidR="00AD2E2B">
        <w:rPr>
          <w:sz w:val="22"/>
          <w:szCs w:val="22"/>
        </w:rPr>
        <w:t>Služby mají být Objednatelem použity pro</w:t>
      </w:r>
      <w:r w:rsidR="00AD2E2B" w:rsidRPr="00DF11A7">
        <w:rPr>
          <w:sz w:val="22"/>
          <w:szCs w:val="22"/>
        </w:rPr>
        <w:t xml:space="preserve"> </w:t>
      </w:r>
      <w:r w:rsidR="006967F3">
        <w:rPr>
          <w:sz w:val="22"/>
          <w:szCs w:val="22"/>
        </w:rPr>
        <w:t>opravy vlečky z</w:t>
      </w:r>
      <w:r w:rsidR="00AB5BE6">
        <w:rPr>
          <w:sz w:val="22"/>
          <w:szCs w:val="22"/>
        </w:rPr>
        <w:t xml:space="preserve"> </w:t>
      </w:r>
      <w:r w:rsidR="006967F3">
        <w:rPr>
          <w:sz w:val="22"/>
          <w:szCs w:val="22"/>
        </w:rPr>
        <w:t xml:space="preserve"> provedeného dohledu, který nařizuje Zákon o dráhách č. 266/1994 Sb. </w:t>
      </w:r>
      <w:r w:rsidR="00AD2E2B">
        <w:rPr>
          <w:sz w:val="22"/>
          <w:szCs w:val="22"/>
        </w:rPr>
        <w:t>a mají plnit funkci</w:t>
      </w:r>
      <w:r w:rsidR="006967F3">
        <w:rPr>
          <w:sz w:val="22"/>
          <w:szCs w:val="22"/>
        </w:rPr>
        <w:t xml:space="preserve"> </w:t>
      </w:r>
      <w:r w:rsidR="000B6FC4">
        <w:rPr>
          <w:sz w:val="22"/>
          <w:szCs w:val="22"/>
        </w:rPr>
        <w:t xml:space="preserve">technického zajištění </w:t>
      </w:r>
      <w:r w:rsidR="006967F3">
        <w:rPr>
          <w:sz w:val="22"/>
          <w:szCs w:val="22"/>
        </w:rPr>
        <w:t>bezpečného provozu po železnici.</w:t>
      </w:r>
    </w:p>
    <w:p w14:paraId="0FB50ABB" w14:textId="77777777" w:rsidR="002E2EEF" w:rsidRPr="008B701E" w:rsidRDefault="002E2EEF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Předmětem této Smlouvy je </w:t>
      </w:r>
      <w:r w:rsidR="00084820" w:rsidRPr="00D76D04">
        <w:rPr>
          <w:sz w:val="22"/>
          <w:szCs w:val="22"/>
        </w:rPr>
        <w:t xml:space="preserve">stanovení práv a povinností Smluvních stran </w:t>
      </w:r>
      <w:r w:rsidR="00347164">
        <w:rPr>
          <w:sz w:val="22"/>
          <w:szCs w:val="22"/>
        </w:rPr>
        <w:t xml:space="preserve">pro </w:t>
      </w:r>
      <w:r w:rsidR="00BC11A8">
        <w:rPr>
          <w:sz w:val="22"/>
          <w:szCs w:val="22"/>
        </w:rPr>
        <w:t xml:space="preserve">postup při uzavírání Dílčích smluv </w:t>
      </w:r>
      <w:r w:rsidR="00DD583E">
        <w:rPr>
          <w:sz w:val="22"/>
          <w:szCs w:val="22"/>
        </w:rPr>
        <w:t xml:space="preserve">(jak jsou definovány níže) </w:t>
      </w:r>
      <w:r w:rsidR="00BC11A8">
        <w:rPr>
          <w:sz w:val="22"/>
          <w:szCs w:val="22"/>
        </w:rPr>
        <w:t>na</w:t>
      </w:r>
      <w:r w:rsidR="00BC11A8" w:rsidRPr="00D76D04">
        <w:rPr>
          <w:sz w:val="22"/>
          <w:szCs w:val="22"/>
        </w:rPr>
        <w:t xml:space="preserve"> </w:t>
      </w:r>
      <w:r w:rsidRPr="008B701E">
        <w:rPr>
          <w:sz w:val="22"/>
          <w:szCs w:val="22"/>
        </w:rPr>
        <w:t>poskytování níže uvedených služeb Dodavatelem Objednatel</w:t>
      </w:r>
      <w:r w:rsidR="00084820">
        <w:rPr>
          <w:sz w:val="22"/>
          <w:szCs w:val="22"/>
        </w:rPr>
        <w:t>i</w:t>
      </w:r>
      <w:r w:rsidRPr="008B701E">
        <w:rPr>
          <w:sz w:val="22"/>
          <w:szCs w:val="22"/>
        </w:rPr>
        <w:t>:</w:t>
      </w:r>
    </w:p>
    <w:p w14:paraId="2F696514" w14:textId="1BBF4E8D" w:rsidR="002E2EEF" w:rsidRPr="00A12A85" w:rsidRDefault="008B32BF" w:rsidP="008B32BF">
      <w:pPr>
        <w:pStyle w:val="Odstavecseseznamem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12A85">
        <w:rPr>
          <w:sz w:val="22"/>
          <w:szCs w:val="22"/>
        </w:rPr>
        <w:t xml:space="preserve">Údržba a opravy </w:t>
      </w:r>
      <w:r w:rsidR="00A6632D" w:rsidRPr="00A12A85">
        <w:rPr>
          <w:sz w:val="22"/>
          <w:szCs w:val="22"/>
        </w:rPr>
        <w:t xml:space="preserve">vlečky Praha </w:t>
      </w:r>
      <w:r w:rsidR="0003250E">
        <w:rPr>
          <w:sz w:val="22"/>
          <w:szCs w:val="22"/>
        </w:rPr>
        <w:t>Malešice</w:t>
      </w:r>
      <w:r w:rsidR="00A6632D" w:rsidRPr="00A12A85">
        <w:rPr>
          <w:sz w:val="22"/>
          <w:szCs w:val="22"/>
        </w:rPr>
        <w:t xml:space="preserve"> dle specifikace a technických parametrů uvedených v příloze</w:t>
      </w:r>
      <w:r w:rsidR="00700FA3">
        <w:rPr>
          <w:sz w:val="22"/>
          <w:szCs w:val="22"/>
        </w:rPr>
        <w:t xml:space="preserve"> č. 1 a 2 této Smlouvy (</w:t>
      </w:r>
      <w:r w:rsidR="00A6632D" w:rsidRPr="00A12A85">
        <w:rPr>
          <w:sz w:val="22"/>
          <w:szCs w:val="22"/>
        </w:rPr>
        <w:t>dále jen „</w:t>
      </w:r>
      <w:r w:rsidR="00EA5EBD">
        <w:rPr>
          <w:b/>
          <w:sz w:val="22"/>
          <w:szCs w:val="22"/>
        </w:rPr>
        <w:t>Plnění</w:t>
      </w:r>
      <w:r w:rsidR="00A6632D" w:rsidRPr="00A12A85">
        <w:rPr>
          <w:sz w:val="22"/>
          <w:szCs w:val="22"/>
        </w:rPr>
        <w:t>“).</w:t>
      </w:r>
    </w:p>
    <w:p w14:paraId="43793C13" w14:textId="77777777" w:rsidR="002E2EEF" w:rsidRDefault="002E2EEF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Dodavatel se zavazuje </w:t>
      </w:r>
      <w:r w:rsidR="007A03BC">
        <w:rPr>
          <w:sz w:val="22"/>
          <w:szCs w:val="22"/>
        </w:rPr>
        <w:t>poskytnout Objednateli</w:t>
      </w:r>
      <w:r w:rsidR="007A03BC" w:rsidRPr="00C0634A">
        <w:rPr>
          <w:sz w:val="22"/>
          <w:szCs w:val="22"/>
        </w:rPr>
        <w:t xml:space="preserve"> </w:t>
      </w:r>
      <w:r w:rsidR="00BC11A8">
        <w:rPr>
          <w:sz w:val="22"/>
          <w:szCs w:val="22"/>
        </w:rPr>
        <w:t>specifikovaný</w:t>
      </w:r>
      <w:r w:rsidR="00AD2E2B">
        <w:rPr>
          <w:sz w:val="22"/>
          <w:szCs w:val="22"/>
        </w:rPr>
        <w:t xml:space="preserve"> </w:t>
      </w:r>
      <w:r w:rsidR="00636456">
        <w:rPr>
          <w:sz w:val="22"/>
          <w:szCs w:val="22"/>
        </w:rPr>
        <w:t>rozsah</w:t>
      </w:r>
      <w:r w:rsidR="00BC11A8">
        <w:rPr>
          <w:sz w:val="22"/>
          <w:szCs w:val="22"/>
        </w:rPr>
        <w:t xml:space="preserve"> </w:t>
      </w:r>
      <w:r w:rsidR="00AD2E2B">
        <w:rPr>
          <w:sz w:val="22"/>
          <w:szCs w:val="22"/>
        </w:rPr>
        <w:t>Plnění</w:t>
      </w:r>
      <w:r w:rsidR="00347164">
        <w:rPr>
          <w:sz w:val="22"/>
          <w:szCs w:val="22"/>
        </w:rPr>
        <w:t xml:space="preserve"> </w:t>
      </w:r>
      <w:r w:rsidR="00BC11A8">
        <w:rPr>
          <w:sz w:val="22"/>
          <w:szCs w:val="22"/>
        </w:rPr>
        <w:t xml:space="preserve">na základě Objednávky doručené Objednatelem Dodavateli a následně uzavřené Dílčí smlouvy. </w:t>
      </w:r>
    </w:p>
    <w:p w14:paraId="1D027993" w14:textId="77777777" w:rsidR="0023365C" w:rsidRPr="0023365C" w:rsidRDefault="0023365C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 xml:space="preserve">Objednávka musí obsahovat minimálně tyto náležitosti: </w:t>
      </w:r>
    </w:p>
    <w:p w14:paraId="02FEB99F" w14:textId="77777777" w:rsidR="006E79F1" w:rsidRPr="006E79F1" w:rsidRDefault="0023365C" w:rsidP="004F30CE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identifikační údaje Dodavatele a Objednatele;</w:t>
      </w:r>
    </w:p>
    <w:p w14:paraId="0123CB9A" w14:textId="77777777" w:rsidR="006E79F1" w:rsidRPr="006E79F1" w:rsidRDefault="0023365C" w:rsidP="004F30CE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a datum vystavení Objednávky;</w:t>
      </w:r>
    </w:p>
    <w:p w14:paraId="55468752" w14:textId="77777777" w:rsidR="006E79F1" w:rsidRPr="006E79F1" w:rsidRDefault="0023365C" w:rsidP="004F30CE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Smlouvy;</w:t>
      </w:r>
    </w:p>
    <w:p w14:paraId="0DC2445B" w14:textId="77777777" w:rsidR="006E79F1" w:rsidRPr="00C83EF1" w:rsidRDefault="0023365C" w:rsidP="00C83EF1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název </w:t>
      </w:r>
      <w:r w:rsidR="00AD2E2B">
        <w:rPr>
          <w:sz w:val="22"/>
          <w:szCs w:val="22"/>
        </w:rPr>
        <w:t>Plnění</w:t>
      </w:r>
      <w:r w:rsidR="00C83EF1">
        <w:rPr>
          <w:sz w:val="22"/>
          <w:szCs w:val="22"/>
        </w:rPr>
        <w:t xml:space="preserve">, </w:t>
      </w:r>
      <w:r w:rsidR="00BC11A8" w:rsidRPr="00C83EF1">
        <w:rPr>
          <w:sz w:val="22"/>
          <w:szCs w:val="22"/>
        </w:rPr>
        <w:t>je</w:t>
      </w:r>
      <w:r w:rsidR="00AD2E2B">
        <w:rPr>
          <w:sz w:val="22"/>
          <w:szCs w:val="22"/>
        </w:rPr>
        <w:t>ho</w:t>
      </w:r>
      <w:r w:rsidR="00BC11A8" w:rsidRPr="00C83EF1">
        <w:rPr>
          <w:sz w:val="22"/>
          <w:szCs w:val="22"/>
        </w:rPr>
        <w:t xml:space="preserve"> </w:t>
      </w:r>
      <w:r w:rsidRPr="00C83EF1">
        <w:rPr>
          <w:sz w:val="22"/>
          <w:szCs w:val="22"/>
        </w:rPr>
        <w:t>rozsah a popis;</w:t>
      </w:r>
    </w:p>
    <w:p w14:paraId="70C5092F" w14:textId="77777777" w:rsidR="006E79F1" w:rsidRPr="006E79F1" w:rsidRDefault="00BC11A8" w:rsidP="004F30CE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C</w:t>
      </w:r>
      <w:r w:rsidR="0023365C" w:rsidRPr="0023365C">
        <w:rPr>
          <w:sz w:val="22"/>
          <w:szCs w:val="22"/>
        </w:rPr>
        <w:t>enu;</w:t>
      </w:r>
    </w:p>
    <w:p w14:paraId="51FE3DC5" w14:textId="77777777" w:rsidR="006E79F1" w:rsidRPr="006E79F1" w:rsidRDefault="0023365C" w:rsidP="004F30CE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dobu a místo poskytnutí Plnění; a</w:t>
      </w:r>
    </w:p>
    <w:p w14:paraId="21948569" w14:textId="77777777" w:rsidR="0023365C" w:rsidRPr="009E775D" w:rsidRDefault="0023365C" w:rsidP="004F30CE">
      <w:pPr>
        <w:numPr>
          <w:ilvl w:val="0"/>
          <w:numId w:val="10"/>
        </w:numPr>
        <w:tabs>
          <w:tab w:val="clear" w:pos="206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Objednatele.</w:t>
      </w:r>
    </w:p>
    <w:p w14:paraId="59CED4A0" w14:textId="06EDAD9C" w:rsidR="003449D7" w:rsidRDefault="00BC11A8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D76D04">
        <w:rPr>
          <w:sz w:val="22"/>
          <w:szCs w:val="22"/>
        </w:rPr>
        <w:t xml:space="preserve">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>vystavovat dle svého uvážení Objednávky</w:t>
      </w:r>
      <w:r>
        <w:rPr>
          <w:sz w:val="22"/>
          <w:szCs w:val="22"/>
        </w:rPr>
        <w:t xml:space="preserve"> ode dne účinnosti této Smlouvy</w:t>
      </w:r>
      <w:r w:rsidRPr="00D76D04">
        <w:rPr>
          <w:sz w:val="22"/>
          <w:szCs w:val="22"/>
        </w:rPr>
        <w:t>. Každá takto vystavená Objednávka se považuje za návrh na uzavření smlouvy</w:t>
      </w:r>
      <w:r w:rsidR="00A6632D">
        <w:rPr>
          <w:sz w:val="22"/>
          <w:szCs w:val="22"/>
        </w:rPr>
        <w:t xml:space="preserve"> za podmínek stanovených touto Smlouvou. </w:t>
      </w:r>
      <w:r>
        <w:rPr>
          <w:sz w:val="22"/>
          <w:szCs w:val="22"/>
        </w:rPr>
        <w:t xml:space="preserve">Dodavatel je povinen písemně potvrdit Objednávku </w:t>
      </w:r>
      <w:r w:rsidRPr="0027728C">
        <w:rPr>
          <w:sz w:val="22"/>
          <w:szCs w:val="22"/>
        </w:rPr>
        <w:t>ve lhůtě dvou (2) Pracovních dnů od jejího doručení</w:t>
      </w:r>
      <w:r w:rsidR="003449D7">
        <w:rPr>
          <w:sz w:val="22"/>
          <w:szCs w:val="22"/>
        </w:rPr>
        <w:t xml:space="preserve"> Objednatelem.</w:t>
      </w:r>
      <w:r w:rsidR="001B51B6">
        <w:rPr>
          <w:sz w:val="22"/>
          <w:szCs w:val="22"/>
        </w:rPr>
        <w:t xml:space="preserve"> </w:t>
      </w:r>
      <w:r w:rsidR="00A6632D">
        <w:rPr>
          <w:sz w:val="22"/>
          <w:szCs w:val="22"/>
        </w:rPr>
        <w:t xml:space="preserve">Tato lhůta neplatí pro objednávky dle odst. </w:t>
      </w:r>
      <w:proofErr w:type="gramStart"/>
      <w:r w:rsidR="007D643B">
        <w:rPr>
          <w:sz w:val="22"/>
          <w:szCs w:val="22"/>
        </w:rPr>
        <w:t>3</w:t>
      </w:r>
      <w:r w:rsidR="00A6632D">
        <w:rPr>
          <w:sz w:val="22"/>
          <w:szCs w:val="22"/>
        </w:rPr>
        <w:t>.1. písm.</w:t>
      </w:r>
      <w:proofErr w:type="gramEnd"/>
      <w:r w:rsidR="00A6632D">
        <w:rPr>
          <w:sz w:val="22"/>
          <w:szCs w:val="22"/>
        </w:rPr>
        <w:t xml:space="preserve"> a), v těchto případech je Dodavatel povinen písemně (e-mailem) potvrdit Objednávku ve lhůtě 3 (tří) hodin od jejího doručení Objednatelem. </w:t>
      </w:r>
    </w:p>
    <w:p w14:paraId="6EBFE2E7" w14:textId="77777777" w:rsidR="0023365C" w:rsidRPr="003449D7" w:rsidRDefault="0023365C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3449D7">
        <w:rPr>
          <w:sz w:val="22"/>
          <w:szCs w:val="22"/>
        </w:rPr>
        <w:t xml:space="preserve">Potvrzení Objednávky musí obsahovat minimálně tyto náležitosti: </w:t>
      </w:r>
    </w:p>
    <w:p w14:paraId="52709D85" w14:textId="77777777" w:rsidR="006E79F1" w:rsidRPr="006E79F1" w:rsidRDefault="0023365C" w:rsidP="004F30CE">
      <w:pPr>
        <w:numPr>
          <w:ilvl w:val="1"/>
          <w:numId w:val="10"/>
        </w:numPr>
        <w:tabs>
          <w:tab w:val="clear" w:pos="192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identifikační údaje Objednatele a Dodavatele; </w:t>
      </w:r>
    </w:p>
    <w:p w14:paraId="4557DCD8" w14:textId="77777777" w:rsidR="006E79F1" w:rsidRPr="006E79F1" w:rsidRDefault="0023365C" w:rsidP="004F30CE">
      <w:pPr>
        <w:numPr>
          <w:ilvl w:val="1"/>
          <w:numId w:val="10"/>
        </w:numPr>
        <w:tabs>
          <w:tab w:val="clear" w:pos="192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číslo Objednávky, která je potvrzována; a </w:t>
      </w:r>
    </w:p>
    <w:p w14:paraId="56C02907" w14:textId="77777777" w:rsidR="0023365C" w:rsidRPr="009E775D" w:rsidRDefault="0023365C" w:rsidP="004F30CE">
      <w:pPr>
        <w:numPr>
          <w:ilvl w:val="1"/>
          <w:numId w:val="10"/>
        </w:numPr>
        <w:tabs>
          <w:tab w:val="clear" w:pos="192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Dodavatele.</w:t>
      </w:r>
    </w:p>
    <w:p w14:paraId="24F2D43A" w14:textId="1DBEB234" w:rsidR="00F83FB8" w:rsidRPr="009E775D" w:rsidRDefault="0023365C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 xml:space="preserve">V případě, že Objednávka nebude splňovat uvedené minimální náležitosti, má Dodavatel povinnost na tuto skutečnost neprodleně upozornit Objednatele. Objednatel je poté povinen vystavit novou Objednávku a Dodavatel je povinen ji ve lhůtě dvou (2) Pracovních dnů od jejího doručení písemně potvrdit. </w:t>
      </w:r>
      <w:r w:rsidR="00BC11A8">
        <w:rPr>
          <w:sz w:val="22"/>
          <w:szCs w:val="22"/>
        </w:rPr>
        <w:t xml:space="preserve">Není-li v odstavci </w:t>
      </w:r>
      <w:proofErr w:type="gramStart"/>
      <w:r w:rsidR="00C03E03">
        <w:rPr>
          <w:sz w:val="22"/>
          <w:szCs w:val="22"/>
        </w:rPr>
        <w:t>3</w:t>
      </w:r>
      <w:r w:rsidR="00BD0B4E">
        <w:rPr>
          <w:sz w:val="22"/>
          <w:szCs w:val="22"/>
        </w:rPr>
        <w:t>.1.</w:t>
      </w:r>
      <w:r w:rsidR="00CF1140">
        <w:rPr>
          <w:sz w:val="22"/>
          <w:szCs w:val="22"/>
        </w:rPr>
        <w:t xml:space="preserve"> </w:t>
      </w:r>
      <w:r w:rsidR="007D4A70">
        <w:rPr>
          <w:sz w:val="22"/>
          <w:szCs w:val="22"/>
        </w:rPr>
        <w:t>této</w:t>
      </w:r>
      <w:proofErr w:type="gramEnd"/>
      <w:r w:rsidR="007D4A70">
        <w:rPr>
          <w:sz w:val="22"/>
          <w:szCs w:val="22"/>
        </w:rPr>
        <w:t xml:space="preserve"> </w:t>
      </w:r>
      <w:r w:rsidR="00AD2E2B">
        <w:rPr>
          <w:sz w:val="22"/>
          <w:szCs w:val="22"/>
        </w:rPr>
        <w:t xml:space="preserve">Smlouvy </w:t>
      </w:r>
      <w:r w:rsidR="00CF1140">
        <w:rPr>
          <w:sz w:val="22"/>
          <w:szCs w:val="22"/>
        </w:rPr>
        <w:t>stanoveno jinak, běží d</w:t>
      </w:r>
      <w:r w:rsidRPr="0023365C">
        <w:rPr>
          <w:sz w:val="22"/>
          <w:szCs w:val="22"/>
        </w:rPr>
        <w:t>odací lhůta od okamžiku</w:t>
      </w:r>
      <w:r w:rsidR="007D4A70">
        <w:rPr>
          <w:sz w:val="22"/>
          <w:szCs w:val="22"/>
        </w:rPr>
        <w:t xml:space="preserve"> doručení této nové Objednávky, to neplatí v</w:t>
      </w:r>
      <w:r w:rsidR="00C03E03">
        <w:rPr>
          <w:sz w:val="22"/>
          <w:szCs w:val="22"/>
        </w:rPr>
        <w:t> případě Objednávky  dle odst. 3</w:t>
      </w:r>
      <w:r w:rsidR="007D4A70">
        <w:rPr>
          <w:sz w:val="22"/>
          <w:szCs w:val="22"/>
        </w:rPr>
        <w:t>.1. písm. a), zde dodací lhůta běží od okamžiku doručení původní Objednávky.</w:t>
      </w:r>
    </w:p>
    <w:p w14:paraId="12C47104" w14:textId="5136E023" w:rsidR="0023365C" w:rsidRDefault="00CF1DF0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45271D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nový návrh </w:t>
      </w:r>
      <w:r>
        <w:rPr>
          <w:color w:val="000000"/>
          <w:sz w:val="22"/>
          <w:szCs w:val="22"/>
        </w:rPr>
        <w:t xml:space="preserve">Dodavatele </w:t>
      </w:r>
      <w:r w:rsidRPr="0045271D">
        <w:rPr>
          <w:color w:val="000000"/>
          <w:sz w:val="22"/>
          <w:szCs w:val="22"/>
        </w:rPr>
        <w:t xml:space="preserve">na uzavření smlouvy, a to i v případě </w:t>
      </w:r>
      <w:r w:rsidRPr="0045271D">
        <w:rPr>
          <w:color w:val="000000"/>
          <w:sz w:val="22"/>
          <w:szCs w:val="22"/>
        </w:rPr>
        <w:lastRenderedPageBreak/>
        <w:t>takového dodatku, výhrady, omezení nebo jiné změny, které podstatně nemění podmí</w:t>
      </w:r>
      <w:r w:rsidR="007D4A70">
        <w:rPr>
          <w:color w:val="000000"/>
          <w:sz w:val="22"/>
          <w:szCs w:val="22"/>
        </w:rPr>
        <w:t>nky Objednávky. S</w:t>
      </w:r>
      <w:r w:rsidRPr="0045271D">
        <w:rPr>
          <w:color w:val="000000"/>
          <w:sz w:val="22"/>
          <w:szCs w:val="22"/>
        </w:rPr>
        <w:t xml:space="preserve">mlouva je v takovém případě uzavřena pouze tehdy, pokud tento nový návrh </w:t>
      </w:r>
      <w:r w:rsidR="00330BEB">
        <w:rPr>
          <w:color w:val="000000"/>
          <w:sz w:val="22"/>
          <w:szCs w:val="22"/>
        </w:rPr>
        <w:t xml:space="preserve">Objednatel </w:t>
      </w:r>
      <w:r w:rsidRPr="0045271D">
        <w:rPr>
          <w:color w:val="000000"/>
          <w:sz w:val="22"/>
          <w:szCs w:val="22"/>
        </w:rPr>
        <w:t>písemně potvrdí a doručí zpět</w:t>
      </w:r>
      <w:r w:rsidR="00330BEB">
        <w:rPr>
          <w:color w:val="000000"/>
          <w:sz w:val="22"/>
          <w:szCs w:val="22"/>
        </w:rPr>
        <w:t xml:space="preserve"> Dodavateli</w:t>
      </w:r>
      <w:r w:rsidRPr="0045271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153065EC" w14:textId="77777777" w:rsidR="0023365C" w:rsidRDefault="007A03BC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C0634A">
        <w:rPr>
          <w:sz w:val="22"/>
          <w:szCs w:val="22"/>
        </w:rPr>
        <w:t xml:space="preserve">Počet Objednávek vystavených </w:t>
      </w:r>
      <w:r>
        <w:rPr>
          <w:sz w:val="22"/>
          <w:szCs w:val="22"/>
        </w:rPr>
        <w:t xml:space="preserve">Objednatelem </w:t>
      </w:r>
      <w:r w:rsidRPr="00C0634A">
        <w:rPr>
          <w:sz w:val="22"/>
          <w:szCs w:val="22"/>
        </w:rPr>
        <w:t xml:space="preserve">není omezený. Současně platí, že </w:t>
      </w:r>
      <w:r>
        <w:rPr>
          <w:sz w:val="22"/>
          <w:szCs w:val="22"/>
        </w:rPr>
        <w:t xml:space="preserve">Objednatel </w:t>
      </w:r>
      <w:r w:rsidRPr="00C0634A">
        <w:rPr>
          <w:sz w:val="22"/>
          <w:szCs w:val="22"/>
        </w:rPr>
        <w:t>není povinen Objednávku vystavit</w:t>
      </w:r>
      <w:r>
        <w:rPr>
          <w:sz w:val="22"/>
          <w:szCs w:val="22"/>
        </w:rPr>
        <w:t>.</w:t>
      </w:r>
    </w:p>
    <w:p w14:paraId="7CC2BC70" w14:textId="77777777" w:rsidR="007A03BC" w:rsidRPr="00F83FB8" w:rsidRDefault="00A82D19" w:rsidP="004F30CE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D7686">
        <w:rPr>
          <w:sz w:val="22"/>
          <w:szCs w:val="22"/>
        </w:rPr>
        <w:t xml:space="preserve"> se zavazuje </w:t>
      </w:r>
      <w:r>
        <w:rPr>
          <w:sz w:val="22"/>
          <w:szCs w:val="22"/>
        </w:rPr>
        <w:t xml:space="preserve">poskytnout Objednateli </w:t>
      </w:r>
      <w:r w:rsidR="00DA4EC9">
        <w:rPr>
          <w:sz w:val="22"/>
          <w:szCs w:val="22"/>
        </w:rPr>
        <w:t>P</w:t>
      </w:r>
      <w:r w:rsidRPr="002D7686">
        <w:rPr>
          <w:sz w:val="22"/>
          <w:szCs w:val="22"/>
        </w:rPr>
        <w:t>lnění</w:t>
      </w:r>
      <w:r w:rsidR="00CF1140">
        <w:rPr>
          <w:sz w:val="22"/>
          <w:szCs w:val="22"/>
        </w:rPr>
        <w:t xml:space="preserve"> </w:t>
      </w:r>
      <w:r w:rsidRPr="002D7686">
        <w:rPr>
          <w:sz w:val="22"/>
          <w:szCs w:val="22"/>
        </w:rPr>
        <w:t>za podmínek uvedených v této Smlouvě a v</w:t>
      </w:r>
      <w:r w:rsidR="00CF1140">
        <w:rPr>
          <w:sz w:val="22"/>
          <w:szCs w:val="22"/>
        </w:rPr>
        <w:t xml:space="preserve"> Dílčí </w:t>
      </w:r>
      <w:r>
        <w:rPr>
          <w:sz w:val="22"/>
          <w:szCs w:val="22"/>
        </w:rPr>
        <w:t>smlouvě</w:t>
      </w:r>
      <w:r w:rsidRPr="002D7686">
        <w:rPr>
          <w:sz w:val="22"/>
          <w:szCs w:val="22"/>
        </w:rPr>
        <w:t xml:space="preserve"> ve sjednaném </w:t>
      </w:r>
      <w:r>
        <w:rPr>
          <w:sz w:val="22"/>
          <w:szCs w:val="22"/>
        </w:rPr>
        <w:t xml:space="preserve">rozsahu, </w:t>
      </w:r>
      <w:r w:rsidRPr="002D7686">
        <w:rPr>
          <w:sz w:val="22"/>
          <w:szCs w:val="22"/>
        </w:rPr>
        <w:t xml:space="preserve">jakosti a čase. </w:t>
      </w:r>
    </w:p>
    <w:p w14:paraId="55C40D3F" w14:textId="77777777" w:rsidR="002744D5" w:rsidRDefault="002E2EEF" w:rsidP="004A6EC9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4A6EC9">
        <w:rPr>
          <w:sz w:val="22"/>
          <w:szCs w:val="22"/>
        </w:rPr>
        <w:t>Obje</w:t>
      </w:r>
      <w:r w:rsidR="007B4C4D" w:rsidRPr="004A6EC9">
        <w:rPr>
          <w:sz w:val="22"/>
          <w:szCs w:val="22"/>
        </w:rPr>
        <w:t xml:space="preserve">dnatel se zavazuje zaplatit za </w:t>
      </w:r>
      <w:r w:rsidR="00DA4EC9" w:rsidRPr="004A6EC9">
        <w:rPr>
          <w:sz w:val="22"/>
          <w:szCs w:val="22"/>
        </w:rPr>
        <w:t>P</w:t>
      </w:r>
      <w:r w:rsidR="0096343C" w:rsidRPr="004A6EC9">
        <w:rPr>
          <w:sz w:val="22"/>
          <w:szCs w:val="22"/>
        </w:rPr>
        <w:t>lnění poskytnut</w:t>
      </w:r>
      <w:r w:rsidR="00DA4EC9" w:rsidRPr="004A6EC9">
        <w:rPr>
          <w:sz w:val="22"/>
          <w:szCs w:val="22"/>
        </w:rPr>
        <w:t>é</w:t>
      </w:r>
      <w:r w:rsidR="0096343C" w:rsidRPr="004A6EC9">
        <w:rPr>
          <w:sz w:val="22"/>
          <w:szCs w:val="22"/>
        </w:rPr>
        <w:t xml:space="preserve"> </w:t>
      </w:r>
      <w:r w:rsidRPr="004A6EC9">
        <w:rPr>
          <w:sz w:val="22"/>
          <w:szCs w:val="22"/>
        </w:rPr>
        <w:t xml:space="preserve">v souladu s touto Smlouvou a </w:t>
      </w:r>
      <w:r w:rsidR="002278E6" w:rsidRPr="004A6EC9">
        <w:rPr>
          <w:sz w:val="22"/>
          <w:szCs w:val="22"/>
        </w:rPr>
        <w:t xml:space="preserve">Dílčí </w:t>
      </w:r>
      <w:r w:rsidR="00A82D19" w:rsidRPr="004A6EC9">
        <w:rPr>
          <w:sz w:val="22"/>
          <w:szCs w:val="22"/>
        </w:rPr>
        <w:t xml:space="preserve">smlouvou </w:t>
      </w:r>
      <w:r w:rsidR="0096343C" w:rsidRPr="004A6EC9">
        <w:rPr>
          <w:sz w:val="22"/>
          <w:szCs w:val="22"/>
        </w:rPr>
        <w:t>C</w:t>
      </w:r>
      <w:r w:rsidR="007B4C4D" w:rsidRPr="004A6EC9">
        <w:rPr>
          <w:sz w:val="22"/>
          <w:szCs w:val="22"/>
        </w:rPr>
        <w:t>enu</w:t>
      </w:r>
      <w:r w:rsidR="008B0F06" w:rsidRPr="004A6EC9">
        <w:rPr>
          <w:sz w:val="22"/>
          <w:szCs w:val="22"/>
        </w:rPr>
        <w:t xml:space="preserve"> dle čl</w:t>
      </w:r>
      <w:r w:rsidR="00A82D19" w:rsidRPr="004A6EC9">
        <w:rPr>
          <w:sz w:val="22"/>
          <w:szCs w:val="22"/>
        </w:rPr>
        <w:t>ánku</w:t>
      </w:r>
      <w:r w:rsidR="008B0F06" w:rsidRPr="004A6EC9">
        <w:rPr>
          <w:sz w:val="22"/>
          <w:szCs w:val="22"/>
        </w:rPr>
        <w:t xml:space="preserve"> 2</w:t>
      </w:r>
      <w:r w:rsidR="00071A62" w:rsidRPr="004A6EC9">
        <w:rPr>
          <w:sz w:val="22"/>
          <w:szCs w:val="22"/>
        </w:rPr>
        <w:t>.</w:t>
      </w:r>
      <w:r w:rsidR="007B4C4D" w:rsidRPr="004A6EC9">
        <w:rPr>
          <w:sz w:val="22"/>
          <w:szCs w:val="22"/>
        </w:rPr>
        <w:t xml:space="preserve"> této Smlouvy</w:t>
      </w:r>
      <w:r w:rsidRPr="004A6EC9">
        <w:rPr>
          <w:sz w:val="22"/>
          <w:szCs w:val="22"/>
        </w:rPr>
        <w:t>.</w:t>
      </w:r>
      <w:r w:rsidR="00D55613" w:rsidRPr="004A6EC9">
        <w:rPr>
          <w:sz w:val="22"/>
          <w:szCs w:val="22"/>
        </w:rPr>
        <w:t xml:space="preserve">  </w:t>
      </w:r>
    </w:p>
    <w:p w14:paraId="41417A0E" w14:textId="0F6E22D7" w:rsidR="007D4A70" w:rsidRPr="004A6EC9" w:rsidRDefault="007D4A70" w:rsidP="004A6EC9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Objednatel je kromě Služeb uvedených v příloze  č. 2 Smlouvy oprávněn objednat ve výjimečných případech na základě Objednávky dle odst. </w:t>
      </w:r>
      <w:proofErr w:type="gramStart"/>
      <w:r>
        <w:rPr>
          <w:sz w:val="22"/>
          <w:szCs w:val="22"/>
        </w:rPr>
        <w:t>1.5. této</w:t>
      </w:r>
      <w:proofErr w:type="gramEnd"/>
      <w:r>
        <w:rPr>
          <w:sz w:val="22"/>
          <w:szCs w:val="22"/>
        </w:rPr>
        <w:t xml:space="preserve"> Smlouvy a v souladu s čl. 2.4. této Smlouvy i další služby související s opravami a údržbou vlečky, které v této Smlouvě nejsou výslovně uvedené ( dále jen „ </w:t>
      </w:r>
      <w:r w:rsidRPr="007D4A70">
        <w:rPr>
          <w:b/>
          <w:sz w:val="22"/>
          <w:szCs w:val="22"/>
        </w:rPr>
        <w:t>Doplňující servis</w:t>
      </w:r>
      <w:r>
        <w:rPr>
          <w:sz w:val="22"/>
          <w:szCs w:val="22"/>
        </w:rPr>
        <w:t>“).</w:t>
      </w:r>
    </w:p>
    <w:p w14:paraId="0A45F6EB" w14:textId="77777777" w:rsidR="002E2EEF" w:rsidRPr="00964DAC" w:rsidRDefault="002E2EEF" w:rsidP="004F30CE">
      <w:pPr>
        <w:pStyle w:val="Nadpis1"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Cena</w:t>
      </w:r>
    </w:p>
    <w:p w14:paraId="391E3943" w14:textId="77777777" w:rsidR="00CC550A" w:rsidRDefault="00A82D19" w:rsidP="004F30CE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FE0F43">
        <w:rPr>
          <w:sz w:val="22"/>
          <w:szCs w:val="22"/>
        </w:rPr>
        <w:t xml:space="preserve">Cena za poskytnutí </w:t>
      </w:r>
      <w:r w:rsidR="00DA4EC9">
        <w:rPr>
          <w:sz w:val="22"/>
          <w:szCs w:val="22"/>
        </w:rPr>
        <w:t>P</w:t>
      </w:r>
      <w:r w:rsidRPr="00FE0F43">
        <w:rPr>
          <w:sz w:val="22"/>
          <w:szCs w:val="22"/>
        </w:rPr>
        <w:t xml:space="preserve">lnění Dodavatelem </w:t>
      </w:r>
      <w:r w:rsidR="00DC5EDF">
        <w:rPr>
          <w:sz w:val="22"/>
          <w:szCs w:val="22"/>
        </w:rPr>
        <w:t xml:space="preserve">odpovídá součinu jednotkových cen jednotlivých složek Plnění a počtu složek Plnění </w:t>
      </w:r>
      <w:r w:rsidR="00ED7FE3">
        <w:rPr>
          <w:sz w:val="22"/>
          <w:szCs w:val="22"/>
        </w:rPr>
        <w:t xml:space="preserve">poskytnutých </w:t>
      </w:r>
      <w:r w:rsidR="00DC5EDF">
        <w:rPr>
          <w:sz w:val="22"/>
          <w:szCs w:val="22"/>
        </w:rPr>
        <w:t xml:space="preserve">Objednateli na základě Dílčí smlouvy </w:t>
      </w:r>
      <w:r w:rsidRPr="00FE0F43">
        <w:rPr>
          <w:sz w:val="22"/>
          <w:szCs w:val="22"/>
        </w:rPr>
        <w:t>(dále jen „</w:t>
      </w:r>
      <w:r w:rsidRPr="00FE0F43">
        <w:rPr>
          <w:b/>
          <w:sz w:val="22"/>
          <w:szCs w:val="22"/>
        </w:rPr>
        <w:t>Cena</w:t>
      </w:r>
      <w:r w:rsidRPr="00FE0F43">
        <w:rPr>
          <w:sz w:val="22"/>
          <w:szCs w:val="22"/>
        </w:rPr>
        <w:t xml:space="preserve">“). Cena za </w:t>
      </w:r>
      <w:r>
        <w:rPr>
          <w:sz w:val="22"/>
          <w:szCs w:val="22"/>
        </w:rPr>
        <w:t xml:space="preserve">poskytnutí jednotlivých složek </w:t>
      </w:r>
      <w:r w:rsidR="00DA4EC9">
        <w:rPr>
          <w:sz w:val="22"/>
          <w:szCs w:val="22"/>
        </w:rPr>
        <w:t>P</w:t>
      </w:r>
      <w:r>
        <w:rPr>
          <w:sz w:val="22"/>
          <w:szCs w:val="22"/>
        </w:rPr>
        <w:t xml:space="preserve">lnění je uvedena </w:t>
      </w:r>
      <w:r w:rsidR="00ED7FE3">
        <w:rPr>
          <w:sz w:val="22"/>
          <w:szCs w:val="22"/>
        </w:rPr>
        <w:t>v Příloze</w:t>
      </w:r>
      <w:r w:rsidR="002E2EEF" w:rsidRPr="008B701E">
        <w:rPr>
          <w:sz w:val="22"/>
          <w:szCs w:val="22"/>
        </w:rPr>
        <w:t xml:space="preserve"> č. 2. této Smlouvy.</w:t>
      </w:r>
    </w:p>
    <w:p w14:paraId="57879967" w14:textId="77777777" w:rsidR="00156B13" w:rsidRDefault="00156B13" w:rsidP="004F30CE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bookmarkStart w:id="0" w:name="_Ref331179743"/>
      <w:r w:rsidRPr="008A5191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každé jednotlivé složky Plnění </w:t>
      </w:r>
      <w:r w:rsidRPr="008A5191">
        <w:rPr>
          <w:sz w:val="22"/>
          <w:szCs w:val="22"/>
        </w:rPr>
        <w:t>zahrnuje veškeré náklady Dodavatele spojené s plněním Smlouvy</w:t>
      </w:r>
      <w:r>
        <w:rPr>
          <w:sz w:val="22"/>
          <w:szCs w:val="22"/>
        </w:rPr>
        <w:t>, Dílčí smlouvy</w:t>
      </w:r>
      <w:r w:rsidRPr="008A5191">
        <w:rPr>
          <w:sz w:val="22"/>
          <w:szCs w:val="22"/>
        </w:rPr>
        <w:t xml:space="preserve"> a </w:t>
      </w:r>
      <w:r>
        <w:rPr>
          <w:sz w:val="22"/>
          <w:szCs w:val="22"/>
        </w:rPr>
        <w:t>poskytnutím</w:t>
      </w:r>
      <w:r w:rsidRPr="008A5191">
        <w:rPr>
          <w:sz w:val="22"/>
          <w:szCs w:val="22"/>
        </w:rPr>
        <w:t xml:space="preserve"> Plnění Objednateli. </w:t>
      </w:r>
      <w:r>
        <w:rPr>
          <w:sz w:val="22"/>
          <w:szCs w:val="22"/>
        </w:rPr>
        <w:t>Tato c</w:t>
      </w:r>
      <w:r w:rsidRPr="008A5191">
        <w:rPr>
          <w:sz w:val="22"/>
          <w:szCs w:val="22"/>
        </w:rPr>
        <w:t>ena je cenou konečnou, nejvýše přípustnou a nemůže být zvýšena bez předchozího písemného souhlasu Objednatele</w:t>
      </w:r>
      <w:r>
        <w:rPr>
          <w:sz w:val="22"/>
          <w:szCs w:val="22"/>
        </w:rPr>
        <w:t>.</w:t>
      </w:r>
    </w:p>
    <w:p w14:paraId="0814EB00" w14:textId="7CB245A2" w:rsidR="0023365C" w:rsidRPr="00D626D6" w:rsidRDefault="00F538AD" w:rsidP="00156B13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Maximální</w:t>
      </w:r>
      <w:r w:rsidR="00DD1099">
        <w:rPr>
          <w:sz w:val="22"/>
          <w:szCs w:val="22"/>
        </w:rPr>
        <w:t xml:space="preserve"> cena </w:t>
      </w:r>
      <w:r w:rsidR="00A3038E">
        <w:rPr>
          <w:sz w:val="22"/>
          <w:szCs w:val="22"/>
        </w:rPr>
        <w:t xml:space="preserve">plnění </w:t>
      </w:r>
      <w:r w:rsidR="00DD1099">
        <w:rPr>
          <w:sz w:val="22"/>
          <w:szCs w:val="22"/>
        </w:rPr>
        <w:t xml:space="preserve">poskytnutého na základě této Smlouvy nesmí převýšit částku </w:t>
      </w:r>
      <w:r w:rsidR="00D626D6" w:rsidRPr="00D626D6">
        <w:rPr>
          <w:b/>
          <w:sz w:val="22"/>
          <w:szCs w:val="22"/>
        </w:rPr>
        <w:t>4.000.000</w:t>
      </w:r>
      <w:r w:rsidR="0023365C" w:rsidRPr="00D626D6">
        <w:rPr>
          <w:b/>
          <w:sz w:val="22"/>
          <w:szCs w:val="22"/>
        </w:rPr>
        <w:t>,- Kč bez DPH.</w:t>
      </w:r>
      <w:bookmarkEnd w:id="0"/>
    </w:p>
    <w:p w14:paraId="14F3AE7C" w14:textId="2EB52476" w:rsidR="00D626D6" w:rsidRPr="00D626D6" w:rsidRDefault="00D626D6" w:rsidP="00156B13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626D6">
        <w:rPr>
          <w:sz w:val="22"/>
          <w:szCs w:val="22"/>
        </w:rPr>
        <w:t xml:space="preserve">Maximální cena za Doplňující servis dle odst. </w:t>
      </w:r>
      <w:proofErr w:type="gramStart"/>
      <w:r w:rsidRPr="00D626D6">
        <w:rPr>
          <w:sz w:val="22"/>
          <w:szCs w:val="22"/>
        </w:rPr>
        <w:t>1.12. této</w:t>
      </w:r>
      <w:proofErr w:type="gramEnd"/>
      <w:r w:rsidRPr="00D626D6">
        <w:rPr>
          <w:sz w:val="22"/>
          <w:szCs w:val="22"/>
        </w:rPr>
        <w:t xml:space="preserve"> Smlouvy a materiál použitý a samostatně účtovaný při provedení Služby (</w:t>
      </w:r>
      <w:r>
        <w:rPr>
          <w:sz w:val="22"/>
          <w:szCs w:val="22"/>
        </w:rPr>
        <w:t xml:space="preserve">vlečkový spojovací materiál) dle odst. 1.2. této Smlouvy za dobu účinnosti této Smlouvy  činí </w:t>
      </w:r>
      <w:r w:rsidRPr="00D626D6">
        <w:rPr>
          <w:b/>
          <w:sz w:val="22"/>
          <w:szCs w:val="22"/>
        </w:rPr>
        <w:t>400.000,- Kč bez DPH</w:t>
      </w:r>
      <w:r>
        <w:rPr>
          <w:b/>
          <w:sz w:val="22"/>
          <w:szCs w:val="22"/>
        </w:rPr>
        <w:t xml:space="preserve">. </w:t>
      </w:r>
      <w:r w:rsidRPr="00D626D6">
        <w:rPr>
          <w:sz w:val="22"/>
          <w:szCs w:val="22"/>
        </w:rPr>
        <w:t>Doplňující servis bude účtován dle platného</w:t>
      </w:r>
      <w:r>
        <w:rPr>
          <w:sz w:val="22"/>
          <w:szCs w:val="22"/>
        </w:rPr>
        <w:t xml:space="preserve"> ceníku Dodavatele, nikoliv však cenou vyšší než obvyklou.</w:t>
      </w:r>
    </w:p>
    <w:p w14:paraId="6E4E1A1B" w14:textId="77777777" w:rsidR="00E62CAB" w:rsidRPr="00964DAC" w:rsidRDefault="00E62CAB" w:rsidP="00E62CAB">
      <w:pPr>
        <w:pStyle w:val="Nadpis1"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 xml:space="preserve">Doba, místo a podmínky </w:t>
      </w:r>
      <w:r>
        <w:rPr>
          <w:rFonts w:ascii="Times New Roman" w:hAnsi="Times New Roman" w:cs="Times New Roman"/>
          <w:sz w:val="22"/>
          <w:szCs w:val="22"/>
        </w:rPr>
        <w:t>poskytování P</w:t>
      </w:r>
      <w:r w:rsidRPr="00964DAC">
        <w:rPr>
          <w:rFonts w:ascii="Times New Roman" w:hAnsi="Times New Roman" w:cs="Times New Roman"/>
          <w:sz w:val="22"/>
          <w:szCs w:val="22"/>
        </w:rPr>
        <w:t xml:space="preserve">lnění </w:t>
      </w:r>
    </w:p>
    <w:p w14:paraId="63A17A9E" w14:textId="77777777" w:rsidR="00D626D6" w:rsidRDefault="00E62CAB" w:rsidP="00E62CAB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Dodavatel je povinen poskytnout </w:t>
      </w:r>
      <w:r>
        <w:rPr>
          <w:sz w:val="22"/>
          <w:szCs w:val="22"/>
        </w:rPr>
        <w:t>P</w:t>
      </w:r>
      <w:r w:rsidRPr="008B701E">
        <w:rPr>
          <w:sz w:val="22"/>
          <w:szCs w:val="22"/>
        </w:rPr>
        <w:t xml:space="preserve">lnění a předat jej Objednateli </w:t>
      </w:r>
      <w:r w:rsidR="00D626D6">
        <w:rPr>
          <w:sz w:val="22"/>
          <w:szCs w:val="22"/>
        </w:rPr>
        <w:t>v níže uvedených termínech:</w:t>
      </w:r>
    </w:p>
    <w:p w14:paraId="454C655C" w14:textId="0E973B87" w:rsidR="00E62CAB" w:rsidRDefault="000D1C60" w:rsidP="00D626D6">
      <w:pPr>
        <w:pStyle w:val="Odstavec2"/>
        <w:numPr>
          <w:ilvl w:val="0"/>
          <w:numId w:val="1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D626D6">
        <w:rPr>
          <w:sz w:val="22"/>
          <w:szCs w:val="22"/>
        </w:rPr>
        <w:t xml:space="preserve">ři odstranění závad omezující provoz vlečky </w:t>
      </w:r>
      <w:r w:rsidR="00D626D6" w:rsidRPr="000D1C60">
        <w:rPr>
          <w:b/>
          <w:sz w:val="22"/>
          <w:szCs w:val="22"/>
        </w:rPr>
        <w:t>do 12 hodin</w:t>
      </w:r>
      <w:r w:rsidR="00D626D6">
        <w:rPr>
          <w:sz w:val="22"/>
          <w:szCs w:val="22"/>
        </w:rPr>
        <w:t xml:space="preserve"> od písemného nahlášení (na email</w:t>
      </w:r>
      <w:r w:rsidR="00271D7E">
        <w:rPr>
          <w:sz w:val="22"/>
          <w:szCs w:val="22"/>
        </w:rPr>
        <w:t xml:space="preserve">: </w:t>
      </w:r>
      <w:proofErr w:type="spellStart"/>
      <w:r w:rsidR="00795318">
        <w:rPr>
          <w:rStyle w:val="Hypertextovodkaz"/>
          <w:i/>
          <w:sz w:val="22"/>
          <w:szCs w:val="22"/>
        </w:rPr>
        <w:t>xxx</w:t>
      </w:r>
      <w:proofErr w:type="spellEnd"/>
      <w:r w:rsidR="00D626D6">
        <w:rPr>
          <w:sz w:val="22"/>
          <w:szCs w:val="22"/>
        </w:rPr>
        <w:t>, nedohodnou-li se Smluvní strany jinak,</w:t>
      </w:r>
    </w:p>
    <w:p w14:paraId="4C18332F" w14:textId="4EFDF7A1" w:rsidR="00D626D6" w:rsidRDefault="000D1C60" w:rsidP="00D626D6">
      <w:pPr>
        <w:pStyle w:val="Odstavec2"/>
        <w:numPr>
          <w:ilvl w:val="0"/>
          <w:numId w:val="1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D626D6">
        <w:rPr>
          <w:sz w:val="22"/>
          <w:szCs w:val="22"/>
        </w:rPr>
        <w:t xml:space="preserve">ermín pro odstranění </w:t>
      </w:r>
      <w:r>
        <w:rPr>
          <w:sz w:val="22"/>
          <w:szCs w:val="22"/>
        </w:rPr>
        <w:t xml:space="preserve">ostatních </w:t>
      </w:r>
      <w:r w:rsidR="00633F1D">
        <w:rPr>
          <w:sz w:val="22"/>
          <w:szCs w:val="22"/>
        </w:rPr>
        <w:t>závad</w:t>
      </w:r>
      <w:r>
        <w:rPr>
          <w:sz w:val="22"/>
          <w:szCs w:val="22"/>
        </w:rPr>
        <w:t xml:space="preserve"> </w:t>
      </w:r>
      <w:r w:rsidRPr="000D1C60">
        <w:rPr>
          <w:b/>
          <w:sz w:val="22"/>
          <w:szCs w:val="22"/>
        </w:rPr>
        <w:t>do 20 kalendářních dnů</w:t>
      </w:r>
      <w:r>
        <w:rPr>
          <w:sz w:val="22"/>
          <w:szCs w:val="22"/>
        </w:rPr>
        <w:t>, od potvrzení objednávky, nedohodnou-li se Smluvní strany jinak.</w:t>
      </w:r>
    </w:p>
    <w:p w14:paraId="093992B5" w14:textId="5ACE949D" w:rsidR="000D1C60" w:rsidRDefault="000D1C60" w:rsidP="00D626D6">
      <w:pPr>
        <w:pStyle w:val="Odstavec2"/>
        <w:numPr>
          <w:ilvl w:val="0"/>
          <w:numId w:val="1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termín pro výměnu pražců </w:t>
      </w:r>
      <w:r w:rsidRPr="000D1C60">
        <w:rPr>
          <w:b/>
          <w:sz w:val="22"/>
          <w:szCs w:val="22"/>
        </w:rPr>
        <w:t>do 60 kalendářních dnů</w:t>
      </w:r>
      <w:r>
        <w:rPr>
          <w:sz w:val="22"/>
          <w:szCs w:val="22"/>
        </w:rPr>
        <w:t xml:space="preserve">, od potvrzení objednávky, nedohodnou-li se Smluvní strany jinak. </w:t>
      </w:r>
    </w:p>
    <w:p w14:paraId="1ED95576" w14:textId="19DF004E" w:rsidR="00E62CAB" w:rsidRDefault="000D1C60" w:rsidP="00E62CAB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 prodlení Dodavatele s provedením sjednaných Služeb dle této Smlouvy, odlišně od ujednání v příloze č. </w:t>
      </w:r>
      <w:r w:rsidR="00700FA3">
        <w:rPr>
          <w:sz w:val="22"/>
          <w:szCs w:val="22"/>
        </w:rPr>
        <w:t>3</w:t>
      </w:r>
      <w:r>
        <w:rPr>
          <w:sz w:val="22"/>
          <w:szCs w:val="22"/>
        </w:rPr>
        <w:t xml:space="preserve"> této Smlouvy (Všeobecné obchodní podmínky), je Dodavatel povinen uhradit Objednateli Smluvní pokutu ve výši:</w:t>
      </w:r>
    </w:p>
    <w:p w14:paraId="47644F41" w14:textId="6729EBDF" w:rsidR="000D1C60" w:rsidRDefault="000D1C60" w:rsidP="000D1C60">
      <w:pPr>
        <w:pStyle w:val="Odstavec2"/>
        <w:numPr>
          <w:ilvl w:val="0"/>
          <w:numId w:val="1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prodlení plnění Služby dle odst. </w:t>
      </w:r>
      <w:proofErr w:type="gramStart"/>
      <w:r w:rsidR="007D643B">
        <w:rPr>
          <w:sz w:val="22"/>
          <w:szCs w:val="22"/>
        </w:rPr>
        <w:t>3</w:t>
      </w:r>
      <w:r>
        <w:rPr>
          <w:sz w:val="22"/>
          <w:szCs w:val="22"/>
        </w:rPr>
        <w:t>.1. písm.</w:t>
      </w:r>
      <w:proofErr w:type="gramEnd"/>
      <w:r>
        <w:rPr>
          <w:sz w:val="22"/>
          <w:szCs w:val="22"/>
        </w:rPr>
        <w:t xml:space="preserve"> a) této Smlouvy – za každou započatou hodinu prodlení částku ve výši 2.000,- Kč.</w:t>
      </w:r>
    </w:p>
    <w:p w14:paraId="6D5D7D5B" w14:textId="4E4ABEAD" w:rsidR="000D1C60" w:rsidRDefault="000D1C60" w:rsidP="000D1C60">
      <w:pPr>
        <w:pStyle w:val="Odstavec2"/>
        <w:numPr>
          <w:ilvl w:val="0"/>
          <w:numId w:val="1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prodlení plnění Služby dle odst. </w:t>
      </w:r>
      <w:proofErr w:type="gramStart"/>
      <w:r w:rsidR="007D643B">
        <w:rPr>
          <w:sz w:val="22"/>
          <w:szCs w:val="22"/>
        </w:rPr>
        <w:t>3</w:t>
      </w:r>
      <w:r>
        <w:rPr>
          <w:sz w:val="22"/>
          <w:szCs w:val="22"/>
        </w:rPr>
        <w:t>.1. písm.</w:t>
      </w:r>
      <w:proofErr w:type="gramEnd"/>
      <w:r>
        <w:rPr>
          <w:sz w:val="22"/>
          <w:szCs w:val="22"/>
        </w:rPr>
        <w:t xml:space="preserve"> b) této Smlouvy– za každý započatý kalendářní den prodlení částku ve výši 2.000,- Kč.</w:t>
      </w:r>
    </w:p>
    <w:p w14:paraId="35FF3A2C" w14:textId="2481C592" w:rsidR="000D1C60" w:rsidRDefault="000D1C60" w:rsidP="000D1C60">
      <w:pPr>
        <w:pStyle w:val="Odstavec2"/>
        <w:numPr>
          <w:ilvl w:val="0"/>
          <w:numId w:val="1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Prodlení plnění služby dle odst. </w:t>
      </w:r>
      <w:proofErr w:type="gramStart"/>
      <w:r w:rsidR="007D643B">
        <w:rPr>
          <w:sz w:val="22"/>
          <w:szCs w:val="22"/>
        </w:rPr>
        <w:t>3</w:t>
      </w:r>
      <w:r>
        <w:rPr>
          <w:sz w:val="22"/>
          <w:szCs w:val="22"/>
        </w:rPr>
        <w:t>.1. písm.</w:t>
      </w:r>
      <w:proofErr w:type="gramEnd"/>
      <w:r>
        <w:rPr>
          <w:sz w:val="22"/>
          <w:szCs w:val="22"/>
        </w:rPr>
        <w:t xml:space="preserve"> c) této Smlouvy – za každý započatý kalendářní den prodlení částku ve výši 1.000,-Kč.</w:t>
      </w:r>
    </w:p>
    <w:p w14:paraId="1A8436B6" w14:textId="0F731025" w:rsidR="000D1C60" w:rsidRPr="008B701E" w:rsidRDefault="000D1C60" w:rsidP="00E62CAB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Místem </w:t>
      </w:r>
      <w:r>
        <w:rPr>
          <w:sz w:val="22"/>
          <w:szCs w:val="22"/>
        </w:rPr>
        <w:t>P</w:t>
      </w:r>
      <w:r w:rsidRPr="008B701E">
        <w:rPr>
          <w:sz w:val="22"/>
          <w:szCs w:val="22"/>
        </w:rPr>
        <w:t xml:space="preserve">lnění je </w:t>
      </w:r>
      <w:r>
        <w:rPr>
          <w:sz w:val="22"/>
          <w:szCs w:val="22"/>
        </w:rPr>
        <w:t>myšlen objekt Praha Malešice, Sazečská 598/7,</w:t>
      </w:r>
      <w:r w:rsidR="00434016">
        <w:rPr>
          <w:sz w:val="22"/>
          <w:szCs w:val="22"/>
        </w:rPr>
        <w:t xml:space="preserve"> Praha 10.</w:t>
      </w:r>
      <w:r w:rsidRPr="008B701E">
        <w:rPr>
          <w:sz w:val="22"/>
          <w:szCs w:val="22"/>
        </w:rPr>
        <w:t xml:space="preserve"> </w:t>
      </w:r>
    </w:p>
    <w:p w14:paraId="12B05DF2" w14:textId="77777777" w:rsidR="00E62CAB" w:rsidRDefault="00E62CAB" w:rsidP="00E62CAB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Termín </w:t>
      </w:r>
      <w:r>
        <w:rPr>
          <w:sz w:val="22"/>
          <w:szCs w:val="22"/>
        </w:rPr>
        <w:t>poskytnutí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Plnění </w:t>
      </w:r>
      <w:r w:rsidRPr="008B701E">
        <w:rPr>
          <w:sz w:val="22"/>
          <w:szCs w:val="22"/>
        </w:rPr>
        <w:t xml:space="preserve">a místo </w:t>
      </w:r>
      <w:r>
        <w:rPr>
          <w:sz w:val="22"/>
          <w:szCs w:val="22"/>
        </w:rPr>
        <w:t>Plnění</w:t>
      </w:r>
      <w:r w:rsidRPr="008B701E">
        <w:rPr>
          <w:sz w:val="22"/>
          <w:szCs w:val="22"/>
        </w:rPr>
        <w:t xml:space="preserve"> lze změnit jen s výslovným a předchozím souhlasem obou Smluvních stran.</w:t>
      </w:r>
    </w:p>
    <w:p w14:paraId="4C3F0780" w14:textId="2C123950" w:rsidR="00434016" w:rsidRDefault="008C4FF1" w:rsidP="00E62CAB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Dodavatel poskytuje Objednateli záruku na Dílo. Délka záruční doby činí 24 měsíců ode dne předání Plnění. V případě, že při předání </w:t>
      </w:r>
      <w:r w:rsidR="00BC52D5">
        <w:rPr>
          <w:sz w:val="22"/>
          <w:szCs w:val="22"/>
        </w:rPr>
        <w:t>Plnění Objednateli Dodavatelem bude plnění vykazovat vady a/nebo nedodělky, začne běžet záruční doba od odstranění poslední vady a/nebo nedodělku. Záruka se vztahuje na celé Plnění a všechny jeho části (vyjma zařízení, na které udává výrobce záruku kratší, avšak ne méně než 24 měsíců). Záruka se nevztahuje na vady, které vzniknou:</w:t>
      </w:r>
    </w:p>
    <w:p w14:paraId="020D9347" w14:textId="2A818EB6" w:rsidR="00BC52D5" w:rsidRDefault="001B1F9D" w:rsidP="00BC52D5">
      <w:pPr>
        <w:pStyle w:val="Odstavec2"/>
        <w:numPr>
          <w:ilvl w:val="0"/>
          <w:numId w:val="2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</w:t>
      </w:r>
      <w:r w:rsidR="00BC52D5">
        <w:rPr>
          <w:sz w:val="22"/>
          <w:szCs w:val="22"/>
        </w:rPr>
        <w:t>ednáním Objednatele nebo třetích osob, jež by bylo v rozporu s pokyny k užívání, s nimiž Dodavatel Objednatele prokazatelně seznámil,</w:t>
      </w:r>
    </w:p>
    <w:p w14:paraId="4BA99565" w14:textId="19CF6FA1" w:rsidR="00BC52D5" w:rsidRDefault="001B1F9D" w:rsidP="00BC52D5">
      <w:pPr>
        <w:pStyle w:val="Odstavec2"/>
        <w:numPr>
          <w:ilvl w:val="0"/>
          <w:numId w:val="2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ú</w:t>
      </w:r>
      <w:r w:rsidR="00BC52D5">
        <w:rPr>
          <w:sz w:val="22"/>
          <w:szCs w:val="22"/>
        </w:rPr>
        <w:t>myslným poškozením Objednatele nebo třetí osobou,</w:t>
      </w:r>
    </w:p>
    <w:p w14:paraId="7FF40213" w14:textId="790FBED6" w:rsidR="00BC52D5" w:rsidRDefault="001B1F9D" w:rsidP="00BC52D5">
      <w:pPr>
        <w:pStyle w:val="Odstavec2"/>
        <w:numPr>
          <w:ilvl w:val="0"/>
          <w:numId w:val="2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</w:t>
      </w:r>
      <w:r w:rsidR="00BC52D5">
        <w:rPr>
          <w:sz w:val="22"/>
          <w:szCs w:val="22"/>
        </w:rPr>
        <w:t>yšší mocí.</w:t>
      </w:r>
    </w:p>
    <w:p w14:paraId="41A32D6B" w14:textId="04C18BB8" w:rsidR="00BC52D5" w:rsidRDefault="00BC52D5" w:rsidP="00BC52D5">
      <w:pPr>
        <w:pStyle w:val="Odstavec2"/>
        <w:numPr>
          <w:ilvl w:val="0"/>
          <w:numId w:val="0"/>
        </w:numPr>
        <w:spacing w:line="240" w:lineRule="auto"/>
        <w:ind w:left="709" w:hanging="425"/>
        <w:rPr>
          <w:sz w:val="22"/>
          <w:szCs w:val="22"/>
        </w:rPr>
      </w:pPr>
      <w:r>
        <w:rPr>
          <w:sz w:val="22"/>
          <w:szCs w:val="22"/>
        </w:rPr>
        <w:t xml:space="preserve">        Dodavatel je povinen Objednatelem reklamované záruční vady odstranit bezplatně. Reklamace záručních vad bude Objednatelem uplatněna vůči Dodavateli písemnou formou. Za dostatečnou formou uplatnění reklamace budou považovány:</w:t>
      </w:r>
    </w:p>
    <w:p w14:paraId="2121753B" w14:textId="54836407" w:rsidR="00BC52D5" w:rsidRDefault="001B1F9D" w:rsidP="00BC52D5">
      <w:pPr>
        <w:pStyle w:val="Odstavec2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BC52D5">
        <w:rPr>
          <w:sz w:val="22"/>
          <w:szCs w:val="22"/>
        </w:rPr>
        <w:t>oporučený dopis zaslaný Objednatele</w:t>
      </w:r>
      <w:r>
        <w:rPr>
          <w:sz w:val="22"/>
          <w:szCs w:val="22"/>
        </w:rPr>
        <w:t>m Dodavateli na adresu podle záhlaví této S</w:t>
      </w:r>
      <w:r w:rsidR="00BC52D5">
        <w:rPr>
          <w:sz w:val="22"/>
          <w:szCs w:val="22"/>
        </w:rPr>
        <w:t>mlouvy</w:t>
      </w:r>
    </w:p>
    <w:p w14:paraId="2C6063EC" w14:textId="63FDBEE6" w:rsidR="001B1F9D" w:rsidRDefault="001B1F9D" w:rsidP="001B1F9D">
      <w:pPr>
        <w:pStyle w:val="Odstavec2"/>
        <w:numPr>
          <w:ilvl w:val="0"/>
          <w:numId w:val="0"/>
        </w:numPr>
        <w:spacing w:line="240" w:lineRule="auto"/>
        <w:ind w:left="709" w:hanging="425"/>
        <w:rPr>
          <w:sz w:val="22"/>
          <w:szCs w:val="22"/>
        </w:rPr>
      </w:pPr>
      <w:r>
        <w:rPr>
          <w:sz w:val="22"/>
          <w:szCs w:val="22"/>
        </w:rPr>
        <w:t xml:space="preserve">        Dodavatel se zavazuje reklamované záruční vady podle této Smlouvy odstranit bezodkladně od jejich uplatnění Objednatelem, nejpozději však:</w:t>
      </w:r>
    </w:p>
    <w:p w14:paraId="5C6AB1B2" w14:textId="40349F15" w:rsidR="001B1F9D" w:rsidRDefault="001B1F9D" w:rsidP="001B1F9D">
      <w:pPr>
        <w:pStyle w:val="Odstavec2"/>
        <w:numPr>
          <w:ilvl w:val="0"/>
          <w:numId w:val="2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do 6 hodin v případě, že vlivem reklamované vady hrozí nebezpečí na životě či zdraví osob,</w:t>
      </w:r>
    </w:p>
    <w:p w14:paraId="4D5B3CB4" w14:textId="17502CD1" w:rsidR="001B1F9D" w:rsidRDefault="001B1F9D" w:rsidP="001B1F9D">
      <w:pPr>
        <w:pStyle w:val="Odstavec2"/>
        <w:numPr>
          <w:ilvl w:val="0"/>
          <w:numId w:val="2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do 24 hodin v případě, že vlivem reklamované vady hrozí nebezpečí na majetku Objednatele či třetích osob nebo nebezpečí přerušení či podstatného omezení dotčeného provozu Objednatele,</w:t>
      </w:r>
    </w:p>
    <w:p w14:paraId="553F1025" w14:textId="254EF6DF" w:rsidR="001B657D" w:rsidRPr="001B657D" w:rsidRDefault="001B1F9D" w:rsidP="001B657D">
      <w:pPr>
        <w:pStyle w:val="Odstavec2"/>
        <w:numPr>
          <w:ilvl w:val="0"/>
          <w:numId w:val="2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do 7 kalendářních dnů v ostatních případech</w:t>
      </w:r>
      <w:r w:rsidR="001B657D">
        <w:rPr>
          <w:sz w:val="22"/>
          <w:szCs w:val="22"/>
        </w:rPr>
        <w:t>,</w:t>
      </w:r>
    </w:p>
    <w:p w14:paraId="33E59C0F" w14:textId="20718344" w:rsidR="001B657D" w:rsidRDefault="00A658BD" w:rsidP="00A658BD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B657D">
        <w:rPr>
          <w:sz w:val="22"/>
          <w:szCs w:val="22"/>
        </w:rPr>
        <w:t>nebude-li mezi smluvními stranami dohodnuto jinak. Pokud v případech uvedených v</w:t>
      </w:r>
      <w:r>
        <w:rPr>
          <w:sz w:val="22"/>
          <w:szCs w:val="22"/>
        </w:rPr>
        <w:t xml:space="preserve"> tomto </w:t>
      </w:r>
      <w:r w:rsidR="001B657D">
        <w:rPr>
          <w:sz w:val="22"/>
          <w:szCs w:val="22"/>
        </w:rPr>
        <w:t>článku, písm. a) a b) Dodavatel Objednateli prokáže, že lhůta k úplnému odstranění reklamované záruční vady je zjevně nepřiměřená, je povinen ve stanoven</w:t>
      </w:r>
      <w:r>
        <w:rPr>
          <w:sz w:val="22"/>
          <w:szCs w:val="22"/>
        </w:rPr>
        <w:t>é lhůtě provést taková opatření</w:t>
      </w:r>
      <w:r w:rsidR="001B657D">
        <w:rPr>
          <w:sz w:val="22"/>
          <w:szCs w:val="22"/>
        </w:rPr>
        <w:t xml:space="preserve">, která odvrátí uvedená nebezpečí a bezodkladně pokračovat </w:t>
      </w:r>
      <w:r>
        <w:rPr>
          <w:sz w:val="22"/>
          <w:szCs w:val="22"/>
        </w:rPr>
        <w:t>v úplném odstraňování reklamované záruční vady, tak, aby tato vada byla odstraněna v co nejkratší objektivně možné době nebo lhůtě dohodnuté s Objednatelem.</w:t>
      </w:r>
    </w:p>
    <w:p w14:paraId="7FF9A141" w14:textId="36D24743" w:rsidR="00A658BD" w:rsidRDefault="00A658BD" w:rsidP="00A658BD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O odstranění záručních vad a nedodělků bude sepsán Zápis o odstranění vad a nedodělků.</w:t>
      </w:r>
    </w:p>
    <w:p w14:paraId="3C04A6B6" w14:textId="4A83EC7A" w:rsidR="00A658BD" w:rsidRDefault="00A658BD" w:rsidP="00A658BD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Objednatel je oprávněn převést práva a povinnosti vyplývající mu ze záruky poskytnuté Dodavatelem na třetí osoby a Dodavatel s postoupením těchto práv souhlasí.</w:t>
      </w:r>
    </w:p>
    <w:p w14:paraId="2D5AB249" w14:textId="3FA99B3B" w:rsidR="00A658BD" w:rsidRDefault="00A658BD" w:rsidP="00A658BD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Uplatnění práv ze záruky nejsou dotčena práva Objednatele na náhradu škody související s vadným plněním Dodavatele.</w:t>
      </w:r>
    </w:p>
    <w:p w14:paraId="063E3C28" w14:textId="77777777" w:rsidR="002E2EEF" w:rsidRPr="00964DAC" w:rsidRDefault="002E2EEF" w:rsidP="004F30CE">
      <w:pPr>
        <w:pStyle w:val="Nadpis1"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Platební podmínky</w:t>
      </w:r>
    </w:p>
    <w:p w14:paraId="555E5989" w14:textId="77777777" w:rsidR="002E2EEF" w:rsidRDefault="002E2EEF" w:rsidP="004F30CE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Daňový doklad bude vystaven Dodavatelem </w:t>
      </w:r>
      <w:r w:rsidR="007C65AE" w:rsidRPr="008B701E">
        <w:rPr>
          <w:sz w:val="22"/>
          <w:szCs w:val="22"/>
        </w:rPr>
        <w:t xml:space="preserve">vždy nejdříve po </w:t>
      </w:r>
      <w:r w:rsidR="00CC550A">
        <w:rPr>
          <w:sz w:val="22"/>
          <w:szCs w:val="22"/>
        </w:rPr>
        <w:t xml:space="preserve">poskytnutí </w:t>
      </w:r>
      <w:r w:rsidR="007C65AE" w:rsidRPr="008B701E">
        <w:rPr>
          <w:sz w:val="22"/>
          <w:szCs w:val="22"/>
        </w:rPr>
        <w:t>celé</w:t>
      </w:r>
      <w:r w:rsidR="0096343C" w:rsidRPr="008B701E">
        <w:rPr>
          <w:sz w:val="22"/>
          <w:szCs w:val="22"/>
        </w:rPr>
        <w:t>ho P</w:t>
      </w:r>
      <w:r w:rsidR="00DA4EC9">
        <w:rPr>
          <w:sz w:val="22"/>
          <w:szCs w:val="22"/>
        </w:rPr>
        <w:t>ln</w:t>
      </w:r>
      <w:r w:rsidR="0096343C" w:rsidRPr="008B701E">
        <w:rPr>
          <w:sz w:val="22"/>
          <w:szCs w:val="22"/>
        </w:rPr>
        <w:t>ění</w:t>
      </w:r>
      <w:r w:rsidR="00347164">
        <w:rPr>
          <w:sz w:val="22"/>
          <w:szCs w:val="22"/>
        </w:rPr>
        <w:t xml:space="preserve"> sjednaného v příslušné Dílčí smlouvě</w:t>
      </w:r>
      <w:r w:rsidR="0096343C" w:rsidRPr="008B701E">
        <w:rPr>
          <w:sz w:val="22"/>
          <w:szCs w:val="22"/>
        </w:rPr>
        <w:t>.</w:t>
      </w:r>
      <w:r w:rsidR="00171BC5" w:rsidRPr="008B701E">
        <w:rPr>
          <w:sz w:val="22"/>
          <w:szCs w:val="22"/>
        </w:rPr>
        <w:t xml:space="preserve"> </w:t>
      </w:r>
    </w:p>
    <w:p w14:paraId="68B500CC" w14:textId="46C8EA6C" w:rsidR="00A658BD" w:rsidRDefault="00A658BD" w:rsidP="004F30CE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Objednatel neposkytuje Dodavateli jakékoliv zálohy na Cenu</w:t>
      </w:r>
      <w:r>
        <w:rPr>
          <w:sz w:val="22"/>
          <w:szCs w:val="22"/>
        </w:rPr>
        <w:t>.</w:t>
      </w:r>
    </w:p>
    <w:p w14:paraId="6BD3C278" w14:textId="3DFD02C0" w:rsidR="00A12A85" w:rsidRPr="008B701E" w:rsidRDefault="00A12A85" w:rsidP="004F30CE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Splatnost daňového dokladu je 60 dní ode dne jeho vystavení Dodavatelem</w:t>
      </w:r>
      <w:r w:rsidR="00B21899">
        <w:rPr>
          <w:sz w:val="22"/>
          <w:szCs w:val="22"/>
        </w:rPr>
        <w:t>.</w:t>
      </w:r>
    </w:p>
    <w:p w14:paraId="04A39B06" w14:textId="77777777" w:rsidR="0023365C" w:rsidRDefault="00CE5AB2" w:rsidP="004F30CE">
      <w:pPr>
        <w:pStyle w:val="Nadpis1"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14:paraId="137EEC54" w14:textId="15353138" w:rsidR="0023365C" w:rsidRDefault="00CE5AB2" w:rsidP="004F30CE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 xml:space="preserve">je povinen po celou dobu trvání Smlouvy </w:t>
      </w:r>
      <w:r w:rsidR="00ED7FE3">
        <w:rPr>
          <w:sz w:val="22"/>
          <w:szCs w:val="22"/>
        </w:rPr>
        <w:t xml:space="preserve">a Dílčí smlouvy </w:t>
      </w:r>
      <w:r w:rsidRPr="003B43B3">
        <w:rPr>
          <w:sz w:val="22"/>
          <w:szCs w:val="22"/>
        </w:rPr>
        <w:t xml:space="preserve">mít sjednáno pojištění odpovědnosti za </w:t>
      </w:r>
      <w:r w:rsidR="00B93871">
        <w:rPr>
          <w:sz w:val="22"/>
          <w:szCs w:val="22"/>
        </w:rPr>
        <w:t>újmy</w:t>
      </w:r>
      <w:r w:rsidRPr="003B43B3">
        <w:rPr>
          <w:sz w:val="22"/>
          <w:szCs w:val="22"/>
        </w:rPr>
        <w:t xml:space="preserve"> způsobené v souvislosti se Smlouvou </w:t>
      </w:r>
      <w:r w:rsidR="00ED7FE3">
        <w:rPr>
          <w:sz w:val="22"/>
          <w:szCs w:val="22"/>
        </w:rPr>
        <w:t xml:space="preserve">a Dílčí smlouvou </w:t>
      </w:r>
      <w:r>
        <w:rPr>
          <w:sz w:val="22"/>
          <w:szCs w:val="22"/>
        </w:rPr>
        <w:t xml:space="preserve">Dodavatelem </w:t>
      </w:r>
      <w:r w:rsidRPr="003B43B3">
        <w:rPr>
          <w:sz w:val="22"/>
          <w:szCs w:val="22"/>
        </w:rPr>
        <w:t xml:space="preserve">nebo osobou, za niž </w:t>
      </w: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 xml:space="preserve">odpovídá, s pojistnou částkou nejméně ve výši </w:t>
      </w:r>
      <w:r w:rsidR="00A12A85">
        <w:rPr>
          <w:sz w:val="22"/>
          <w:szCs w:val="22"/>
        </w:rPr>
        <w:t>5.000.000,- Kč.</w:t>
      </w:r>
      <w:r w:rsidRPr="003B43B3">
        <w:rPr>
          <w:sz w:val="22"/>
          <w:szCs w:val="22"/>
        </w:rPr>
        <w:t xml:space="preserve"> </w:t>
      </w:r>
    </w:p>
    <w:p w14:paraId="4F0F856C" w14:textId="77777777" w:rsidR="0023365C" w:rsidRDefault="002E2EEF" w:rsidP="004F30CE">
      <w:pPr>
        <w:pStyle w:val="Nadpis1"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217E60D2" w14:textId="4A30570B" w:rsidR="001634BE" w:rsidRPr="00204F95" w:rsidRDefault="002E2EEF" w:rsidP="00204F95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204F95">
        <w:rPr>
          <w:sz w:val="22"/>
          <w:szCs w:val="22"/>
        </w:rPr>
        <w:t xml:space="preserve">Tato Smlouva </w:t>
      </w:r>
      <w:r w:rsidR="003B086A" w:rsidRPr="00204F95">
        <w:rPr>
          <w:sz w:val="22"/>
          <w:szCs w:val="22"/>
        </w:rPr>
        <w:t xml:space="preserve">nabývá účinnosti dnem jejího podpisu Smluvními stranami a uzavírá se na dobu určitou, a to do </w:t>
      </w:r>
      <w:r w:rsidR="00A12A85">
        <w:rPr>
          <w:sz w:val="22"/>
          <w:szCs w:val="22"/>
        </w:rPr>
        <w:t>24 měsíců</w:t>
      </w:r>
      <w:r w:rsidR="003B086A" w:rsidRPr="00204F95">
        <w:rPr>
          <w:sz w:val="22"/>
          <w:szCs w:val="22"/>
        </w:rPr>
        <w:t xml:space="preserve"> nebo do vyčerpání </w:t>
      </w:r>
      <w:r w:rsidR="00F538AD" w:rsidRPr="00204F95">
        <w:rPr>
          <w:sz w:val="22"/>
          <w:szCs w:val="22"/>
        </w:rPr>
        <w:t>maximální</w:t>
      </w:r>
      <w:r w:rsidR="003B086A" w:rsidRPr="00204F95">
        <w:rPr>
          <w:sz w:val="22"/>
          <w:szCs w:val="22"/>
        </w:rPr>
        <w:t xml:space="preserve"> </w:t>
      </w:r>
      <w:r w:rsidR="00AB592C" w:rsidRPr="00204F95">
        <w:rPr>
          <w:sz w:val="22"/>
          <w:szCs w:val="22"/>
        </w:rPr>
        <w:t>c</w:t>
      </w:r>
      <w:r w:rsidR="003B086A" w:rsidRPr="00204F95">
        <w:rPr>
          <w:sz w:val="22"/>
          <w:szCs w:val="22"/>
        </w:rPr>
        <w:t xml:space="preserve">eny dle </w:t>
      </w:r>
      <w:r w:rsidR="00A92837" w:rsidRPr="00204F95">
        <w:rPr>
          <w:sz w:val="22"/>
          <w:szCs w:val="22"/>
        </w:rPr>
        <w:t xml:space="preserve">odstavce </w:t>
      </w:r>
      <w:proofErr w:type="gramStart"/>
      <w:r w:rsidR="003571F3">
        <w:rPr>
          <w:sz w:val="22"/>
          <w:szCs w:val="22"/>
        </w:rPr>
        <w:t>2.3.</w:t>
      </w:r>
      <w:r w:rsidR="00A92837" w:rsidRPr="00204F95">
        <w:rPr>
          <w:sz w:val="22"/>
          <w:szCs w:val="22"/>
        </w:rPr>
        <w:t xml:space="preserve"> </w:t>
      </w:r>
      <w:r w:rsidR="003B086A" w:rsidRPr="00204F95">
        <w:rPr>
          <w:sz w:val="22"/>
          <w:szCs w:val="22"/>
        </w:rPr>
        <w:t>této</w:t>
      </w:r>
      <w:proofErr w:type="gramEnd"/>
      <w:r w:rsidR="003B086A" w:rsidRPr="00204F95">
        <w:rPr>
          <w:sz w:val="22"/>
          <w:szCs w:val="22"/>
        </w:rPr>
        <w:t xml:space="preserve"> Smlouvy, podle toho, která ze skutečností nastane </w:t>
      </w:r>
      <w:r w:rsidR="0016605E" w:rsidRPr="00204F95">
        <w:rPr>
          <w:sz w:val="22"/>
          <w:szCs w:val="22"/>
        </w:rPr>
        <w:t>dříve</w:t>
      </w:r>
      <w:r w:rsidR="003B086A" w:rsidRPr="00204F95">
        <w:rPr>
          <w:sz w:val="22"/>
          <w:szCs w:val="22"/>
        </w:rPr>
        <w:t>.</w:t>
      </w:r>
      <w:r w:rsidR="00694E90" w:rsidRPr="00204F95">
        <w:rPr>
          <w:sz w:val="22"/>
          <w:szCs w:val="22"/>
        </w:rPr>
        <w:t xml:space="preserve"> Pro případ, že tato Smlouva není uzavírána za přítomnosti obou Smluvních stran, platí, že Smlouva nebude uzavřena, pokud ji Dodavatel podepíše s jakoukoliv změnou či odchylkou, byť nepodstatnou, nebo dodatkem. To platí i v případě připojení obchodních podmínek Dodavatele, které budou odporovat svým obsahem jakýmkoliv způsobem textu této Smlouvy, případně Všeobecným obchodním podmínkám Objednatele (</w:t>
      </w:r>
      <w:r w:rsidR="00501059" w:rsidRPr="00204F95">
        <w:rPr>
          <w:sz w:val="22"/>
          <w:szCs w:val="22"/>
        </w:rPr>
        <w:t xml:space="preserve">dále jen </w:t>
      </w:r>
      <w:r w:rsidR="00694E90" w:rsidRPr="00204F95">
        <w:rPr>
          <w:sz w:val="22"/>
          <w:szCs w:val="22"/>
        </w:rPr>
        <w:t>„</w:t>
      </w:r>
      <w:r w:rsidR="00694E90" w:rsidRPr="002811F0">
        <w:rPr>
          <w:b/>
          <w:sz w:val="22"/>
          <w:szCs w:val="22"/>
        </w:rPr>
        <w:t>VOP</w:t>
      </w:r>
      <w:r w:rsidR="00694E90" w:rsidRPr="00204F95">
        <w:rPr>
          <w:sz w:val="22"/>
          <w:szCs w:val="22"/>
        </w:rPr>
        <w:t>“).</w:t>
      </w:r>
    </w:p>
    <w:p w14:paraId="085510F0" w14:textId="77777777" w:rsidR="00204F95" w:rsidRPr="00204F95" w:rsidRDefault="00204F95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A05A06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A05A06">
        <w:rPr>
          <w:rFonts w:cstheme="minorHAnsi"/>
          <w:sz w:val="22"/>
          <w:szCs w:val="22"/>
        </w:rPr>
        <w:t>Smluvní strany prohlašují, že se dohodly o veškerých náležitostech Smlouvy.</w:t>
      </w:r>
    </w:p>
    <w:p w14:paraId="427786F4" w14:textId="77777777" w:rsidR="00204F95" w:rsidRDefault="00204F95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AD4CA7">
        <w:rPr>
          <w:sz w:val="22"/>
          <w:szCs w:val="22"/>
        </w:rPr>
        <w:t>Smluvní strany potvrzují, že si při uzavírání Smlouvy vzájemně sdělily všechny skutkové a právní okolnosti, o nichž ví nebo vědět musí, tak</w:t>
      </w:r>
      <w:r>
        <w:rPr>
          <w:sz w:val="22"/>
          <w:szCs w:val="22"/>
        </w:rPr>
        <w:t>,</w:t>
      </w:r>
      <w:r w:rsidRPr="00AD4CA7">
        <w:rPr>
          <w:sz w:val="22"/>
          <w:szCs w:val="22"/>
        </w:rPr>
        <w:t xml:space="preserve"> aby se každá ze </w:t>
      </w:r>
      <w:r>
        <w:rPr>
          <w:sz w:val="22"/>
          <w:szCs w:val="22"/>
        </w:rPr>
        <w:t xml:space="preserve">Smluvních </w:t>
      </w:r>
      <w:r w:rsidRPr="00AD4CA7">
        <w:rPr>
          <w:sz w:val="22"/>
          <w:szCs w:val="22"/>
        </w:rPr>
        <w:t xml:space="preserve">stran mohla přesvědčit o možnosti uzavřít platnou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a aby</w:t>
      </w:r>
      <w:r w:rsidRPr="00B455DE">
        <w:rPr>
          <w:sz w:val="22"/>
          <w:szCs w:val="22"/>
        </w:rPr>
        <w:t xml:space="preserve"> byl každé ze </w:t>
      </w:r>
      <w:r>
        <w:rPr>
          <w:sz w:val="22"/>
          <w:szCs w:val="22"/>
        </w:rPr>
        <w:t xml:space="preserve">Smluvních </w:t>
      </w:r>
      <w:r w:rsidRPr="00B455DE">
        <w:rPr>
          <w:sz w:val="22"/>
          <w:szCs w:val="22"/>
        </w:rPr>
        <w:t xml:space="preserve">stran zřejmý </w:t>
      </w:r>
      <w:r w:rsidRPr="00AD4CA7">
        <w:rPr>
          <w:sz w:val="22"/>
          <w:szCs w:val="22"/>
        </w:rPr>
        <w:t>zájem</w:t>
      </w:r>
      <w:r>
        <w:rPr>
          <w:sz w:val="22"/>
          <w:szCs w:val="22"/>
        </w:rPr>
        <w:t xml:space="preserve"> druhé Smluvní strany</w:t>
      </w:r>
      <w:r w:rsidRPr="00AD4CA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uzavřít.</w:t>
      </w:r>
    </w:p>
    <w:p w14:paraId="7E810837" w14:textId="77777777" w:rsidR="001634BE" w:rsidRDefault="002E2EEF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Tato </w:t>
      </w:r>
      <w:r w:rsidR="004B0845" w:rsidRPr="008B701E">
        <w:rPr>
          <w:sz w:val="22"/>
          <w:szCs w:val="22"/>
        </w:rPr>
        <w:t>S</w:t>
      </w:r>
      <w:r w:rsidRPr="008B701E">
        <w:rPr>
          <w:sz w:val="22"/>
          <w:szCs w:val="22"/>
        </w:rPr>
        <w:t xml:space="preserve">mlouva je vyhotovena ve </w:t>
      </w:r>
      <w:r w:rsidR="00DA5B71" w:rsidRPr="008B701E">
        <w:rPr>
          <w:sz w:val="22"/>
          <w:szCs w:val="22"/>
        </w:rPr>
        <w:t>čtyřech (</w:t>
      </w:r>
      <w:r w:rsidRPr="008B701E">
        <w:rPr>
          <w:sz w:val="22"/>
          <w:szCs w:val="22"/>
        </w:rPr>
        <w:t>4</w:t>
      </w:r>
      <w:r w:rsidR="00DA5B71" w:rsidRPr="008B701E">
        <w:rPr>
          <w:sz w:val="22"/>
          <w:szCs w:val="22"/>
        </w:rPr>
        <w:t>)</w:t>
      </w:r>
      <w:r w:rsidRPr="008B701E">
        <w:rPr>
          <w:sz w:val="22"/>
          <w:szCs w:val="22"/>
        </w:rPr>
        <w:t xml:space="preserve"> stejnopisech</w:t>
      </w:r>
      <w:r w:rsidR="00501059">
        <w:rPr>
          <w:sz w:val="22"/>
          <w:szCs w:val="22"/>
        </w:rPr>
        <w:t xml:space="preserve"> s platností originálu</w:t>
      </w:r>
      <w:r w:rsidRPr="008B701E">
        <w:rPr>
          <w:sz w:val="22"/>
          <w:szCs w:val="22"/>
        </w:rPr>
        <w:t>, z nichž každ</w:t>
      </w:r>
      <w:r w:rsidR="006B5914">
        <w:rPr>
          <w:sz w:val="22"/>
          <w:szCs w:val="22"/>
        </w:rPr>
        <w:t>á</w:t>
      </w:r>
      <w:r w:rsidRPr="008B701E">
        <w:rPr>
          <w:sz w:val="22"/>
          <w:szCs w:val="22"/>
        </w:rPr>
        <w:t xml:space="preserve"> Smluvní strana obdrží po dvou </w:t>
      </w:r>
      <w:r w:rsidR="00501059">
        <w:rPr>
          <w:sz w:val="22"/>
          <w:szCs w:val="22"/>
        </w:rPr>
        <w:t xml:space="preserve">(2) </w:t>
      </w:r>
      <w:r w:rsidRPr="008B701E">
        <w:rPr>
          <w:sz w:val="22"/>
          <w:szCs w:val="22"/>
        </w:rPr>
        <w:t>stejnopisech.</w:t>
      </w:r>
    </w:p>
    <w:p w14:paraId="3725346C" w14:textId="77777777" w:rsidR="001634BE" w:rsidRDefault="007345BF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Kontaktní údaje Smluvních stran pro doručování jsou následující:</w:t>
      </w:r>
    </w:p>
    <w:p w14:paraId="2958D240" w14:textId="77777777" w:rsidR="007345BF" w:rsidRPr="008B701E" w:rsidRDefault="007345BF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>Kontaktní osoba Objednatele:</w:t>
      </w:r>
    </w:p>
    <w:p w14:paraId="4F86B1DF" w14:textId="3C21B60C" w:rsidR="007345BF" w:rsidRDefault="00A12A85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r w:rsidRPr="00A12A85">
        <w:rPr>
          <w:sz w:val="22"/>
          <w:szCs w:val="22"/>
        </w:rPr>
        <w:t>Pro věci technické:</w:t>
      </w:r>
      <w:r w:rsidRPr="00A12A85">
        <w:rPr>
          <w:i/>
          <w:sz w:val="22"/>
          <w:szCs w:val="22"/>
        </w:rPr>
        <w:t xml:space="preserve"> </w:t>
      </w:r>
      <w:proofErr w:type="spellStart"/>
      <w:r w:rsidR="0056232B">
        <w:rPr>
          <w:i/>
          <w:sz w:val="22"/>
          <w:szCs w:val="22"/>
        </w:rPr>
        <w:t>xxx</w:t>
      </w:r>
      <w:proofErr w:type="spellEnd"/>
    </w:p>
    <w:p w14:paraId="5D4CE399" w14:textId="7FE0AA32" w:rsidR="00A12A85" w:rsidRDefault="0056232B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xxx</w:t>
      </w:r>
      <w:proofErr w:type="spellEnd"/>
      <w:r w:rsidR="00A12A85">
        <w:rPr>
          <w:i/>
          <w:sz w:val="22"/>
          <w:szCs w:val="22"/>
        </w:rPr>
        <w:t xml:space="preserve"> </w:t>
      </w:r>
    </w:p>
    <w:p w14:paraId="15029675" w14:textId="171CA86A" w:rsidR="00A12A85" w:rsidRDefault="0056232B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66701894" w14:textId="5BAD1684" w:rsidR="00A12A85" w:rsidRDefault="0056232B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xxx</w:t>
      </w:r>
      <w:proofErr w:type="spellEnd"/>
    </w:p>
    <w:p w14:paraId="5C25CABA" w14:textId="77777777" w:rsidR="00A12A85" w:rsidRPr="00A12A85" w:rsidRDefault="00A12A85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</w:p>
    <w:p w14:paraId="7D62A2EE" w14:textId="77777777" w:rsidR="007345BF" w:rsidRPr="008B701E" w:rsidRDefault="007345BF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>Kontaktní osoba Dodavatele:</w:t>
      </w:r>
    </w:p>
    <w:p w14:paraId="4C118C61" w14:textId="4F0D62BE" w:rsidR="007345BF" w:rsidRDefault="00271D7E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r w:rsidRPr="00D22611">
        <w:rPr>
          <w:sz w:val="22"/>
          <w:szCs w:val="22"/>
        </w:rPr>
        <w:t>Pro věci technické:</w:t>
      </w:r>
      <w:r>
        <w:rPr>
          <w:i/>
          <w:sz w:val="22"/>
          <w:szCs w:val="22"/>
        </w:rPr>
        <w:t xml:space="preserve"> </w:t>
      </w:r>
      <w:proofErr w:type="spellStart"/>
      <w:r w:rsidR="00B12C83">
        <w:rPr>
          <w:i/>
          <w:sz w:val="22"/>
          <w:szCs w:val="22"/>
        </w:rPr>
        <w:t>xxx</w:t>
      </w:r>
      <w:proofErr w:type="spellEnd"/>
    </w:p>
    <w:p w14:paraId="282FD08E" w14:textId="2ABD3D08" w:rsidR="00271D7E" w:rsidRDefault="00B12C83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xxx</w:t>
      </w:r>
      <w:proofErr w:type="spellEnd"/>
    </w:p>
    <w:p w14:paraId="1D30C81A" w14:textId="47E12927" w:rsidR="00D22611" w:rsidRDefault="00D22611" w:rsidP="00D22611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r w:rsidRPr="00D22611">
        <w:rPr>
          <w:sz w:val="22"/>
          <w:szCs w:val="22"/>
        </w:rPr>
        <w:t>Pro věci smluvní:</w:t>
      </w:r>
      <w:r>
        <w:rPr>
          <w:i/>
          <w:sz w:val="22"/>
          <w:szCs w:val="22"/>
        </w:rPr>
        <w:t xml:space="preserve"> </w:t>
      </w:r>
      <w:proofErr w:type="spellStart"/>
      <w:r w:rsidR="00B12C83">
        <w:rPr>
          <w:i/>
          <w:sz w:val="22"/>
          <w:szCs w:val="22"/>
        </w:rPr>
        <w:t>xxx</w:t>
      </w:r>
      <w:proofErr w:type="spellEnd"/>
    </w:p>
    <w:p w14:paraId="73794770" w14:textId="77E209F3" w:rsidR="00D22611" w:rsidRPr="008B701E" w:rsidRDefault="00B12C83" w:rsidP="00D22611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xxx</w:t>
      </w:r>
      <w:proofErr w:type="spellEnd"/>
    </w:p>
    <w:p w14:paraId="4B307622" w14:textId="77777777" w:rsidR="00D22611" w:rsidRPr="008B701E" w:rsidRDefault="00D22611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i/>
          <w:sz w:val="22"/>
          <w:szCs w:val="22"/>
        </w:rPr>
      </w:pPr>
    </w:p>
    <w:p w14:paraId="58435242" w14:textId="77777777" w:rsidR="001634BE" w:rsidRDefault="00DD142D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Nedílnou součástí této Smlouvy jsou následující přílohy:</w:t>
      </w:r>
    </w:p>
    <w:p w14:paraId="29B792D5" w14:textId="0477D83F" w:rsidR="003B086A" w:rsidRPr="008B701E" w:rsidRDefault="003B086A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1 – </w:t>
      </w:r>
      <w:r w:rsidR="00700FA3">
        <w:rPr>
          <w:sz w:val="22"/>
          <w:szCs w:val="22"/>
        </w:rPr>
        <w:t>Technické parametry vlečky</w:t>
      </w:r>
    </w:p>
    <w:p w14:paraId="0288BB97" w14:textId="61E2F860" w:rsidR="003B086A" w:rsidRPr="008B701E" w:rsidRDefault="003B086A" w:rsidP="008B701E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2 </w:t>
      </w:r>
      <w:r w:rsidR="005023EC">
        <w:rPr>
          <w:sz w:val="22"/>
          <w:szCs w:val="22"/>
        </w:rPr>
        <w:t xml:space="preserve">– </w:t>
      </w:r>
      <w:r w:rsidR="00700FA3">
        <w:rPr>
          <w:sz w:val="22"/>
          <w:szCs w:val="22"/>
        </w:rPr>
        <w:t>Specifikace Služeb a cena</w:t>
      </w:r>
    </w:p>
    <w:p w14:paraId="52914AE6" w14:textId="77777777" w:rsidR="002E2EEF" w:rsidRDefault="003B086A" w:rsidP="009E775D">
      <w:pPr>
        <w:pStyle w:val="Odstavec2"/>
        <w:numPr>
          <w:ilvl w:val="0"/>
          <w:numId w:val="0"/>
        </w:numPr>
        <w:tabs>
          <w:tab w:val="num" w:pos="709"/>
        </w:tabs>
        <w:spacing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lastRenderedPageBreak/>
        <w:t xml:space="preserve">Příloha č. </w:t>
      </w:r>
      <w:r w:rsidR="007630F0">
        <w:rPr>
          <w:sz w:val="22"/>
          <w:szCs w:val="22"/>
        </w:rPr>
        <w:t>3</w:t>
      </w:r>
      <w:r w:rsidRPr="008B701E">
        <w:rPr>
          <w:sz w:val="22"/>
          <w:szCs w:val="22"/>
        </w:rPr>
        <w:t xml:space="preserve"> </w:t>
      </w:r>
      <w:r w:rsidR="005023EC">
        <w:rPr>
          <w:sz w:val="22"/>
          <w:szCs w:val="22"/>
        </w:rPr>
        <w:t>–</w:t>
      </w:r>
      <w:r w:rsidR="00501059">
        <w:rPr>
          <w:sz w:val="22"/>
          <w:szCs w:val="22"/>
        </w:rPr>
        <w:t xml:space="preserve"> </w:t>
      </w:r>
      <w:r w:rsidR="00A8095E">
        <w:rPr>
          <w:sz w:val="22"/>
          <w:szCs w:val="22"/>
        </w:rPr>
        <w:t>VOP</w:t>
      </w:r>
    </w:p>
    <w:p w14:paraId="2AF3387E" w14:textId="77777777" w:rsidR="00DE4D63" w:rsidRDefault="0023365C" w:rsidP="00DE4D63">
      <w:pPr>
        <w:pStyle w:val="Odstavecseseznamem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>Smluvní strany potvrzují, že se s textem VOP seznámily před podpisem této Smlouvy</w:t>
      </w:r>
      <w:r w:rsidR="00694E90">
        <w:rPr>
          <w:sz w:val="22"/>
          <w:szCs w:val="22"/>
        </w:rPr>
        <w:t xml:space="preserve"> </w:t>
      </w:r>
      <w:r w:rsidR="00694E90" w:rsidRPr="00B455DE">
        <w:rPr>
          <w:sz w:val="22"/>
          <w:szCs w:val="22"/>
        </w:rPr>
        <w:t>a je jim znám jejich význam v</w:t>
      </w:r>
      <w:r w:rsidR="00694E90">
        <w:rPr>
          <w:sz w:val="22"/>
          <w:szCs w:val="22"/>
        </w:rPr>
        <w:t> souladu a v</w:t>
      </w:r>
      <w:r w:rsidR="00694E90" w:rsidRPr="00B455DE">
        <w:rPr>
          <w:sz w:val="22"/>
          <w:szCs w:val="22"/>
        </w:rPr>
        <w:t>e spojitosti se Smlouvou.</w:t>
      </w:r>
      <w:r w:rsidR="00694E90" w:rsidRPr="00AD4CA7">
        <w:rPr>
          <w:sz w:val="22"/>
          <w:szCs w:val="22"/>
        </w:rPr>
        <w:t xml:space="preserve"> Dále smluvní strany potvrzují, že veškerým ustanovením Smlouvy a VOP plně a bez jakýchkoli obtíží porozuměly a nepovažují je za nevýhodná. VOP představují závaznou a nedílnou součást Smlouvy.</w:t>
      </w:r>
    </w:p>
    <w:p w14:paraId="4FCB0992" w14:textId="77777777" w:rsidR="00DE4D63" w:rsidRDefault="00694E90" w:rsidP="00DE4D63">
      <w:pPr>
        <w:pStyle w:val="Odstavec2"/>
        <w:numPr>
          <w:ilvl w:val="0"/>
          <w:numId w:val="14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B519E2">
        <w:rPr>
          <w:sz w:val="22"/>
          <w:szCs w:val="22"/>
        </w:rPr>
        <w:t xml:space="preserve"> podpisem této Smlouvy výslovně přijímá následující ustanovení VOP [</w:t>
      </w:r>
      <w:proofErr w:type="gramStart"/>
      <w:r>
        <w:rPr>
          <w:sz w:val="22"/>
          <w:szCs w:val="22"/>
        </w:rPr>
        <w:t>3.2</w:t>
      </w:r>
      <w:proofErr w:type="gramEnd"/>
      <w:r>
        <w:rPr>
          <w:sz w:val="22"/>
          <w:szCs w:val="22"/>
        </w:rPr>
        <w:t xml:space="preserve">., 3.5., 3.7., 5.2., </w:t>
      </w:r>
      <w:r w:rsidRPr="00B519E2">
        <w:rPr>
          <w:sz w:val="22"/>
          <w:szCs w:val="22"/>
        </w:rPr>
        <w:t>6.1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8.2., </w:t>
      </w:r>
      <w:r w:rsidRPr="00B519E2">
        <w:rPr>
          <w:sz w:val="22"/>
          <w:szCs w:val="22"/>
        </w:rPr>
        <w:t>8.3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 w:rsidR="00B93871">
        <w:rPr>
          <w:sz w:val="22"/>
          <w:szCs w:val="22"/>
        </w:rPr>
        <w:t xml:space="preserve">12.3., </w:t>
      </w:r>
      <w:r w:rsidRPr="00B519E2">
        <w:rPr>
          <w:sz w:val="22"/>
          <w:szCs w:val="22"/>
        </w:rPr>
        <w:t>13.2</w:t>
      </w:r>
      <w:r>
        <w:rPr>
          <w:sz w:val="22"/>
          <w:szCs w:val="22"/>
        </w:rPr>
        <w:t>., 13.3.</w:t>
      </w:r>
      <w:r w:rsidRPr="00B519E2">
        <w:rPr>
          <w:sz w:val="22"/>
          <w:szCs w:val="22"/>
        </w:rPr>
        <w:t>].</w:t>
      </w:r>
    </w:p>
    <w:p w14:paraId="3B3B110A" w14:textId="77777777" w:rsidR="00117AE5" w:rsidRDefault="00117AE5" w:rsidP="002E2EEF">
      <w:pPr>
        <w:spacing w:line="240" w:lineRule="auto"/>
        <w:rPr>
          <w:sz w:val="22"/>
          <w:szCs w:val="22"/>
        </w:rPr>
        <w:sectPr w:rsidR="00117AE5" w:rsidSect="0003250E">
          <w:headerReference w:type="default" r:id="rId12"/>
          <w:footerReference w:type="default" r:id="rId13"/>
          <w:pgSz w:w="11906" w:h="16838" w:code="9"/>
          <w:pgMar w:top="2099" w:right="1418" w:bottom="1418" w:left="1418" w:header="426" w:footer="506" w:gutter="0"/>
          <w:cols w:space="708"/>
          <w:docGrid w:linePitch="360"/>
        </w:sectPr>
      </w:pPr>
    </w:p>
    <w:p w14:paraId="64096ECB" w14:textId="77777777" w:rsidR="00964DAC" w:rsidRPr="008B701E" w:rsidRDefault="00964DAC" w:rsidP="002E2EEF">
      <w:pPr>
        <w:spacing w:line="240" w:lineRule="auto"/>
        <w:rPr>
          <w:sz w:val="22"/>
          <w:szCs w:val="22"/>
        </w:rPr>
      </w:pPr>
    </w:p>
    <w:p w14:paraId="58EC4A7F" w14:textId="77777777" w:rsidR="003B086A" w:rsidRPr="008B701E" w:rsidRDefault="003B086A" w:rsidP="003B086A">
      <w:pPr>
        <w:spacing w:before="120" w:line="240" w:lineRule="auto"/>
        <w:ind w:right="-2"/>
        <w:rPr>
          <w:i/>
          <w:sz w:val="22"/>
          <w:szCs w:val="22"/>
        </w:rPr>
      </w:pPr>
      <w:r w:rsidRPr="008B701E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14:paraId="7BF2C16D" w14:textId="77777777" w:rsidR="003B086A" w:rsidRPr="008B701E" w:rsidRDefault="003B086A" w:rsidP="002E2EEF">
      <w:pPr>
        <w:spacing w:line="240" w:lineRule="auto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E2EEF" w:rsidRPr="008B701E" w14:paraId="755E18A1" w14:textId="77777777" w:rsidTr="009E775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AF363E4" w14:textId="77777777" w:rsidR="009E775D" w:rsidRDefault="009E775D" w:rsidP="009E775D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564BEDE1" w14:textId="0691F640" w:rsidR="002E2EEF" w:rsidRPr="008B701E" w:rsidRDefault="002E2EEF" w:rsidP="009E775D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V </w:t>
            </w:r>
            <w:r w:rsidR="00700FA3">
              <w:rPr>
                <w:bCs/>
                <w:sz w:val="22"/>
                <w:szCs w:val="22"/>
              </w:rPr>
              <w:t>Praze</w:t>
            </w:r>
            <w:r w:rsidRPr="008B701E">
              <w:rPr>
                <w:bCs/>
                <w:sz w:val="22"/>
                <w:szCs w:val="22"/>
              </w:rPr>
              <w:t xml:space="preserve"> 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9F1B897" w14:textId="77777777" w:rsidR="009E775D" w:rsidRDefault="009E775D" w:rsidP="009E775D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09434942" w14:textId="77777777" w:rsidR="002E2EEF" w:rsidRPr="008B701E" w:rsidRDefault="002E2EEF" w:rsidP="009E775D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V                        dne: _____________</w:t>
            </w:r>
          </w:p>
        </w:tc>
      </w:tr>
    </w:tbl>
    <w:p w14:paraId="35E3C669" w14:textId="77777777" w:rsidR="002E2EEF" w:rsidRPr="008B701E" w:rsidRDefault="002E2EEF" w:rsidP="009E775D">
      <w:pPr>
        <w:pStyle w:val="Zkladntext"/>
        <w:rPr>
          <w:sz w:val="22"/>
          <w:szCs w:val="22"/>
        </w:rPr>
      </w:pPr>
    </w:p>
    <w:p w14:paraId="7E3F6F99" w14:textId="77777777" w:rsidR="002E2EEF" w:rsidRPr="008B701E" w:rsidRDefault="002E2EEF" w:rsidP="002E2EEF">
      <w:pPr>
        <w:pStyle w:val="Zkladntex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E2EEF" w:rsidRPr="008B701E" w14:paraId="042C381D" w14:textId="77777777" w:rsidTr="002E2EE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A94F65" w14:textId="77777777" w:rsidR="002E2EEF" w:rsidRPr="008B701E" w:rsidRDefault="002E2EEF" w:rsidP="002E2EEF">
            <w:pPr>
              <w:pStyle w:val="Zkladntext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57B7A0" w14:textId="77777777" w:rsidR="002E2EEF" w:rsidRPr="008B701E" w:rsidRDefault="002E2EEF" w:rsidP="002E2EEF">
            <w:pPr>
              <w:pStyle w:val="Zkladntext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________________________________________</w:t>
            </w:r>
          </w:p>
        </w:tc>
      </w:tr>
      <w:tr w:rsidR="002E2EEF" w:rsidRPr="008B701E" w14:paraId="656ABD35" w14:textId="77777777" w:rsidTr="002E2EE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F7172D9" w14:textId="357E845D" w:rsidR="002E2EEF" w:rsidRPr="008B701E" w:rsidRDefault="00700FA3" w:rsidP="002E2EEF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Ing. Vít Bukvic</w:t>
            </w:r>
          </w:p>
          <w:p w14:paraId="2E4FBF28" w14:textId="77777777" w:rsidR="002E2EEF" w:rsidRPr="008B701E" w:rsidRDefault="002E2EEF" w:rsidP="002E2EE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058FCE" w14:textId="3E4CED0C" w:rsidR="002E2EEF" w:rsidRPr="008B701E" w:rsidRDefault="007632E9" w:rsidP="002E2EEF">
            <w:pPr>
              <w:pStyle w:val="Zkladntex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GB"/>
              </w:rPr>
              <w:t>xxx</w:t>
            </w:r>
          </w:p>
        </w:tc>
      </w:tr>
      <w:tr w:rsidR="002E2EEF" w:rsidRPr="008B701E" w14:paraId="67E2CF82" w14:textId="77777777" w:rsidTr="002E2EEF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AE97F55" w14:textId="52CCE5CB" w:rsidR="002E2EEF" w:rsidRPr="008B701E" w:rsidRDefault="00700FA3" w:rsidP="002E2EE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poštovní provoz a logistika</w:t>
            </w:r>
          </w:p>
          <w:p w14:paraId="7AC6BAFD" w14:textId="77777777" w:rsidR="002E2EEF" w:rsidRPr="008B701E" w:rsidRDefault="002E2EEF" w:rsidP="002E2EEF">
            <w:pPr>
              <w:pStyle w:val="Zkladntext"/>
              <w:rPr>
                <w:b/>
                <w:sz w:val="22"/>
                <w:szCs w:val="22"/>
              </w:rPr>
            </w:pPr>
            <w:r w:rsidRPr="008B701E">
              <w:rPr>
                <w:b/>
                <w:sz w:val="22"/>
                <w:szCs w:val="22"/>
              </w:rPr>
              <w:t xml:space="preserve">Česká pošta, </w:t>
            </w:r>
            <w:proofErr w:type="gramStart"/>
            <w:r w:rsidRPr="008B701E">
              <w:rPr>
                <w:b/>
                <w:sz w:val="22"/>
                <w:szCs w:val="22"/>
              </w:rPr>
              <w:t>s.p.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F509772" w14:textId="77777777" w:rsidR="00F31F60" w:rsidRDefault="00F31F60" w:rsidP="002E2EEF">
            <w:pPr>
              <w:pStyle w:val="Zkladntext"/>
              <w:rPr>
                <w:sz w:val="22"/>
                <w:szCs w:val="22"/>
              </w:rPr>
            </w:pPr>
            <w:r w:rsidRPr="00F31F60">
              <w:rPr>
                <w:sz w:val="22"/>
                <w:szCs w:val="22"/>
              </w:rPr>
              <w:t xml:space="preserve">obchodním ředitelem, na základě plné moci </w:t>
            </w:r>
          </w:p>
          <w:p w14:paraId="6DEE3E8E" w14:textId="41CEBC9E" w:rsidR="002E2EEF" w:rsidRPr="008B701E" w:rsidRDefault="00F31F60" w:rsidP="002E2EEF">
            <w:pPr>
              <w:pStyle w:val="Zkladntext"/>
              <w:rPr>
                <w:b/>
                <w:sz w:val="22"/>
                <w:szCs w:val="22"/>
              </w:rPr>
            </w:pPr>
            <w:r w:rsidRPr="00F31F60">
              <w:rPr>
                <w:b/>
                <w:sz w:val="22"/>
                <w:szCs w:val="22"/>
              </w:rPr>
              <w:t>GJW Praha spol. s r.o.</w:t>
            </w:r>
          </w:p>
        </w:tc>
      </w:tr>
    </w:tbl>
    <w:p w14:paraId="033FAD3C" w14:textId="77777777" w:rsidR="002E2EEF" w:rsidRPr="008B701E" w:rsidRDefault="002E2EEF" w:rsidP="002E2EEF">
      <w:pPr>
        <w:spacing w:line="240" w:lineRule="auto"/>
        <w:jc w:val="center"/>
        <w:rPr>
          <w:sz w:val="22"/>
          <w:szCs w:val="22"/>
        </w:rPr>
      </w:pPr>
    </w:p>
    <w:p w14:paraId="3CE585B4" w14:textId="77777777" w:rsidR="00910CEF" w:rsidRDefault="00910CEF" w:rsidP="009E775D">
      <w:pPr>
        <w:spacing w:line="240" w:lineRule="auto"/>
        <w:rPr>
          <w:sz w:val="22"/>
          <w:szCs w:val="22"/>
        </w:rPr>
      </w:pPr>
    </w:p>
    <w:p w14:paraId="5E96A781" w14:textId="4AE13FF0" w:rsidR="00103D43" w:rsidRDefault="00103D43" w:rsidP="00103D43">
      <w:pPr>
        <w:pStyle w:val="Zpat"/>
        <w:spacing w:line="240" w:lineRule="auto"/>
        <w:jc w:val="center"/>
      </w:pPr>
      <w:r>
        <w:t xml:space="preserve">Za formální správnost a </w:t>
      </w:r>
      <w:r>
        <w:rPr>
          <w:iCs/>
        </w:rPr>
        <w:t>dodržení všech interních postupů a pravidel</w:t>
      </w:r>
      <w:r>
        <w:t xml:space="preserve"> ČP: </w:t>
      </w:r>
    </w:p>
    <w:p w14:paraId="5BE4E5F1" w14:textId="17154931" w:rsidR="00117AE5" w:rsidRDefault="0019467E" w:rsidP="0019467E">
      <w:pPr>
        <w:spacing w:line="240" w:lineRule="auto"/>
        <w:ind w:left="3540" w:firstLine="708"/>
        <w:jc w:val="left"/>
        <w:rPr>
          <w:sz w:val="22"/>
          <w:szCs w:val="22"/>
        </w:rPr>
        <w:sectPr w:rsidR="00117AE5" w:rsidSect="00117AE5">
          <w:footerReference w:type="default" r:id="rId14"/>
          <w:type w:val="continuous"/>
          <w:pgSz w:w="11906" w:h="16838" w:code="9"/>
          <w:pgMar w:top="2239" w:right="1418" w:bottom="1418" w:left="1418" w:header="426" w:footer="506" w:gutter="0"/>
          <w:cols w:space="708"/>
          <w:docGrid w:linePitch="360"/>
        </w:sectPr>
      </w:pPr>
      <w:proofErr w:type="spellStart"/>
      <w:r>
        <w:rPr>
          <w:sz w:val="22"/>
          <w:szCs w:val="22"/>
        </w:rPr>
        <w:t>xxx</w:t>
      </w:r>
      <w:proofErr w:type="spellEnd"/>
    </w:p>
    <w:p w14:paraId="7756271D" w14:textId="77777777" w:rsidR="003449D7" w:rsidRPr="009E775D" w:rsidRDefault="009E775D" w:rsidP="009E775D">
      <w:pPr>
        <w:spacing w:line="240" w:lineRule="auto"/>
        <w:jc w:val="left"/>
        <w:rPr>
          <w:sz w:val="22"/>
          <w:szCs w:val="22"/>
        </w:rPr>
      </w:pPr>
      <w:r w:rsidRPr="009E775D">
        <w:rPr>
          <w:sz w:val="22"/>
          <w:szCs w:val="22"/>
        </w:rPr>
        <w:br w:type="page"/>
      </w:r>
    </w:p>
    <w:p w14:paraId="3C3EE2A0" w14:textId="77777777" w:rsidR="009A5886" w:rsidRDefault="003449D7" w:rsidP="009A5886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 xml:space="preserve">Příloha č. 1 – </w:t>
      </w:r>
      <w:r w:rsidR="00700FA3" w:rsidRPr="00700FA3">
        <w:rPr>
          <w:b/>
          <w:sz w:val="22"/>
          <w:szCs w:val="22"/>
        </w:rPr>
        <w:t>Technické parametry vlečky</w:t>
      </w:r>
    </w:p>
    <w:p w14:paraId="0C3B94FE" w14:textId="5388E259" w:rsidR="009A5886" w:rsidRPr="009A5886" w:rsidRDefault="00700FA3" w:rsidP="009A5886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  <w:r w:rsidRPr="00700FA3">
        <w:rPr>
          <w:sz w:val="22"/>
          <w:szCs w:val="22"/>
        </w:rPr>
        <w:t>Název vlečky: Pošta Praha 022</w:t>
      </w:r>
    </w:p>
    <w:p w14:paraId="770E638A" w14:textId="64CF87BF" w:rsidR="00700FA3" w:rsidRPr="009A5886" w:rsidRDefault="00700FA3" w:rsidP="009A5886">
      <w:pPr>
        <w:pStyle w:val="Odstavec2"/>
        <w:numPr>
          <w:ilvl w:val="0"/>
          <w:numId w:val="0"/>
        </w:numPr>
        <w:spacing w:before="240" w:line="240" w:lineRule="auto"/>
        <w:ind w:left="624"/>
        <w:rPr>
          <w:sz w:val="22"/>
          <w:szCs w:val="22"/>
        </w:rPr>
      </w:pPr>
      <w:r w:rsidRPr="00700FA3">
        <w:rPr>
          <w:b/>
          <w:sz w:val="22"/>
          <w:szCs w:val="22"/>
        </w:rPr>
        <w:t>Výkaz tvarů železničního svršku: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2693"/>
      </w:tblGrid>
      <w:tr w:rsidR="00700FA3" w:rsidRPr="001655A5" w14:paraId="06AFAB99" w14:textId="77777777" w:rsidTr="000A5DEE">
        <w:trPr>
          <w:trHeight w:val="4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4E8AC7B" w14:textId="77777777" w:rsidR="00700FA3" w:rsidRPr="0035286E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NewRoman" w:hAnsi="TimesNewRoman" w:cs="TimesNewRoman"/>
                <w:b/>
                <w:sz w:val="24"/>
              </w:rPr>
            </w:pPr>
            <w:r w:rsidRPr="0035286E">
              <w:rPr>
                <w:rFonts w:ascii="TimesNewRoman,Bold" w:hAnsi="TimesNewRoman,Bold" w:cs="TimesNewRoman,Bold"/>
                <w:b/>
                <w:sz w:val="24"/>
              </w:rPr>
              <w:t>Typ železničního svršku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2DF228" w14:textId="77777777" w:rsidR="00700FA3" w:rsidRPr="0035286E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sz w:val="24"/>
              </w:rPr>
            </w:pPr>
            <w:r w:rsidRPr="0035286E">
              <w:rPr>
                <w:rFonts w:ascii="TimesNewRoman,Bold" w:hAnsi="TimesNewRoman,Bold" w:cs="TimesNewRoman,Bold"/>
                <w:b/>
                <w:sz w:val="24"/>
              </w:rPr>
              <w:t>Celkem stavební délka</w:t>
            </w:r>
          </w:p>
        </w:tc>
      </w:tr>
      <w:tr w:rsidR="00700FA3" w:rsidRPr="001655A5" w14:paraId="052401D2" w14:textId="77777777" w:rsidTr="000A5DE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AF80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 xml:space="preserve">Kolejnice </w:t>
            </w:r>
            <w:proofErr w:type="spellStart"/>
            <w:r w:rsidRPr="001655A5">
              <w:rPr>
                <w:rFonts w:ascii="TimesNewRoman" w:hAnsi="TimesNewRoman" w:cs="TimesNewRoman"/>
                <w:sz w:val="24"/>
              </w:rPr>
              <w:t>tv</w:t>
            </w:r>
            <w:proofErr w:type="spellEnd"/>
            <w:r w:rsidRPr="001655A5">
              <w:rPr>
                <w:rFonts w:ascii="TimesNewRoman" w:hAnsi="TimesNewRoman" w:cs="TimesNewRoman"/>
                <w:sz w:val="24"/>
              </w:rPr>
              <w:t>. S49, dřevěný pražec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8DB4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>2853 m</w:t>
            </w:r>
          </w:p>
        </w:tc>
      </w:tr>
      <w:tr w:rsidR="00700FA3" w:rsidRPr="001655A5" w14:paraId="27A10492" w14:textId="77777777" w:rsidTr="000A5DE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7715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 xml:space="preserve">Kolejnice </w:t>
            </w:r>
            <w:proofErr w:type="spellStart"/>
            <w:r w:rsidRPr="001655A5">
              <w:rPr>
                <w:rFonts w:ascii="TimesNewRoman" w:hAnsi="TimesNewRoman" w:cs="TimesNewRoman"/>
                <w:sz w:val="24"/>
              </w:rPr>
              <w:t>tv</w:t>
            </w:r>
            <w:proofErr w:type="spellEnd"/>
            <w:r w:rsidRPr="001655A5">
              <w:rPr>
                <w:rFonts w:ascii="TimesNewRoman" w:hAnsi="TimesNewRoman" w:cs="TimesNewRoman"/>
                <w:sz w:val="24"/>
              </w:rPr>
              <w:t>. S49, betonový pražec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3765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>1477 m</w:t>
            </w:r>
          </w:p>
        </w:tc>
      </w:tr>
      <w:tr w:rsidR="00700FA3" w:rsidRPr="001655A5" w14:paraId="00AAD48B" w14:textId="77777777" w:rsidTr="000A5DE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793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 xml:space="preserve">Kolejnice </w:t>
            </w:r>
            <w:proofErr w:type="spellStart"/>
            <w:r w:rsidRPr="001655A5">
              <w:rPr>
                <w:rFonts w:ascii="TimesNewRoman" w:hAnsi="TimesNewRoman" w:cs="TimesNewRoman"/>
                <w:sz w:val="24"/>
              </w:rPr>
              <w:t>tv</w:t>
            </w:r>
            <w:proofErr w:type="spellEnd"/>
            <w:r w:rsidRPr="001655A5">
              <w:rPr>
                <w:rFonts w:ascii="TimesNewRoman" w:hAnsi="TimesNewRoman" w:cs="TimesNewRoman"/>
                <w:sz w:val="24"/>
              </w:rPr>
              <w:t>. S49, přejezdová úprava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47A2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>507 m</w:t>
            </w:r>
          </w:p>
        </w:tc>
      </w:tr>
      <w:tr w:rsidR="00700FA3" w:rsidRPr="001655A5" w14:paraId="756C5AE7" w14:textId="77777777" w:rsidTr="000A5DE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7EEF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 xml:space="preserve">Kolejnice </w:t>
            </w:r>
            <w:proofErr w:type="spellStart"/>
            <w:r w:rsidRPr="001655A5">
              <w:rPr>
                <w:rFonts w:ascii="TimesNewRoman" w:hAnsi="TimesNewRoman" w:cs="TimesNewRoman"/>
                <w:sz w:val="24"/>
              </w:rPr>
              <w:t>tv</w:t>
            </w:r>
            <w:proofErr w:type="spellEnd"/>
            <w:r w:rsidRPr="001655A5">
              <w:rPr>
                <w:rFonts w:ascii="TimesNewRoman" w:hAnsi="TimesNewRoman" w:cs="TimesNewRoman"/>
                <w:sz w:val="24"/>
              </w:rPr>
              <w:t>. S49, pevná jízdní dráha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77A2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>159 m</w:t>
            </w:r>
          </w:p>
        </w:tc>
      </w:tr>
      <w:tr w:rsidR="00700FA3" w:rsidRPr="001655A5" w14:paraId="7C57F89D" w14:textId="77777777" w:rsidTr="000A5DE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385E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>Výhybky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5014" w14:textId="77777777" w:rsidR="00700FA3" w:rsidRPr="001655A5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,Bold" w:hAnsi="TimesNewRoman,Bold" w:cs="TimesNewRoman,Bold"/>
                <w:sz w:val="24"/>
              </w:rPr>
            </w:pPr>
            <w:r w:rsidRPr="001655A5">
              <w:rPr>
                <w:rFonts w:ascii="TimesNewRoman" w:hAnsi="TimesNewRoman" w:cs="TimesNewRoman"/>
                <w:sz w:val="24"/>
              </w:rPr>
              <w:t>452 m</w:t>
            </w:r>
          </w:p>
        </w:tc>
      </w:tr>
      <w:tr w:rsidR="00700FA3" w:rsidRPr="001655A5" w14:paraId="01FA9AFA" w14:textId="77777777" w:rsidTr="000A5DE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87B5" w14:textId="77777777" w:rsidR="00700FA3" w:rsidRPr="0035286E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" w:hAnsi="TimesNewRoman" w:cs="TimesNewRoman"/>
                <w:b/>
                <w:sz w:val="24"/>
              </w:rPr>
            </w:pPr>
            <w:r w:rsidRPr="0035286E">
              <w:rPr>
                <w:rFonts w:ascii="TimesNewRoman,BoldItalic" w:hAnsi="TimesNewRoman,BoldItalic" w:cs="TimesNewRoman,BoldItalic"/>
                <w:b/>
                <w:iCs/>
                <w:sz w:val="24"/>
              </w:rPr>
              <w:t>CELKEM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2183" w14:textId="77777777" w:rsidR="00700FA3" w:rsidRPr="0035286E" w:rsidRDefault="00700FA3" w:rsidP="000A5D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NewRoman" w:hAnsi="TimesNewRoman" w:cs="TimesNewRoman"/>
                <w:b/>
                <w:sz w:val="24"/>
              </w:rPr>
            </w:pPr>
            <w:r w:rsidRPr="0035286E">
              <w:rPr>
                <w:rFonts w:ascii="TimesNewRoman,BoldItalic" w:hAnsi="TimesNewRoman,BoldItalic" w:cs="TimesNewRoman,BoldItalic"/>
                <w:b/>
                <w:iCs/>
                <w:sz w:val="24"/>
              </w:rPr>
              <w:t>5448 m</w:t>
            </w:r>
          </w:p>
        </w:tc>
      </w:tr>
    </w:tbl>
    <w:p w14:paraId="32030906" w14:textId="77777777" w:rsidR="00700FA3" w:rsidRPr="00700FA3" w:rsidRDefault="00700FA3" w:rsidP="009E775D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14:paraId="5403A0F5" w14:textId="77777777" w:rsidR="009E775D" w:rsidRPr="009E775D" w:rsidRDefault="009E775D" w:rsidP="009E775D">
      <w:pPr>
        <w:spacing w:line="240" w:lineRule="auto"/>
        <w:jc w:val="left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br w:type="page"/>
      </w:r>
    </w:p>
    <w:p w14:paraId="5A424EC1" w14:textId="5241EC8F" w:rsidR="009E775D" w:rsidRPr="009E775D" w:rsidRDefault="003449D7" w:rsidP="009A5886">
      <w:pPr>
        <w:pStyle w:val="Odstavec2"/>
        <w:numPr>
          <w:ilvl w:val="0"/>
          <w:numId w:val="0"/>
        </w:numPr>
        <w:spacing w:after="240" w:line="240" w:lineRule="auto"/>
        <w:ind w:left="624" w:hanging="624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 xml:space="preserve">Příloha č. 2 – </w:t>
      </w:r>
      <w:r w:rsidR="00700FA3" w:rsidRPr="00700FA3">
        <w:rPr>
          <w:b/>
          <w:sz w:val="22"/>
          <w:szCs w:val="22"/>
        </w:rPr>
        <w:t xml:space="preserve">Specifikace </w:t>
      </w:r>
      <w:r w:rsidR="00F9263A">
        <w:rPr>
          <w:b/>
          <w:sz w:val="22"/>
          <w:szCs w:val="22"/>
        </w:rPr>
        <w:t>Služeb</w:t>
      </w:r>
      <w:r w:rsidR="007D643B" w:rsidRPr="00700FA3">
        <w:rPr>
          <w:b/>
          <w:sz w:val="22"/>
          <w:szCs w:val="22"/>
        </w:rPr>
        <w:t xml:space="preserve"> </w:t>
      </w:r>
      <w:r w:rsidR="00700FA3" w:rsidRPr="00700FA3">
        <w:rPr>
          <w:b/>
          <w:sz w:val="22"/>
          <w:szCs w:val="22"/>
        </w:rPr>
        <w:t xml:space="preserve">a </w:t>
      </w:r>
      <w:r w:rsidR="00F9263A">
        <w:rPr>
          <w:b/>
          <w:sz w:val="22"/>
          <w:szCs w:val="22"/>
        </w:rPr>
        <w:t>c</w:t>
      </w:r>
      <w:r w:rsidR="00700FA3" w:rsidRPr="00700FA3">
        <w:rPr>
          <w:b/>
          <w:sz w:val="22"/>
          <w:szCs w:val="22"/>
        </w:rPr>
        <w:t>ena</w:t>
      </w:r>
    </w:p>
    <w:tbl>
      <w:tblPr>
        <w:tblStyle w:val="Mkatabulky1"/>
        <w:tblW w:w="9286" w:type="dxa"/>
        <w:tblInd w:w="0" w:type="dxa"/>
        <w:tblLook w:val="01A0" w:firstRow="1" w:lastRow="0" w:firstColumn="1" w:lastColumn="1" w:noHBand="0" w:noVBand="0"/>
      </w:tblPr>
      <w:tblGrid>
        <w:gridCol w:w="534"/>
        <w:gridCol w:w="4377"/>
        <w:gridCol w:w="1272"/>
        <w:gridCol w:w="3103"/>
      </w:tblGrid>
      <w:tr w:rsidR="00700FA3" w:rsidRPr="0035286E" w14:paraId="56466EAC" w14:textId="77777777" w:rsidTr="000A5DEE">
        <w:trPr>
          <w:trHeight w:val="743"/>
        </w:trPr>
        <w:tc>
          <w:tcPr>
            <w:tcW w:w="534" w:type="dxa"/>
            <w:noWrap/>
            <w:hideMark/>
          </w:tcPr>
          <w:p w14:paraId="67BE10F6" w14:textId="77777777" w:rsidR="00700FA3" w:rsidRPr="00B1351B" w:rsidRDefault="00700FA3" w:rsidP="000A5DEE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4377" w:type="dxa"/>
            <w:noWrap/>
            <w:vAlign w:val="center"/>
            <w:hideMark/>
          </w:tcPr>
          <w:p w14:paraId="019DAB7A" w14:textId="77777777" w:rsidR="00700FA3" w:rsidRPr="00DD7D71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 w:rsidRPr="00DD7D71">
              <w:rPr>
                <w:rFonts w:ascii="Calibri" w:hAnsi="Calibri"/>
                <w:b/>
                <w:color w:val="000000"/>
                <w:sz w:val="24"/>
              </w:rPr>
              <w:t>Specifikace údržby nebo opravy vlečky</w:t>
            </w:r>
          </w:p>
        </w:tc>
        <w:tc>
          <w:tcPr>
            <w:tcW w:w="1272" w:type="dxa"/>
            <w:noWrap/>
            <w:vAlign w:val="center"/>
            <w:hideMark/>
          </w:tcPr>
          <w:p w14:paraId="18C80F56" w14:textId="77777777" w:rsidR="00700FA3" w:rsidRPr="00DD7D71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Měrná j</w:t>
            </w:r>
            <w:r w:rsidRPr="00DD7D71">
              <w:rPr>
                <w:rFonts w:ascii="Calibri" w:hAnsi="Calibri"/>
                <w:b/>
                <w:color w:val="000000"/>
                <w:sz w:val="24"/>
              </w:rPr>
              <w:t>ednotk</w:t>
            </w:r>
            <w:r>
              <w:rPr>
                <w:rFonts w:ascii="Calibri" w:hAnsi="Calibri"/>
                <w:b/>
                <w:color w:val="000000"/>
                <w:sz w:val="24"/>
              </w:rPr>
              <w:t>a (MJ)</w:t>
            </w:r>
          </w:p>
        </w:tc>
        <w:tc>
          <w:tcPr>
            <w:tcW w:w="3103" w:type="dxa"/>
            <w:vAlign w:val="center"/>
            <w:hideMark/>
          </w:tcPr>
          <w:p w14:paraId="4E010992" w14:textId="77777777" w:rsidR="00700FA3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C</w:t>
            </w:r>
            <w:r w:rsidRPr="00DD7D71">
              <w:rPr>
                <w:rFonts w:ascii="Calibri" w:hAnsi="Calibri"/>
                <w:b/>
                <w:color w:val="000000"/>
                <w:sz w:val="24"/>
              </w:rPr>
              <w:t xml:space="preserve">ena </w:t>
            </w:r>
            <w:r>
              <w:rPr>
                <w:rFonts w:ascii="Calibri" w:hAnsi="Calibri"/>
                <w:b/>
                <w:color w:val="000000"/>
                <w:sz w:val="24"/>
              </w:rPr>
              <w:t>za MJ (</w:t>
            </w:r>
            <w:r w:rsidRPr="00DD7D71">
              <w:rPr>
                <w:rFonts w:ascii="Calibri" w:hAnsi="Calibri"/>
                <w:b/>
                <w:color w:val="000000"/>
                <w:sz w:val="24"/>
              </w:rPr>
              <w:t>včetně práce a materiálu</w:t>
            </w:r>
            <w:r>
              <w:rPr>
                <w:rFonts w:ascii="Calibri" w:hAnsi="Calibri"/>
                <w:b/>
                <w:color w:val="000000"/>
                <w:sz w:val="24"/>
              </w:rPr>
              <w:t>)</w:t>
            </w:r>
          </w:p>
          <w:p w14:paraId="18D8F547" w14:textId="77777777" w:rsidR="00700FA3" w:rsidRPr="00E96DDD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 w:rsidRPr="00E96DDD">
              <w:rPr>
                <w:rFonts w:ascii="Calibri" w:hAnsi="Calibri"/>
                <w:b/>
                <w:color w:val="000000"/>
                <w:sz w:val="24"/>
              </w:rPr>
              <w:t>v Kč (bez DPH)</w:t>
            </w:r>
          </w:p>
        </w:tc>
      </w:tr>
      <w:tr w:rsidR="00700FA3" w:rsidRPr="00B1351B" w14:paraId="78A494E9" w14:textId="77777777" w:rsidTr="000A5DEE">
        <w:trPr>
          <w:trHeight w:val="510"/>
        </w:trPr>
        <w:tc>
          <w:tcPr>
            <w:tcW w:w="534" w:type="dxa"/>
            <w:noWrap/>
            <w:vAlign w:val="center"/>
          </w:tcPr>
          <w:p w14:paraId="67109A11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4377" w:type="dxa"/>
            <w:vAlign w:val="center"/>
          </w:tcPr>
          <w:p w14:paraId="02F3795D" w14:textId="77777777" w:rsidR="00700FA3" w:rsidRPr="00E96DDD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E96DDD">
              <w:rPr>
                <w:rFonts w:ascii="Calibri" w:hAnsi="Calibri"/>
                <w:b/>
                <w:color w:val="000000"/>
                <w:szCs w:val="20"/>
              </w:rPr>
              <w:t>Služby přímo oceněné (konečná cena bez použití hodinové sazby, zahrnující cenu veškerého materiálu a práce pro provedení Služby)</w:t>
            </w:r>
          </w:p>
        </w:tc>
        <w:tc>
          <w:tcPr>
            <w:tcW w:w="1272" w:type="dxa"/>
            <w:noWrap/>
            <w:vAlign w:val="center"/>
          </w:tcPr>
          <w:p w14:paraId="51838993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3103" w:type="dxa"/>
            <w:noWrap/>
            <w:vAlign w:val="center"/>
          </w:tcPr>
          <w:p w14:paraId="3E41AD5D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700FA3" w:rsidRPr="00B1351B" w14:paraId="60267F87" w14:textId="77777777" w:rsidTr="000A5DEE">
        <w:trPr>
          <w:trHeight w:val="510"/>
        </w:trPr>
        <w:tc>
          <w:tcPr>
            <w:tcW w:w="534" w:type="dxa"/>
            <w:noWrap/>
            <w:vAlign w:val="center"/>
            <w:hideMark/>
          </w:tcPr>
          <w:p w14:paraId="5CF19D76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4377" w:type="dxa"/>
            <w:vAlign w:val="center"/>
            <w:hideMark/>
          </w:tcPr>
          <w:p w14:paraId="3C32AA95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výměna pražců dřevěných dubových normální délky - jednotlivě</w:t>
            </w:r>
          </w:p>
        </w:tc>
        <w:tc>
          <w:tcPr>
            <w:tcW w:w="1272" w:type="dxa"/>
            <w:noWrap/>
            <w:vAlign w:val="center"/>
            <w:hideMark/>
          </w:tcPr>
          <w:p w14:paraId="7EC6F37C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  <w:hideMark/>
          </w:tcPr>
          <w:p w14:paraId="3177E8B0" w14:textId="168B32CC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6896670A" w14:textId="77777777" w:rsidTr="000A5DEE">
        <w:trPr>
          <w:trHeight w:val="510"/>
        </w:trPr>
        <w:tc>
          <w:tcPr>
            <w:tcW w:w="534" w:type="dxa"/>
            <w:noWrap/>
            <w:vAlign w:val="center"/>
            <w:hideMark/>
          </w:tcPr>
          <w:p w14:paraId="3FF744D8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2</w:t>
            </w:r>
          </w:p>
        </w:tc>
        <w:tc>
          <w:tcPr>
            <w:tcW w:w="4377" w:type="dxa"/>
            <w:vAlign w:val="center"/>
            <w:hideMark/>
          </w:tcPr>
          <w:p w14:paraId="0C18F467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výměna pražců výhybkových dubových (délky pod 3 m) - jednotlivě</w:t>
            </w:r>
          </w:p>
        </w:tc>
        <w:tc>
          <w:tcPr>
            <w:tcW w:w="1272" w:type="dxa"/>
            <w:noWrap/>
            <w:vAlign w:val="center"/>
            <w:hideMark/>
          </w:tcPr>
          <w:p w14:paraId="3464D668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  <w:hideMark/>
          </w:tcPr>
          <w:p w14:paraId="1B821618" w14:textId="2F1EF332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6D4ED00D" w14:textId="77777777" w:rsidTr="000A5DEE">
        <w:trPr>
          <w:trHeight w:val="510"/>
        </w:trPr>
        <w:tc>
          <w:tcPr>
            <w:tcW w:w="534" w:type="dxa"/>
            <w:noWrap/>
            <w:vAlign w:val="center"/>
            <w:hideMark/>
          </w:tcPr>
          <w:p w14:paraId="6CFBE00B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3</w:t>
            </w:r>
          </w:p>
        </w:tc>
        <w:tc>
          <w:tcPr>
            <w:tcW w:w="4377" w:type="dxa"/>
            <w:vAlign w:val="center"/>
            <w:hideMark/>
          </w:tcPr>
          <w:p w14:paraId="15CEF80A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výměna pražců výhybkových dubových (délky pod 4 m) - jednotlivě</w:t>
            </w:r>
          </w:p>
        </w:tc>
        <w:tc>
          <w:tcPr>
            <w:tcW w:w="1272" w:type="dxa"/>
            <w:noWrap/>
            <w:vAlign w:val="center"/>
            <w:hideMark/>
          </w:tcPr>
          <w:p w14:paraId="400E5CCB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020AA454" w14:textId="1926DE37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388DE302" w14:textId="77777777" w:rsidTr="000A5DEE">
        <w:trPr>
          <w:trHeight w:val="510"/>
        </w:trPr>
        <w:tc>
          <w:tcPr>
            <w:tcW w:w="534" w:type="dxa"/>
            <w:noWrap/>
            <w:vAlign w:val="center"/>
            <w:hideMark/>
          </w:tcPr>
          <w:p w14:paraId="03908302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4</w:t>
            </w:r>
          </w:p>
        </w:tc>
        <w:tc>
          <w:tcPr>
            <w:tcW w:w="4377" w:type="dxa"/>
            <w:vAlign w:val="center"/>
            <w:hideMark/>
          </w:tcPr>
          <w:p w14:paraId="59FE86B8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výměna pražců výhybkových dubových (délky 4 m a více) - jednotlivě</w:t>
            </w:r>
          </w:p>
        </w:tc>
        <w:tc>
          <w:tcPr>
            <w:tcW w:w="1272" w:type="dxa"/>
            <w:noWrap/>
            <w:vAlign w:val="center"/>
            <w:hideMark/>
          </w:tcPr>
          <w:p w14:paraId="14831404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03A3A8C3" w14:textId="221AE778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43FA409B" w14:textId="77777777" w:rsidTr="000A5DEE">
        <w:trPr>
          <w:trHeight w:val="465"/>
        </w:trPr>
        <w:tc>
          <w:tcPr>
            <w:tcW w:w="534" w:type="dxa"/>
            <w:noWrap/>
            <w:vAlign w:val="center"/>
            <w:hideMark/>
          </w:tcPr>
          <w:p w14:paraId="364A96F9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5</w:t>
            </w:r>
          </w:p>
        </w:tc>
        <w:tc>
          <w:tcPr>
            <w:tcW w:w="4377" w:type="dxa"/>
            <w:vAlign w:val="center"/>
            <w:hideMark/>
          </w:tcPr>
          <w:p w14:paraId="668EA0BA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ekologická likvidace pražce (1t)</w:t>
            </w:r>
          </w:p>
        </w:tc>
        <w:tc>
          <w:tcPr>
            <w:tcW w:w="1272" w:type="dxa"/>
            <w:noWrap/>
            <w:vAlign w:val="center"/>
            <w:hideMark/>
          </w:tcPr>
          <w:p w14:paraId="08B8EA59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t</w:t>
            </w:r>
          </w:p>
        </w:tc>
        <w:tc>
          <w:tcPr>
            <w:tcW w:w="3103" w:type="dxa"/>
            <w:noWrap/>
            <w:vAlign w:val="center"/>
          </w:tcPr>
          <w:p w14:paraId="39030597" w14:textId="034EE563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53CE7C88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728D5079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6</w:t>
            </w:r>
          </w:p>
        </w:tc>
        <w:tc>
          <w:tcPr>
            <w:tcW w:w="4377" w:type="dxa"/>
            <w:vAlign w:val="center"/>
            <w:hideMark/>
          </w:tcPr>
          <w:p w14:paraId="32552DD1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oprava jazyku navařením a broušením (základní délky 1,2 m)</w:t>
            </w:r>
          </w:p>
        </w:tc>
        <w:tc>
          <w:tcPr>
            <w:tcW w:w="1272" w:type="dxa"/>
            <w:noWrap/>
            <w:vAlign w:val="center"/>
            <w:hideMark/>
          </w:tcPr>
          <w:p w14:paraId="08CB6825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7E671646" w14:textId="3B8EA8B6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2BD75C3B" w14:textId="77777777" w:rsidTr="000A5DEE">
        <w:trPr>
          <w:trHeight w:val="510"/>
        </w:trPr>
        <w:tc>
          <w:tcPr>
            <w:tcW w:w="534" w:type="dxa"/>
            <w:noWrap/>
            <w:vAlign w:val="center"/>
            <w:hideMark/>
          </w:tcPr>
          <w:p w14:paraId="338C460C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7</w:t>
            </w:r>
          </w:p>
        </w:tc>
        <w:tc>
          <w:tcPr>
            <w:tcW w:w="4377" w:type="dxa"/>
            <w:vAlign w:val="center"/>
            <w:hideMark/>
          </w:tcPr>
          <w:p w14:paraId="27680FA1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oprava jazyku navařením a broušením (každých dalších 0,2 m)</w:t>
            </w:r>
          </w:p>
        </w:tc>
        <w:tc>
          <w:tcPr>
            <w:tcW w:w="1272" w:type="dxa"/>
            <w:noWrap/>
            <w:vAlign w:val="center"/>
            <w:hideMark/>
          </w:tcPr>
          <w:p w14:paraId="5E2C6216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67BBD496" w14:textId="598B019F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5A6928B8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7FF9FFD2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8</w:t>
            </w:r>
          </w:p>
        </w:tc>
        <w:tc>
          <w:tcPr>
            <w:tcW w:w="4377" w:type="dxa"/>
            <w:vAlign w:val="center"/>
            <w:hideMark/>
          </w:tcPr>
          <w:p w14:paraId="34D82AED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oprava srdcovky nav</w:t>
            </w:r>
            <w:r>
              <w:rPr>
                <w:rFonts w:ascii="Calibri" w:hAnsi="Calibri"/>
                <w:color w:val="000000"/>
                <w:szCs w:val="20"/>
              </w:rPr>
              <w:t>a</w:t>
            </w:r>
            <w:r w:rsidRPr="00B1351B">
              <w:rPr>
                <w:rFonts w:ascii="Calibri" w:hAnsi="Calibri"/>
                <w:color w:val="000000"/>
                <w:szCs w:val="20"/>
              </w:rPr>
              <w:t>řením a broušením (1 : 7,5 - 190)</w:t>
            </w:r>
          </w:p>
        </w:tc>
        <w:tc>
          <w:tcPr>
            <w:tcW w:w="1272" w:type="dxa"/>
            <w:noWrap/>
            <w:vAlign w:val="center"/>
            <w:hideMark/>
          </w:tcPr>
          <w:p w14:paraId="63F3A7E1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157C3E27" w14:textId="173639E9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37C4F605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0F4C10C9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9</w:t>
            </w:r>
          </w:p>
        </w:tc>
        <w:tc>
          <w:tcPr>
            <w:tcW w:w="4377" w:type="dxa"/>
            <w:vAlign w:val="center"/>
            <w:hideMark/>
          </w:tcPr>
          <w:p w14:paraId="742C9EBF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oprava srdcovky nav</w:t>
            </w:r>
            <w:r>
              <w:rPr>
                <w:rFonts w:ascii="Calibri" w:hAnsi="Calibri"/>
                <w:color w:val="000000"/>
                <w:szCs w:val="20"/>
              </w:rPr>
              <w:t>a</w:t>
            </w:r>
            <w:r w:rsidRPr="00B1351B">
              <w:rPr>
                <w:rFonts w:ascii="Calibri" w:hAnsi="Calibri"/>
                <w:color w:val="000000"/>
                <w:szCs w:val="20"/>
              </w:rPr>
              <w:t>řením a broušením (1 : 9 - 300)</w:t>
            </w:r>
          </w:p>
        </w:tc>
        <w:tc>
          <w:tcPr>
            <w:tcW w:w="1272" w:type="dxa"/>
            <w:noWrap/>
            <w:vAlign w:val="center"/>
            <w:hideMark/>
          </w:tcPr>
          <w:p w14:paraId="6ED2FA46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2ED8370F" w14:textId="58EEF61A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0CA07F50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1A1EE0CE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10</w:t>
            </w:r>
          </w:p>
        </w:tc>
        <w:tc>
          <w:tcPr>
            <w:tcW w:w="4377" w:type="dxa"/>
            <w:vAlign w:val="center"/>
            <w:hideMark/>
          </w:tcPr>
          <w:p w14:paraId="2DA30126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 xml:space="preserve">oprava rohatých styků - </w:t>
            </w:r>
            <w:proofErr w:type="spellStart"/>
            <w:r w:rsidRPr="00B1351B">
              <w:rPr>
                <w:rFonts w:ascii="Calibri" w:hAnsi="Calibri"/>
                <w:color w:val="000000"/>
                <w:szCs w:val="20"/>
              </w:rPr>
              <w:t>vysměrováním</w:t>
            </w:r>
            <w:proofErr w:type="spellEnd"/>
          </w:p>
        </w:tc>
        <w:tc>
          <w:tcPr>
            <w:tcW w:w="1272" w:type="dxa"/>
            <w:noWrap/>
            <w:vAlign w:val="center"/>
            <w:hideMark/>
          </w:tcPr>
          <w:p w14:paraId="616FDF20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1BCFC40A" w14:textId="353491A9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63A264B4" w14:textId="77777777" w:rsidTr="000A5DEE">
        <w:trPr>
          <w:trHeight w:val="510"/>
        </w:trPr>
        <w:tc>
          <w:tcPr>
            <w:tcW w:w="534" w:type="dxa"/>
            <w:noWrap/>
            <w:vAlign w:val="center"/>
            <w:hideMark/>
          </w:tcPr>
          <w:p w14:paraId="0440E513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11</w:t>
            </w:r>
          </w:p>
        </w:tc>
        <w:tc>
          <w:tcPr>
            <w:tcW w:w="4377" w:type="dxa"/>
            <w:vAlign w:val="center"/>
            <w:hideMark/>
          </w:tcPr>
          <w:p w14:paraId="48A0C88B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oprava rozchodů na pražci s upevněním v žebrových podkladnicích</w:t>
            </w:r>
          </w:p>
        </w:tc>
        <w:tc>
          <w:tcPr>
            <w:tcW w:w="1272" w:type="dxa"/>
            <w:noWrap/>
            <w:vAlign w:val="center"/>
            <w:hideMark/>
          </w:tcPr>
          <w:p w14:paraId="5B3A50A4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67347CBE" w14:textId="63462BE3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7EB6764D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67FE4BDE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12</w:t>
            </w:r>
          </w:p>
        </w:tc>
        <w:tc>
          <w:tcPr>
            <w:tcW w:w="4377" w:type="dxa"/>
            <w:vAlign w:val="center"/>
            <w:hideMark/>
          </w:tcPr>
          <w:p w14:paraId="21B174DE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podbití 1 ks pražce (výšková úprava)</w:t>
            </w:r>
          </w:p>
        </w:tc>
        <w:tc>
          <w:tcPr>
            <w:tcW w:w="1272" w:type="dxa"/>
            <w:noWrap/>
            <w:vAlign w:val="center"/>
            <w:hideMark/>
          </w:tcPr>
          <w:p w14:paraId="2FDD2DBC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ks</w:t>
            </w:r>
          </w:p>
        </w:tc>
        <w:tc>
          <w:tcPr>
            <w:tcW w:w="3103" w:type="dxa"/>
            <w:noWrap/>
            <w:vAlign w:val="center"/>
          </w:tcPr>
          <w:p w14:paraId="53304AE8" w14:textId="46319C44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1D71692A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38E567E0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13</w:t>
            </w:r>
          </w:p>
        </w:tc>
        <w:tc>
          <w:tcPr>
            <w:tcW w:w="4377" w:type="dxa"/>
            <w:vAlign w:val="center"/>
            <w:hideMark/>
          </w:tcPr>
          <w:p w14:paraId="53CED89C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doplnění štěrku (1 t)</w:t>
            </w:r>
          </w:p>
        </w:tc>
        <w:tc>
          <w:tcPr>
            <w:tcW w:w="1272" w:type="dxa"/>
            <w:noWrap/>
            <w:vAlign w:val="center"/>
            <w:hideMark/>
          </w:tcPr>
          <w:p w14:paraId="4158C984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t</w:t>
            </w:r>
          </w:p>
        </w:tc>
        <w:tc>
          <w:tcPr>
            <w:tcW w:w="3103" w:type="dxa"/>
            <w:noWrap/>
            <w:vAlign w:val="center"/>
          </w:tcPr>
          <w:p w14:paraId="06379590" w14:textId="7DA0553C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559C7E6A" w14:textId="77777777" w:rsidTr="000A5DEE">
        <w:trPr>
          <w:trHeight w:val="300"/>
        </w:trPr>
        <w:tc>
          <w:tcPr>
            <w:tcW w:w="534" w:type="dxa"/>
            <w:noWrap/>
            <w:vAlign w:val="center"/>
            <w:hideMark/>
          </w:tcPr>
          <w:p w14:paraId="22DC3E69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14</w:t>
            </w:r>
          </w:p>
        </w:tc>
        <w:tc>
          <w:tcPr>
            <w:tcW w:w="4377" w:type="dxa"/>
            <w:vAlign w:val="center"/>
            <w:hideMark/>
          </w:tcPr>
          <w:p w14:paraId="765306ED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E5089E">
              <w:rPr>
                <w:rFonts w:ascii="Calibri" w:hAnsi="Calibri"/>
                <w:color w:val="000000"/>
                <w:szCs w:val="20"/>
              </w:rPr>
              <w:t>oprava (obnova) vodorovného bezpečnostního značení</w:t>
            </w:r>
          </w:p>
        </w:tc>
        <w:tc>
          <w:tcPr>
            <w:tcW w:w="1272" w:type="dxa"/>
            <w:noWrap/>
            <w:vAlign w:val="center"/>
            <w:hideMark/>
          </w:tcPr>
          <w:p w14:paraId="6A3DA88F" w14:textId="77777777" w:rsidR="00700FA3" w:rsidRPr="00F55BDA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  <w:vertAlign w:val="superscript"/>
              </w:rPr>
            </w:pPr>
            <w:r>
              <w:rPr>
                <w:rFonts w:ascii="Calibri" w:hAnsi="Calibri"/>
                <w:color w:val="000000"/>
                <w:szCs w:val="20"/>
              </w:rPr>
              <w:t>m</w:t>
            </w:r>
            <w:r>
              <w:rPr>
                <w:rFonts w:ascii="Calibri" w:hAnsi="Calibri"/>
                <w:color w:val="000000"/>
                <w:szCs w:val="20"/>
                <w:vertAlign w:val="superscript"/>
              </w:rPr>
              <w:t>2</w:t>
            </w:r>
          </w:p>
        </w:tc>
        <w:tc>
          <w:tcPr>
            <w:tcW w:w="3103" w:type="dxa"/>
            <w:noWrap/>
            <w:vAlign w:val="center"/>
          </w:tcPr>
          <w:p w14:paraId="5A785688" w14:textId="235EC95E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50343486" w14:textId="77777777" w:rsidTr="000A5DEE">
        <w:trPr>
          <w:trHeight w:val="300"/>
        </w:trPr>
        <w:tc>
          <w:tcPr>
            <w:tcW w:w="534" w:type="dxa"/>
            <w:noWrap/>
            <w:vAlign w:val="center"/>
          </w:tcPr>
          <w:p w14:paraId="6FAA8EA2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15</w:t>
            </w:r>
          </w:p>
        </w:tc>
        <w:tc>
          <w:tcPr>
            <w:tcW w:w="4377" w:type="dxa"/>
            <w:vAlign w:val="center"/>
          </w:tcPr>
          <w:p w14:paraId="7D2ECCCB" w14:textId="77777777" w:rsidR="00700FA3" w:rsidRPr="00A12C75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A12C75">
              <w:rPr>
                <w:rFonts w:ascii="Calibri" w:hAnsi="Calibri"/>
                <w:color w:val="000000"/>
                <w:szCs w:val="20"/>
              </w:rPr>
              <w:t>Ruční přesun hmot</w:t>
            </w:r>
          </w:p>
        </w:tc>
        <w:tc>
          <w:tcPr>
            <w:tcW w:w="1272" w:type="dxa"/>
            <w:noWrap/>
            <w:vAlign w:val="center"/>
          </w:tcPr>
          <w:p w14:paraId="07736FFA" w14:textId="77777777" w:rsidR="00700FA3" w:rsidRPr="00A12C75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A12C75">
              <w:rPr>
                <w:rFonts w:ascii="Calibri" w:hAnsi="Calibri"/>
                <w:color w:val="000000"/>
                <w:szCs w:val="20"/>
              </w:rPr>
              <w:t>t</w:t>
            </w:r>
          </w:p>
        </w:tc>
        <w:tc>
          <w:tcPr>
            <w:tcW w:w="3103" w:type="dxa"/>
            <w:noWrap/>
            <w:vAlign w:val="center"/>
          </w:tcPr>
          <w:p w14:paraId="729B7068" w14:textId="28A59256" w:rsidR="00700FA3" w:rsidRPr="00602C76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13296CA0" w14:textId="77777777" w:rsidTr="000A5DEE">
        <w:trPr>
          <w:trHeight w:val="300"/>
        </w:trPr>
        <w:tc>
          <w:tcPr>
            <w:tcW w:w="534" w:type="dxa"/>
            <w:noWrap/>
            <w:vAlign w:val="center"/>
          </w:tcPr>
          <w:p w14:paraId="7DCFE480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4377" w:type="dxa"/>
            <w:vAlign w:val="center"/>
          </w:tcPr>
          <w:p w14:paraId="2B7DEAF4" w14:textId="77777777" w:rsidR="00700FA3" w:rsidRPr="00E96DDD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E96DDD">
              <w:rPr>
                <w:rFonts w:ascii="Calibri" w:hAnsi="Calibri"/>
                <w:b/>
                <w:color w:val="000000"/>
                <w:szCs w:val="20"/>
              </w:rPr>
              <w:t>Služby oceněné hodinovou sazbou (samostatně se účtuje pouze vlečkový spojovací materiál – propojka</w:t>
            </w:r>
            <w:r w:rsidRPr="00700FA3">
              <w:rPr>
                <w:rFonts w:ascii="Calibri" w:hAnsi="Calibri"/>
                <w:b/>
                <w:color w:val="000000"/>
                <w:szCs w:val="20"/>
              </w:rPr>
              <w:t>, ….).</w:t>
            </w:r>
            <w:r w:rsidRPr="00E96DDD">
              <w:rPr>
                <w:rFonts w:ascii="Calibri" w:hAnsi="Calibri"/>
                <w:b/>
                <w:color w:val="000000"/>
                <w:szCs w:val="20"/>
              </w:rPr>
              <w:t xml:space="preserve"> Ostatní náklady (doprava, mazadla, pohonné hmoty, barvy atd.) jsou zahrnuty do hodinové sazby.</w:t>
            </w:r>
          </w:p>
        </w:tc>
        <w:tc>
          <w:tcPr>
            <w:tcW w:w="1272" w:type="dxa"/>
            <w:noWrap/>
            <w:vAlign w:val="center"/>
          </w:tcPr>
          <w:p w14:paraId="18AB4E36" w14:textId="77777777" w:rsidR="00700FA3" w:rsidRPr="009D7C3C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9D7C3C">
              <w:rPr>
                <w:rFonts w:ascii="Calibri" w:hAnsi="Calibri"/>
                <w:b/>
                <w:color w:val="000000"/>
                <w:szCs w:val="20"/>
              </w:rPr>
              <w:t>Měrná jednotka (MJ)</w:t>
            </w:r>
          </w:p>
        </w:tc>
        <w:tc>
          <w:tcPr>
            <w:tcW w:w="3103" w:type="dxa"/>
            <w:noWrap/>
            <w:vAlign w:val="center"/>
          </w:tcPr>
          <w:p w14:paraId="7EE43099" w14:textId="77777777" w:rsidR="00700FA3" w:rsidRPr="009D7C3C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9D7C3C">
              <w:rPr>
                <w:rFonts w:ascii="Calibri" w:hAnsi="Calibri"/>
                <w:b/>
                <w:color w:val="000000"/>
                <w:szCs w:val="20"/>
              </w:rPr>
              <w:t>Cena za MJ</w:t>
            </w:r>
          </w:p>
        </w:tc>
      </w:tr>
      <w:tr w:rsidR="00700FA3" w:rsidRPr="00B1351B" w14:paraId="06F0625F" w14:textId="77777777" w:rsidTr="000A5DEE">
        <w:trPr>
          <w:trHeight w:val="274"/>
        </w:trPr>
        <w:tc>
          <w:tcPr>
            <w:tcW w:w="534" w:type="dxa"/>
            <w:noWrap/>
            <w:vAlign w:val="center"/>
          </w:tcPr>
          <w:p w14:paraId="3738E029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16</w:t>
            </w:r>
          </w:p>
        </w:tc>
        <w:tc>
          <w:tcPr>
            <w:tcW w:w="4377" w:type="dxa"/>
            <w:vAlign w:val="center"/>
          </w:tcPr>
          <w:p w14:paraId="1BFC5AEA" w14:textId="77777777" w:rsidR="00700FA3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 xml:space="preserve">Hodinová sazba </w:t>
            </w:r>
            <w:r w:rsidRPr="00E96DDD">
              <w:rPr>
                <w:rFonts w:ascii="Calibri" w:hAnsi="Calibri"/>
                <w:b/>
                <w:color w:val="000000"/>
              </w:rPr>
              <w:t xml:space="preserve">za </w:t>
            </w:r>
            <w:r w:rsidRPr="00026E15">
              <w:rPr>
                <w:rFonts w:ascii="Calibri" w:hAnsi="Calibri"/>
                <w:b/>
                <w:color w:val="000000"/>
                <w:szCs w:val="20"/>
              </w:rPr>
              <w:t>odborné práce</w:t>
            </w:r>
            <w:r>
              <w:rPr>
                <w:rFonts w:ascii="Calibri" w:hAnsi="Calibri"/>
                <w:color w:val="000000"/>
                <w:szCs w:val="20"/>
              </w:rPr>
              <w:t xml:space="preserve"> (min. 2 hodiny práce):</w:t>
            </w:r>
          </w:p>
          <w:p w14:paraId="3B388A91" w14:textId="77777777" w:rsidR="00700FA3" w:rsidRPr="00E5089E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E5089E">
              <w:rPr>
                <w:rFonts w:ascii="Calibri" w:hAnsi="Calibri"/>
                <w:color w:val="000000"/>
                <w:szCs w:val="20"/>
              </w:rPr>
              <w:t xml:space="preserve">např. těsný hák, </w:t>
            </w:r>
            <w:r>
              <w:rPr>
                <w:rFonts w:ascii="Calibri" w:hAnsi="Calibri"/>
                <w:color w:val="000000"/>
                <w:szCs w:val="20"/>
              </w:rPr>
              <w:t>montáž</w:t>
            </w:r>
            <w:r w:rsidRPr="00E5089E">
              <w:rPr>
                <w:rFonts w:ascii="Calibri" w:hAnsi="Calibri"/>
                <w:color w:val="00000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Cs w:val="20"/>
              </w:rPr>
              <w:t>spojovacího materiálu (včetně jeho dodání – spojovací materiál se účtuje samostatně)</w:t>
            </w:r>
            <w:r w:rsidRPr="00E5089E">
              <w:rPr>
                <w:rFonts w:ascii="Calibri" w:hAnsi="Calibri"/>
                <w:color w:val="000000"/>
                <w:szCs w:val="20"/>
              </w:rPr>
              <w:t xml:space="preserve">, obsazený kolejový obvod, jiné technické závady, komplexní čištění a mazání výhybky, čištění stavěcích prostor výhybky, seřízení mechanických částí výhybky, dotahování upevňovadel, záměna nebo výměna kolejnicových pásů, oprava rozchodu na pražci, oprava výšky koleje podbíjením, práce související s výměnou přídržnice, práce </w:t>
            </w:r>
            <w:r>
              <w:rPr>
                <w:rFonts w:ascii="Calibri" w:hAnsi="Calibri"/>
                <w:color w:val="000000"/>
                <w:szCs w:val="20"/>
              </w:rPr>
              <w:t>při</w:t>
            </w:r>
            <w:r w:rsidRPr="00E5089E">
              <w:rPr>
                <w:rFonts w:ascii="Calibri" w:hAnsi="Calibri"/>
                <w:color w:val="000000"/>
                <w:szCs w:val="20"/>
              </w:rPr>
              <w:t xml:space="preserve"> dosazení kolíkové propojky, </w:t>
            </w:r>
            <w:r w:rsidRPr="00E5089E">
              <w:rPr>
                <w:rFonts w:ascii="Calibri" w:hAnsi="Calibri"/>
                <w:color w:val="000000"/>
                <w:szCs w:val="20"/>
              </w:rPr>
              <w:lastRenderedPageBreak/>
              <w:t xml:space="preserve">práce </w:t>
            </w:r>
            <w:r>
              <w:rPr>
                <w:rFonts w:ascii="Calibri" w:hAnsi="Calibri"/>
                <w:color w:val="000000"/>
                <w:szCs w:val="20"/>
              </w:rPr>
              <w:t>při</w:t>
            </w:r>
            <w:r w:rsidRPr="00E5089E">
              <w:rPr>
                <w:rFonts w:ascii="Calibri" w:hAnsi="Calibri"/>
                <w:color w:val="000000"/>
                <w:szCs w:val="20"/>
              </w:rPr>
              <w:t xml:space="preserve"> oprav</w:t>
            </w:r>
            <w:r>
              <w:rPr>
                <w:rFonts w:ascii="Calibri" w:hAnsi="Calibri"/>
                <w:color w:val="000000"/>
                <w:szCs w:val="20"/>
              </w:rPr>
              <w:t>ě</w:t>
            </w:r>
            <w:r w:rsidRPr="00E5089E">
              <w:rPr>
                <w:rFonts w:ascii="Calibri" w:hAnsi="Calibri"/>
                <w:color w:val="000000"/>
                <w:szCs w:val="20"/>
              </w:rPr>
              <w:t xml:space="preserve"> silničních přejezdů, práce </w:t>
            </w:r>
            <w:r>
              <w:rPr>
                <w:rFonts w:ascii="Calibri" w:hAnsi="Calibri"/>
                <w:color w:val="000000"/>
                <w:szCs w:val="20"/>
              </w:rPr>
              <w:t>při</w:t>
            </w:r>
            <w:r w:rsidRPr="00E5089E">
              <w:rPr>
                <w:rFonts w:ascii="Calibri" w:hAnsi="Calibri"/>
                <w:color w:val="000000"/>
                <w:szCs w:val="20"/>
              </w:rPr>
              <w:t xml:space="preserve"> dosazení krycích desek na drenážích, oprava (obnova) svislého značení</w:t>
            </w:r>
          </w:p>
        </w:tc>
        <w:tc>
          <w:tcPr>
            <w:tcW w:w="1272" w:type="dxa"/>
            <w:noWrap/>
            <w:vAlign w:val="center"/>
          </w:tcPr>
          <w:p w14:paraId="0328A210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lastRenderedPageBreak/>
              <w:t>hod</w:t>
            </w:r>
          </w:p>
        </w:tc>
        <w:tc>
          <w:tcPr>
            <w:tcW w:w="3103" w:type="dxa"/>
            <w:noWrap/>
            <w:vAlign w:val="center"/>
          </w:tcPr>
          <w:p w14:paraId="48DDFAEE" w14:textId="57C03F24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700FA3" w:rsidRPr="00B1351B" w14:paraId="0C1A1AEA" w14:textId="77777777" w:rsidTr="000A5DEE">
        <w:trPr>
          <w:trHeight w:val="1325"/>
        </w:trPr>
        <w:tc>
          <w:tcPr>
            <w:tcW w:w="534" w:type="dxa"/>
            <w:noWrap/>
            <w:vAlign w:val="center"/>
            <w:hideMark/>
          </w:tcPr>
          <w:p w14:paraId="4EFA7BD3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1</w:t>
            </w:r>
            <w:r>
              <w:rPr>
                <w:rFonts w:ascii="Calibri" w:hAnsi="Calibri"/>
                <w:color w:val="000000"/>
                <w:szCs w:val="20"/>
              </w:rPr>
              <w:t>7</w:t>
            </w:r>
          </w:p>
        </w:tc>
        <w:tc>
          <w:tcPr>
            <w:tcW w:w="4377" w:type="dxa"/>
            <w:vAlign w:val="center"/>
            <w:hideMark/>
          </w:tcPr>
          <w:p w14:paraId="7A6D3905" w14:textId="77777777" w:rsidR="00700FA3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E5089E">
              <w:rPr>
                <w:rFonts w:ascii="Calibri" w:hAnsi="Calibri"/>
                <w:color w:val="000000"/>
                <w:szCs w:val="20"/>
              </w:rPr>
              <w:t xml:space="preserve">hodinová sazba </w:t>
            </w:r>
            <w:r>
              <w:rPr>
                <w:rFonts w:ascii="Calibri" w:hAnsi="Calibri"/>
                <w:color w:val="000000"/>
                <w:szCs w:val="20"/>
              </w:rPr>
              <w:t xml:space="preserve">za </w:t>
            </w:r>
            <w:r w:rsidRPr="00E96DDD">
              <w:rPr>
                <w:rFonts w:ascii="Calibri" w:hAnsi="Calibri"/>
                <w:b/>
                <w:color w:val="000000"/>
                <w:szCs w:val="20"/>
              </w:rPr>
              <w:t>ostatní</w:t>
            </w:r>
            <w:r w:rsidRPr="00847D9C">
              <w:rPr>
                <w:rFonts w:ascii="Calibri" w:hAnsi="Calibri"/>
                <w:b/>
                <w:color w:val="000000"/>
                <w:szCs w:val="20"/>
              </w:rPr>
              <w:t xml:space="preserve"> práce</w:t>
            </w:r>
            <w:r>
              <w:rPr>
                <w:rFonts w:ascii="Calibri" w:hAnsi="Calibri"/>
                <w:color w:val="000000"/>
                <w:szCs w:val="20"/>
              </w:rPr>
              <w:t xml:space="preserve"> (min. 2 hodiny práce):</w:t>
            </w:r>
          </w:p>
          <w:p w14:paraId="4B31802F" w14:textId="29E7462E" w:rsidR="00700FA3" w:rsidRPr="00B1351B" w:rsidRDefault="00700FA3" w:rsidP="00A3038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 xml:space="preserve">např. </w:t>
            </w:r>
            <w:r w:rsidRPr="00E5089E">
              <w:rPr>
                <w:rFonts w:ascii="Calibri" w:hAnsi="Calibri"/>
                <w:color w:val="000000"/>
                <w:szCs w:val="20"/>
              </w:rPr>
              <w:t>úklid sněhu z výhybek a žlábků včetně výjezdu,</w:t>
            </w:r>
            <w:r>
              <w:rPr>
                <w:rFonts w:ascii="Calibri" w:hAnsi="Calibri"/>
                <w:color w:val="000000"/>
                <w:szCs w:val="20"/>
              </w:rPr>
              <w:t xml:space="preserve"> </w:t>
            </w:r>
            <w:r w:rsidRPr="006F4B7D">
              <w:rPr>
                <w:rFonts w:ascii="Calibri" w:hAnsi="Calibri"/>
                <w:color w:val="000000"/>
                <w:szCs w:val="20"/>
              </w:rPr>
              <w:t>údržba stezek podle kolejí</w:t>
            </w:r>
            <w:r>
              <w:rPr>
                <w:rFonts w:ascii="Calibri" w:hAnsi="Calibri"/>
                <w:color w:val="000000"/>
                <w:szCs w:val="20"/>
              </w:rPr>
              <w:t xml:space="preserve">, </w:t>
            </w:r>
            <w:r w:rsidRPr="006F4B7D">
              <w:rPr>
                <w:rFonts w:ascii="Calibri" w:hAnsi="Calibri"/>
                <w:color w:val="000000"/>
                <w:szCs w:val="20"/>
              </w:rPr>
              <w:t xml:space="preserve">odstraňování náletů </w:t>
            </w:r>
          </w:p>
        </w:tc>
        <w:tc>
          <w:tcPr>
            <w:tcW w:w="1272" w:type="dxa"/>
            <w:noWrap/>
            <w:vAlign w:val="center"/>
            <w:hideMark/>
          </w:tcPr>
          <w:p w14:paraId="450F5F38" w14:textId="77777777" w:rsidR="00700FA3" w:rsidRPr="00B1351B" w:rsidRDefault="00700FA3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B1351B">
              <w:rPr>
                <w:rFonts w:ascii="Calibri" w:hAnsi="Calibri"/>
                <w:color w:val="000000"/>
                <w:szCs w:val="20"/>
              </w:rPr>
              <w:t>hod</w:t>
            </w:r>
          </w:p>
        </w:tc>
        <w:tc>
          <w:tcPr>
            <w:tcW w:w="3103" w:type="dxa"/>
            <w:noWrap/>
            <w:vAlign w:val="center"/>
            <w:hideMark/>
          </w:tcPr>
          <w:p w14:paraId="79C4C081" w14:textId="7B2889A9" w:rsidR="00700FA3" w:rsidRPr="00B1351B" w:rsidRDefault="0019467E" w:rsidP="000A5DE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  <w:bookmarkStart w:id="1" w:name="_GoBack"/>
            <w:bookmarkEnd w:id="1"/>
          </w:p>
        </w:tc>
      </w:tr>
    </w:tbl>
    <w:p w14:paraId="30FC08E8" w14:textId="608734D5" w:rsidR="009E775D" w:rsidRPr="009E775D" w:rsidRDefault="00700FA3" w:rsidP="009E775D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E775D" w:rsidRPr="009E775D">
        <w:rPr>
          <w:b/>
          <w:sz w:val="22"/>
          <w:szCs w:val="22"/>
        </w:rPr>
        <w:br w:type="page"/>
      </w:r>
    </w:p>
    <w:p w14:paraId="4FEE8658" w14:textId="77777777" w:rsidR="003449D7" w:rsidRDefault="003449D7" w:rsidP="009E775D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 xml:space="preserve">Příloha č. 3 </w:t>
      </w:r>
      <w:r w:rsidR="009E775D">
        <w:rPr>
          <w:b/>
          <w:sz w:val="22"/>
          <w:szCs w:val="22"/>
        </w:rPr>
        <w:t>–</w:t>
      </w:r>
      <w:r w:rsidRPr="009E775D">
        <w:rPr>
          <w:b/>
          <w:sz w:val="22"/>
          <w:szCs w:val="22"/>
        </w:rPr>
        <w:t xml:space="preserve"> VOP</w:t>
      </w:r>
    </w:p>
    <w:p w14:paraId="2814FBE3" w14:textId="77777777" w:rsidR="003449D7" w:rsidRPr="009E775D" w:rsidRDefault="003449D7" w:rsidP="009E775D">
      <w:pPr>
        <w:spacing w:line="240" w:lineRule="auto"/>
        <w:rPr>
          <w:i/>
          <w:sz w:val="22"/>
          <w:szCs w:val="22"/>
        </w:rPr>
      </w:pPr>
      <w:r w:rsidRPr="009E775D">
        <w:rPr>
          <w:i/>
          <w:sz w:val="22"/>
          <w:szCs w:val="22"/>
        </w:rPr>
        <w:t>(Tato strana je úmyslně ponechána prázdná. VOP následují na další straně)</w:t>
      </w:r>
    </w:p>
    <w:sectPr w:rsidR="003449D7" w:rsidRPr="009E775D" w:rsidSect="00117AE5">
      <w:footerReference w:type="default" r:id="rId15"/>
      <w:type w:val="continuous"/>
      <w:pgSz w:w="11906" w:h="16838" w:code="9"/>
      <w:pgMar w:top="2239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E7735" w14:textId="77777777" w:rsidR="000E6955" w:rsidRDefault="000E6955">
      <w:r>
        <w:separator/>
      </w:r>
    </w:p>
  </w:endnote>
  <w:endnote w:type="continuationSeparator" w:id="0">
    <w:p w14:paraId="42EC4794" w14:textId="77777777" w:rsidR="000E6955" w:rsidRDefault="000E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9F68" w14:textId="77777777" w:rsidR="00330BEB" w:rsidRPr="006D6FFE" w:rsidRDefault="00330BEB" w:rsidP="002E2EEF">
    <w:pPr>
      <w:pStyle w:val="Zpat"/>
      <w:spacing w:after="0"/>
      <w:jc w:val="center"/>
      <w:rPr>
        <w:sz w:val="18"/>
        <w:szCs w:val="18"/>
      </w:rPr>
    </w:pPr>
    <w:r w:rsidRPr="006D6FFE">
      <w:rPr>
        <w:sz w:val="18"/>
        <w:szCs w:val="18"/>
      </w:rPr>
      <w:t xml:space="preserve">Strana </w:t>
    </w:r>
    <w:r w:rsidR="00DE4D63"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PAGE </w:instrText>
    </w:r>
    <w:r w:rsidR="00DE4D63" w:rsidRPr="006D6FFE">
      <w:rPr>
        <w:sz w:val="18"/>
        <w:szCs w:val="18"/>
      </w:rPr>
      <w:fldChar w:fldCharType="separate"/>
    </w:r>
    <w:r w:rsidR="0019467E">
      <w:rPr>
        <w:noProof/>
        <w:sz w:val="18"/>
        <w:szCs w:val="18"/>
      </w:rPr>
      <w:t>6</w:t>
    </w:r>
    <w:r w:rsidR="00DE4D63"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 xml:space="preserve"> (celkem </w:t>
    </w:r>
    <w:r w:rsidR="00DE4D63"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NUMPAGES </w:instrText>
    </w:r>
    <w:r w:rsidR="00DE4D63" w:rsidRPr="006D6FFE">
      <w:rPr>
        <w:sz w:val="18"/>
        <w:szCs w:val="18"/>
      </w:rPr>
      <w:fldChar w:fldCharType="separate"/>
    </w:r>
    <w:r w:rsidR="0019467E">
      <w:rPr>
        <w:noProof/>
        <w:sz w:val="18"/>
        <w:szCs w:val="18"/>
      </w:rPr>
      <w:t>10</w:t>
    </w:r>
    <w:r w:rsidR="00DE4D63"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B354" w14:textId="77777777" w:rsidR="00117AE5" w:rsidRDefault="00117AE5" w:rsidP="002E2EEF">
    <w:pPr>
      <w:pStyle w:val="Zpat"/>
      <w:spacing w:after="0"/>
      <w:jc w:val="center"/>
      <w:rPr>
        <w:sz w:val="18"/>
        <w:szCs w:val="18"/>
      </w:rPr>
    </w:pPr>
    <w:r w:rsidRPr="006D6FFE">
      <w:rPr>
        <w:sz w:val="18"/>
        <w:szCs w:val="18"/>
      </w:rPr>
      <w:t xml:space="preserve">Strana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PAGE </w:instrText>
    </w:r>
    <w:r w:rsidRPr="006D6FFE">
      <w:rPr>
        <w:sz w:val="18"/>
        <w:szCs w:val="18"/>
      </w:rPr>
      <w:fldChar w:fldCharType="separate"/>
    </w:r>
    <w:r w:rsidR="009A5886">
      <w:rPr>
        <w:noProof/>
        <w:sz w:val="18"/>
        <w:szCs w:val="18"/>
      </w:rPr>
      <w:t>7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 xml:space="preserve"> (celkem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NUMPAGES </w:instrText>
    </w:r>
    <w:r w:rsidRPr="006D6FFE">
      <w:rPr>
        <w:sz w:val="18"/>
        <w:szCs w:val="18"/>
      </w:rPr>
      <w:fldChar w:fldCharType="separate"/>
    </w:r>
    <w:r w:rsidR="00BD0B4E">
      <w:rPr>
        <w:noProof/>
        <w:sz w:val="18"/>
        <w:szCs w:val="18"/>
      </w:rPr>
      <w:t>10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>)</w:t>
    </w:r>
  </w:p>
  <w:p w14:paraId="26EF861E" w14:textId="77777777" w:rsidR="00117AE5" w:rsidRPr="006D6FFE" w:rsidRDefault="00117AE5" w:rsidP="002E2EEF">
    <w:pPr>
      <w:pStyle w:val="Zpat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EEC8" w14:textId="77777777" w:rsidR="00117AE5" w:rsidRPr="006D6FFE" w:rsidRDefault="00117AE5" w:rsidP="002E2EEF">
    <w:pPr>
      <w:pStyle w:val="Zpat"/>
      <w:spacing w:after="0"/>
      <w:jc w:val="center"/>
      <w:rPr>
        <w:sz w:val="18"/>
        <w:szCs w:val="18"/>
      </w:rPr>
    </w:pPr>
    <w:r w:rsidRPr="006D6FFE">
      <w:rPr>
        <w:sz w:val="18"/>
        <w:szCs w:val="18"/>
      </w:rPr>
      <w:t xml:space="preserve">Strana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PAGE </w:instrText>
    </w:r>
    <w:r w:rsidRPr="006D6FFE">
      <w:rPr>
        <w:sz w:val="18"/>
        <w:szCs w:val="18"/>
      </w:rPr>
      <w:fldChar w:fldCharType="separate"/>
    </w:r>
    <w:r w:rsidR="0019467E">
      <w:rPr>
        <w:noProof/>
        <w:sz w:val="18"/>
        <w:szCs w:val="18"/>
      </w:rPr>
      <w:t>10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 xml:space="preserve"> (celkem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NUMPAGES </w:instrText>
    </w:r>
    <w:r w:rsidRPr="006D6FFE">
      <w:rPr>
        <w:sz w:val="18"/>
        <w:szCs w:val="18"/>
      </w:rPr>
      <w:fldChar w:fldCharType="separate"/>
    </w:r>
    <w:r w:rsidR="0019467E">
      <w:rPr>
        <w:noProof/>
        <w:sz w:val="18"/>
        <w:szCs w:val="18"/>
      </w:rPr>
      <w:t>10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EBAD" w14:textId="77777777" w:rsidR="000E6955" w:rsidRDefault="000E6955">
      <w:r>
        <w:separator/>
      </w:r>
    </w:p>
  </w:footnote>
  <w:footnote w:type="continuationSeparator" w:id="0">
    <w:p w14:paraId="66F90D57" w14:textId="77777777" w:rsidR="000E6955" w:rsidRDefault="000E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9767B" w14:textId="77777777" w:rsidR="0003250E" w:rsidRDefault="0003250E" w:rsidP="0003250E">
    <w:pPr>
      <w:pStyle w:val="Zhlav"/>
      <w:spacing w:after="0" w:line="240" w:lineRule="auto"/>
      <w:ind w:left="1134" w:right="-2"/>
      <w:rPr>
        <w:sz w:val="22"/>
        <w:szCs w:val="22"/>
      </w:rPr>
    </w:pPr>
  </w:p>
  <w:p w14:paraId="69733DC0" w14:textId="77777777" w:rsidR="0003250E" w:rsidRDefault="0003250E" w:rsidP="0003250E">
    <w:pPr>
      <w:pStyle w:val="Zhlav"/>
      <w:spacing w:after="0" w:line="240" w:lineRule="auto"/>
      <w:ind w:left="1134" w:right="-2"/>
      <w:rPr>
        <w:sz w:val="22"/>
        <w:szCs w:val="22"/>
      </w:rPr>
    </w:pPr>
  </w:p>
  <w:p w14:paraId="2A29AD65" w14:textId="797B4131" w:rsidR="00330BEB" w:rsidRPr="001F7D01" w:rsidRDefault="0003250E" w:rsidP="0003250E">
    <w:pPr>
      <w:pStyle w:val="Zhlav"/>
      <w:spacing w:after="0" w:line="240" w:lineRule="auto"/>
      <w:ind w:left="1134" w:right="-2"/>
      <w:rPr>
        <w:sz w:val="22"/>
        <w:szCs w:val="22"/>
      </w:rPr>
    </w:pPr>
    <w:r>
      <w:rPr>
        <w:sz w:val="22"/>
        <w:szCs w:val="22"/>
      </w:rPr>
      <w:t>Rámcová dohoda o poskytování služeb „</w:t>
    </w:r>
    <w:r w:rsidR="00330BEB" w:rsidRPr="001F7D01"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63FC4D2" wp14:editId="476E7EA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0BEB" w:rsidRPr="001F7D01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4FCFE97" wp14:editId="28BFDCB8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>Údržba a opravy vlečky Praha Malešice“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3C23"/>
    <w:multiLevelType w:val="hybridMultilevel"/>
    <w:tmpl w:val="9166917E"/>
    <w:lvl w:ilvl="0" w:tplc="684C86A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86EC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889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62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E7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6F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AA9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6A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62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77EE"/>
    <w:multiLevelType w:val="multilevel"/>
    <w:tmpl w:val="7360C562"/>
    <w:lvl w:ilvl="0">
      <w:start w:val="2"/>
      <w:numFmt w:val="decimal"/>
      <w:lvlText w:val="4.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35362A"/>
    <w:multiLevelType w:val="hybridMultilevel"/>
    <w:tmpl w:val="EAAC7EBE"/>
    <w:lvl w:ilvl="0" w:tplc="EEBC4CA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D814925"/>
    <w:multiLevelType w:val="hybridMultilevel"/>
    <w:tmpl w:val="AA8C4724"/>
    <w:lvl w:ilvl="0" w:tplc="C0900E1A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C4EE8"/>
    <w:multiLevelType w:val="hybridMultilevel"/>
    <w:tmpl w:val="FE441752"/>
    <w:lvl w:ilvl="0" w:tplc="DD8E4C48">
      <w:start w:val="1"/>
      <w:numFmt w:val="lowerLetter"/>
      <w:lvlText w:val="%1)"/>
      <w:lvlJc w:val="left"/>
      <w:pPr>
        <w:ind w:left="13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4" w:hanging="360"/>
      </w:pPr>
    </w:lvl>
    <w:lvl w:ilvl="2" w:tplc="0405001B" w:tentative="1">
      <w:start w:val="1"/>
      <w:numFmt w:val="lowerRoman"/>
      <w:lvlText w:val="%3."/>
      <w:lvlJc w:val="right"/>
      <w:pPr>
        <w:ind w:left="2744" w:hanging="180"/>
      </w:pPr>
    </w:lvl>
    <w:lvl w:ilvl="3" w:tplc="0405000F" w:tentative="1">
      <w:start w:val="1"/>
      <w:numFmt w:val="decimal"/>
      <w:lvlText w:val="%4."/>
      <w:lvlJc w:val="left"/>
      <w:pPr>
        <w:ind w:left="3464" w:hanging="360"/>
      </w:pPr>
    </w:lvl>
    <w:lvl w:ilvl="4" w:tplc="04050019" w:tentative="1">
      <w:start w:val="1"/>
      <w:numFmt w:val="lowerLetter"/>
      <w:lvlText w:val="%5."/>
      <w:lvlJc w:val="left"/>
      <w:pPr>
        <w:ind w:left="4184" w:hanging="360"/>
      </w:pPr>
    </w:lvl>
    <w:lvl w:ilvl="5" w:tplc="0405001B" w:tentative="1">
      <w:start w:val="1"/>
      <w:numFmt w:val="lowerRoman"/>
      <w:lvlText w:val="%6."/>
      <w:lvlJc w:val="right"/>
      <w:pPr>
        <w:ind w:left="4904" w:hanging="180"/>
      </w:pPr>
    </w:lvl>
    <w:lvl w:ilvl="6" w:tplc="0405000F" w:tentative="1">
      <w:start w:val="1"/>
      <w:numFmt w:val="decimal"/>
      <w:lvlText w:val="%7."/>
      <w:lvlJc w:val="left"/>
      <w:pPr>
        <w:ind w:left="5624" w:hanging="360"/>
      </w:pPr>
    </w:lvl>
    <w:lvl w:ilvl="7" w:tplc="04050019" w:tentative="1">
      <w:start w:val="1"/>
      <w:numFmt w:val="lowerLetter"/>
      <w:lvlText w:val="%8."/>
      <w:lvlJc w:val="left"/>
      <w:pPr>
        <w:ind w:left="6344" w:hanging="360"/>
      </w:pPr>
    </w:lvl>
    <w:lvl w:ilvl="8" w:tplc="0405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5" w15:restartNumberingAfterBreak="0">
    <w:nsid w:val="0F3179F0"/>
    <w:multiLevelType w:val="multilevel"/>
    <w:tmpl w:val="4A66B36E"/>
    <w:lvl w:ilvl="0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" w15:restartNumberingAfterBreak="0">
    <w:nsid w:val="10C61C12"/>
    <w:multiLevelType w:val="hybridMultilevel"/>
    <w:tmpl w:val="F8A0B48E"/>
    <w:lvl w:ilvl="0" w:tplc="1C8206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516883"/>
    <w:multiLevelType w:val="multilevel"/>
    <w:tmpl w:val="9962D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" w15:restartNumberingAfterBreak="0">
    <w:nsid w:val="221E1EAD"/>
    <w:multiLevelType w:val="hybridMultilevel"/>
    <w:tmpl w:val="69CC1B70"/>
    <w:lvl w:ilvl="0" w:tplc="EE1A1148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41686D"/>
    <w:multiLevelType w:val="hybridMultilevel"/>
    <w:tmpl w:val="AAAE57E0"/>
    <w:lvl w:ilvl="0" w:tplc="81589EC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</w:rPr>
    </w:lvl>
    <w:lvl w:ilvl="1" w:tplc="FA785A8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10" w15:restartNumberingAfterBreak="0">
    <w:nsid w:val="30A26923"/>
    <w:multiLevelType w:val="hybridMultilevel"/>
    <w:tmpl w:val="73760B14"/>
    <w:lvl w:ilvl="0" w:tplc="C0900E1A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E228C"/>
    <w:multiLevelType w:val="hybridMultilevel"/>
    <w:tmpl w:val="E8CC9848"/>
    <w:lvl w:ilvl="0" w:tplc="3CA4B450">
      <w:start w:val="1"/>
      <w:numFmt w:val="lowerLetter"/>
      <w:lvlText w:val="%1)"/>
      <w:lvlJc w:val="left"/>
      <w:pPr>
        <w:ind w:left="1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9" w:hanging="360"/>
      </w:pPr>
    </w:lvl>
    <w:lvl w:ilvl="2" w:tplc="0405001B" w:tentative="1">
      <w:start w:val="1"/>
      <w:numFmt w:val="lowerRoman"/>
      <w:lvlText w:val="%3."/>
      <w:lvlJc w:val="right"/>
      <w:pPr>
        <w:ind w:left="2749" w:hanging="180"/>
      </w:pPr>
    </w:lvl>
    <w:lvl w:ilvl="3" w:tplc="0405000F" w:tentative="1">
      <w:start w:val="1"/>
      <w:numFmt w:val="decimal"/>
      <w:lvlText w:val="%4."/>
      <w:lvlJc w:val="left"/>
      <w:pPr>
        <w:ind w:left="3469" w:hanging="360"/>
      </w:pPr>
    </w:lvl>
    <w:lvl w:ilvl="4" w:tplc="04050019" w:tentative="1">
      <w:start w:val="1"/>
      <w:numFmt w:val="lowerLetter"/>
      <w:lvlText w:val="%5."/>
      <w:lvlJc w:val="left"/>
      <w:pPr>
        <w:ind w:left="4189" w:hanging="360"/>
      </w:pPr>
    </w:lvl>
    <w:lvl w:ilvl="5" w:tplc="0405001B" w:tentative="1">
      <w:start w:val="1"/>
      <w:numFmt w:val="lowerRoman"/>
      <w:lvlText w:val="%6."/>
      <w:lvlJc w:val="right"/>
      <w:pPr>
        <w:ind w:left="4909" w:hanging="180"/>
      </w:pPr>
    </w:lvl>
    <w:lvl w:ilvl="6" w:tplc="0405000F" w:tentative="1">
      <w:start w:val="1"/>
      <w:numFmt w:val="decimal"/>
      <w:lvlText w:val="%7."/>
      <w:lvlJc w:val="left"/>
      <w:pPr>
        <w:ind w:left="5629" w:hanging="360"/>
      </w:pPr>
    </w:lvl>
    <w:lvl w:ilvl="7" w:tplc="04050019" w:tentative="1">
      <w:start w:val="1"/>
      <w:numFmt w:val="lowerLetter"/>
      <w:lvlText w:val="%8."/>
      <w:lvlJc w:val="left"/>
      <w:pPr>
        <w:ind w:left="6349" w:hanging="360"/>
      </w:pPr>
    </w:lvl>
    <w:lvl w:ilvl="8" w:tplc="040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2" w15:restartNumberingAfterBreak="0">
    <w:nsid w:val="42BE36BE"/>
    <w:multiLevelType w:val="multilevel"/>
    <w:tmpl w:val="CF3E2C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13" w15:restartNumberingAfterBreak="0">
    <w:nsid w:val="42E75991"/>
    <w:multiLevelType w:val="multilevel"/>
    <w:tmpl w:val="242AE5C6"/>
    <w:lvl w:ilvl="0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56C17D6C"/>
    <w:multiLevelType w:val="multilevel"/>
    <w:tmpl w:val="2B9ED904"/>
    <w:lvl w:ilvl="0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57F05A5A"/>
    <w:multiLevelType w:val="hybridMultilevel"/>
    <w:tmpl w:val="EDF8CA52"/>
    <w:lvl w:ilvl="0" w:tplc="80E42A96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B0E0A"/>
    <w:multiLevelType w:val="hybridMultilevel"/>
    <w:tmpl w:val="3C8E5F12"/>
    <w:lvl w:ilvl="0" w:tplc="38383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57102"/>
    <w:multiLevelType w:val="hybridMultilevel"/>
    <w:tmpl w:val="3CF4BF32"/>
    <w:lvl w:ilvl="0" w:tplc="C0900E1A">
      <w:start w:val="1"/>
      <w:numFmt w:val="decimal"/>
      <w:lvlText w:val="6.%1."/>
      <w:lvlJc w:val="left"/>
      <w:pPr>
        <w:ind w:left="1287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AA9778E"/>
    <w:multiLevelType w:val="multilevel"/>
    <w:tmpl w:val="606452A0"/>
    <w:lvl w:ilvl="0">
      <w:start w:val="1"/>
      <w:numFmt w:val="decimal"/>
      <w:pStyle w:val="lnek"/>
      <w:lvlText w:val="%1."/>
      <w:lvlJc w:val="left"/>
      <w:pPr>
        <w:tabs>
          <w:tab w:val="num" w:pos="3410"/>
        </w:tabs>
        <w:ind w:left="3410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908"/>
        </w:tabs>
        <w:ind w:left="908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EE14D01"/>
    <w:multiLevelType w:val="hybridMultilevel"/>
    <w:tmpl w:val="A07C321E"/>
    <w:lvl w:ilvl="0" w:tplc="4A32E1DE">
      <w:start w:val="1"/>
      <w:numFmt w:val="lowerLetter"/>
      <w:lvlText w:val="%1)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3"/>
  </w:num>
  <w:num w:numId="5">
    <w:abstractNumId w:val="7"/>
  </w:num>
  <w:num w:numId="6">
    <w:abstractNumId w:val="15"/>
  </w:num>
  <w:num w:numId="7">
    <w:abstractNumId w:val="14"/>
  </w:num>
  <w:num w:numId="8">
    <w:abstractNumId w:val="1"/>
  </w:num>
  <w:num w:numId="9">
    <w:abstractNumId w:val="5"/>
  </w:num>
  <w:num w:numId="10">
    <w:abstractNumId w:val="9"/>
  </w:num>
  <w:num w:numId="11">
    <w:abstractNumId w:val="12"/>
  </w:num>
  <w:num w:numId="12">
    <w:abstractNumId w:val="18"/>
  </w:num>
  <w:num w:numId="13">
    <w:abstractNumId w:val="10"/>
  </w:num>
  <w:num w:numId="14">
    <w:abstractNumId w:val="3"/>
  </w:num>
  <w:num w:numId="15">
    <w:abstractNumId w:val="17"/>
  </w:num>
  <w:num w:numId="16">
    <w:abstractNumId w:val="19"/>
  </w:num>
  <w:num w:numId="17">
    <w:abstractNumId w:val="6"/>
  </w:num>
  <w:num w:numId="18">
    <w:abstractNumId w:val="2"/>
  </w:num>
  <w:num w:numId="19">
    <w:abstractNumId w:val="11"/>
  </w:num>
  <w:num w:numId="20">
    <w:abstractNumId w:val="20"/>
  </w:num>
  <w:num w:numId="21">
    <w:abstractNumId w:val="8"/>
  </w:num>
  <w:num w:numId="2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EF"/>
    <w:rsid w:val="00004776"/>
    <w:rsid w:val="0000564C"/>
    <w:rsid w:val="00005734"/>
    <w:rsid w:val="00006F53"/>
    <w:rsid w:val="000124DD"/>
    <w:rsid w:val="0001392F"/>
    <w:rsid w:val="0001492A"/>
    <w:rsid w:val="00016163"/>
    <w:rsid w:val="00016993"/>
    <w:rsid w:val="00021490"/>
    <w:rsid w:val="000229FA"/>
    <w:rsid w:val="00023E27"/>
    <w:rsid w:val="00024099"/>
    <w:rsid w:val="00024151"/>
    <w:rsid w:val="00025DA3"/>
    <w:rsid w:val="0003250E"/>
    <w:rsid w:val="00040266"/>
    <w:rsid w:val="00043F2F"/>
    <w:rsid w:val="000501F2"/>
    <w:rsid w:val="00053FBD"/>
    <w:rsid w:val="000566F3"/>
    <w:rsid w:val="00057853"/>
    <w:rsid w:val="00057F53"/>
    <w:rsid w:val="00063899"/>
    <w:rsid w:val="00063D98"/>
    <w:rsid w:val="00071A62"/>
    <w:rsid w:val="00073978"/>
    <w:rsid w:val="0007561E"/>
    <w:rsid w:val="00076B1E"/>
    <w:rsid w:val="00077088"/>
    <w:rsid w:val="00077631"/>
    <w:rsid w:val="00077A74"/>
    <w:rsid w:val="000830FF"/>
    <w:rsid w:val="0008456F"/>
    <w:rsid w:val="00084747"/>
    <w:rsid w:val="00084820"/>
    <w:rsid w:val="00086914"/>
    <w:rsid w:val="000872FC"/>
    <w:rsid w:val="0009038C"/>
    <w:rsid w:val="00092933"/>
    <w:rsid w:val="00092E59"/>
    <w:rsid w:val="000934AF"/>
    <w:rsid w:val="00095FBF"/>
    <w:rsid w:val="000A14BB"/>
    <w:rsid w:val="000A3B01"/>
    <w:rsid w:val="000A7225"/>
    <w:rsid w:val="000B0432"/>
    <w:rsid w:val="000B077D"/>
    <w:rsid w:val="000B28B5"/>
    <w:rsid w:val="000B2DBB"/>
    <w:rsid w:val="000B40A9"/>
    <w:rsid w:val="000B6FC4"/>
    <w:rsid w:val="000B7F4D"/>
    <w:rsid w:val="000C0782"/>
    <w:rsid w:val="000C26E2"/>
    <w:rsid w:val="000C36F9"/>
    <w:rsid w:val="000C3CCD"/>
    <w:rsid w:val="000C5AB2"/>
    <w:rsid w:val="000C6906"/>
    <w:rsid w:val="000D1A9C"/>
    <w:rsid w:val="000D1C60"/>
    <w:rsid w:val="000D2263"/>
    <w:rsid w:val="000D5154"/>
    <w:rsid w:val="000D5FF2"/>
    <w:rsid w:val="000E01CF"/>
    <w:rsid w:val="000E26B5"/>
    <w:rsid w:val="000E2ECD"/>
    <w:rsid w:val="000E35C7"/>
    <w:rsid w:val="000E6955"/>
    <w:rsid w:val="000F0710"/>
    <w:rsid w:val="000F1136"/>
    <w:rsid w:val="000F2886"/>
    <w:rsid w:val="000F3A51"/>
    <w:rsid w:val="000F7D21"/>
    <w:rsid w:val="00100F15"/>
    <w:rsid w:val="00101CB4"/>
    <w:rsid w:val="001021BA"/>
    <w:rsid w:val="00103D43"/>
    <w:rsid w:val="00105C41"/>
    <w:rsid w:val="001077E8"/>
    <w:rsid w:val="001117D4"/>
    <w:rsid w:val="00112444"/>
    <w:rsid w:val="001172D1"/>
    <w:rsid w:val="001179AC"/>
    <w:rsid w:val="00117AE5"/>
    <w:rsid w:val="00120243"/>
    <w:rsid w:val="00120419"/>
    <w:rsid w:val="001263A0"/>
    <w:rsid w:val="00126CE2"/>
    <w:rsid w:val="00131673"/>
    <w:rsid w:val="00132A15"/>
    <w:rsid w:val="00132F1E"/>
    <w:rsid w:val="001408BB"/>
    <w:rsid w:val="00140F50"/>
    <w:rsid w:val="00142B52"/>
    <w:rsid w:val="00145B70"/>
    <w:rsid w:val="00145BA4"/>
    <w:rsid w:val="00155757"/>
    <w:rsid w:val="00156B13"/>
    <w:rsid w:val="00157509"/>
    <w:rsid w:val="001578F0"/>
    <w:rsid w:val="00161BBA"/>
    <w:rsid w:val="00161E4D"/>
    <w:rsid w:val="00162142"/>
    <w:rsid w:val="001634BE"/>
    <w:rsid w:val="00164C5D"/>
    <w:rsid w:val="0016605E"/>
    <w:rsid w:val="0017026F"/>
    <w:rsid w:val="00171BC5"/>
    <w:rsid w:val="00171FD6"/>
    <w:rsid w:val="0017707B"/>
    <w:rsid w:val="001801FA"/>
    <w:rsid w:val="00190092"/>
    <w:rsid w:val="00190992"/>
    <w:rsid w:val="001944FF"/>
    <w:rsid w:val="0019467E"/>
    <w:rsid w:val="001951CA"/>
    <w:rsid w:val="001A22B1"/>
    <w:rsid w:val="001A3A2B"/>
    <w:rsid w:val="001A4CFB"/>
    <w:rsid w:val="001A5215"/>
    <w:rsid w:val="001A5508"/>
    <w:rsid w:val="001A75DF"/>
    <w:rsid w:val="001B1B65"/>
    <w:rsid w:val="001B1F9D"/>
    <w:rsid w:val="001B205D"/>
    <w:rsid w:val="001B3DFD"/>
    <w:rsid w:val="001B51B6"/>
    <w:rsid w:val="001B5E83"/>
    <w:rsid w:val="001B657D"/>
    <w:rsid w:val="001C0605"/>
    <w:rsid w:val="001C1426"/>
    <w:rsid w:val="001C1779"/>
    <w:rsid w:val="001C2093"/>
    <w:rsid w:val="001C2F32"/>
    <w:rsid w:val="001C4733"/>
    <w:rsid w:val="001C55A9"/>
    <w:rsid w:val="001C5EDC"/>
    <w:rsid w:val="001C67B1"/>
    <w:rsid w:val="001C709E"/>
    <w:rsid w:val="001D1C8C"/>
    <w:rsid w:val="001D2FD9"/>
    <w:rsid w:val="001D345E"/>
    <w:rsid w:val="001D44FF"/>
    <w:rsid w:val="001D516F"/>
    <w:rsid w:val="001D52C1"/>
    <w:rsid w:val="001D740B"/>
    <w:rsid w:val="001E355F"/>
    <w:rsid w:val="001E48E8"/>
    <w:rsid w:val="001E573C"/>
    <w:rsid w:val="001F3CF1"/>
    <w:rsid w:val="001F4381"/>
    <w:rsid w:val="001F4EE1"/>
    <w:rsid w:val="001F7D01"/>
    <w:rsid w:val="0020316E"/>
    <w:rsid w:val="00203857"/>
    <w:rsid w:val="00203F1C"/>
    <w:rsid w:val="002048D8"/>
    <w:rsid w:val="00204D65"/>
    <w:rsid w:val="00204F95"/>
    <w:rsid w:val="0020501D"/>
    <w:rsid w:val="00213A46"/>
    <w:rsid w:val="0022129E"/>
    <w:rsid w:val="00224DB6"/>
    <w:rsid w:val="002278E6"/>
    <w:rsid w:val="00230F46"/>
    <w:rsid w:val="00231368"/>
    <w:rsid w:val="0023365C"/>
    <w:rsid w:val="002359CE"/>
    <w:rsid w:val="0023764E"/>
    <w:rsid w:val="002400DA"/>
    <w:rsid w:val="00242185"/>
    <w:rsid w:val="0024496F"/>
    <w:rsid w:val="00250F38"/>
    <w:rsid w:val="002542EE"/>
    <w:rsid w:val="002552FE"/>
    <w:rsid w:val="002562BD"/>
    <w:rsid w:val="00257BD2"/>
    <w:rsid w:val="00261644"/>
    <w:rsid w:val="00271D7E"/>
    <w:rsid w:val="002744D5"/>
    <w:rsid w:val="002811F0"/>
    <w:rsid w:val="002812EE"/>
    <w:rsid w:val="00281743"/>
    <w:rsid w:val="0028262F"/>
    <w:rsid w:val="00285D36"/>
    <w:rsid w:val="00286237"/>
    <w:rsid w:val="00286E1B"/>
    <w:rsid w:val="00287B5E"/>
    <w:rsid w:val="002900B2"/>
    <w:rsid w:val="00293597"/>
    <w:rsid w:val="002938FF"/>
    <w:rsid w:val="00296852"/>
    <w:rsid w:val="00296E3E"/>
    <w:rsid w:val="00297952"/>
    <w:rsid w:val="002A0346"/>
    <w:rsid w:val="002A22B8"/>
    <w:rsid w:val="002A76C0"/>
    <w:rsid w:val="002A79B8"/>
    <w:rsid w:val="002B200E"/>
    <w:rsid w:val="002B244E"/>
    <w:rsid w:val="002B3512"/>
    <w:rsid w:val="002C05A4"/>
    <w:rsid w:val="002C090D"/>
    <w:rsid w:val="002C1431"/>
    <w:rsid w:val="002C2394"/>
    <w:rsid w:val="002C2499"/>
    <w:rsid w:val="002C3971"/>
    <w:rsid w:val="002C3F1D"/>
    <w:rsid w:val="002C4D7E"/>
    <w:rsid w:val="002C550A"/>
    <w:rsid w:val="002C7D98"/>
    <w:rsid w:val="002D0AEA"/>
    <w:rsid w:val="002D0B39"/>
    <w:rsid w:val="002D4825"/>
    <w:rsid w:val="002E2EEF"/>
    <w:rsid w:val="002E4FF9"/>
    <w:rsid w:val="002E54A0"/>
    <w:rsid w:val="002E6CCB"/>
    <w:rsid w:val="002E717A"/>
    <w:rsid w:val="002E7BC9"/>
    <w:rsid w:val="002E7BF7"/>
    <w:rsid w:val="002F1A92"/>
    <w:rsid w:val="002F52AC"/>
    <w:rsid w:val="002F6417"/>
    <w:rsid w:val="0030189C"/>
    <w:rsid w:val="00305CD5"/>
    <w:rsid w:val="0030618E"/>
    <w:rsid w:val="00306575"/>
    <w:rsid w:val="003076C3"/>
    <w:rsid w:val="00313FBC"/>
    <w:rsid w:val="00314BA8"/>
    <w:rsid w:val="003166FB"/>
    <w:rsid w:val="00320524"/>
    <w:rsid w:val="00323027"/>
    <w:rsid w:val="00323036"/>
    <w:rsid w:val="003253DD"/>
    <w:rsid w:val="0032583E"/>
    <w:rsid w:val="00325AC5"/>
    <w:rsid w:val="003260DE"/>
    <w:rsid w:val="00330BEB"/>
    <w:rsid w:val="00332506"/>
    <w:rsid w:val="0033314D"/>
    <w:rsid w:val="0033370C"/>
    <w:rsid w:val="00333E0B"/>
    <w:rsid w:val="00333FBF"/>
    <w:rsid w:val="0033751E"/>
    <w:rsid w:val="0034240C"/>
    <w:rsid w:val="003449D7"/>
    <w:rsid w:val="003456D7"/>
    <w:rsid w:val="00346995"/>
    <w:rsid w:val="00347164"/>
    <w:rsid w:val="00350986"/>
    <w:rsid w:val="00353865"/>
    <w:rsid w:val="00354584"/>
    <w:rsid w:val="003564CD"/>
    <w:rsid w:val="00356B25"/>
    <w:rsid w:val="003571F3"/>
    <w:rsid w:val="00363AEE"/>
    <w:rsid w:val="00364CEF"/>
    <w:rsid w:val="00364EC7"/>
    <w:rsid w:val="0037241F"/>
    <w:rsid w:val="00372B55"/>
    <w:rsid w:val="00380796"/>
    <w:rsid w:val="00381F0C"/>
    <w:rsid w:val="00385244"/>
    <w:rsid w:val="0038656C"/>
    <w:rsid w:val="00386B49"/>
    <w:rsid w:val="003923C0"/>
    <w:rsid w:val="00394B73"/>
    <w:rsid w:val="003A3891"/>
    <w:rsid w:val="003A4807"/>
    <w:rsid w:val="003A54EA"/>
    <w:rsid w:val="003A5C2D"/>
    <w:rsid w:val="003A7B09"/>
    <w:rsid w:val="003B086A"/>
    <w:rsid w:val="003B1577"/>
    <w:rsid w:val="003B4F9F"/>
    <w:rsid w:val="003C4164"/>
    <w:rsid w:val="003C4D5F"/>
    <w:rsid w:val="003C5AE2"/>
    <w:rsid w:val="003C6A61"/>
    <w:rsid w:val="003C7245"/>
    <w:rsid w:val="003D11B5"/>
    <w:rsid w:val="003D4053"/>
    <w:rsid w:val="003E2389"/>
    <w:rsid w:val="003E4007"/>
    <w:rsid w:val="003E550D"/>
    <w:rsid w:val="003E5BB1"/>
    <w:rsid w:val="003E5C5F"/>
    <w:rsid w:val="003F0D95"/>
    <w:rsid w:val="003F159F"/>
    <w:rsid w:val="003F1FF3"/>
    <w:rsid w:val="003F23E0"/>
    <w:rsid w:val="003F3CE1"/>
    <w:rsid w:val="003F40F1"/>
    <w:rsid w:val="0040202F"/>
    <w:rsid w:val="00404598"/>
    <w:rsid w:val="00411E61"/>
    <w:rsid w:val="0041436A"/>
    <w:rsid w:val="004149A5"/>
    <w:rsid w:val="00415E03"/>
    <w:rsid w:val="00417E48"/>
    <w:rsid w:val="0042144C"/>
    <w:rsid w:val="00425250"/>
    <w:rsid w:val="0042676D"/>
    <w:rsid w:val="00427628"/>
    <w:rsid w:val="00432588"/>
    <w:rsid w:val="0043312A"/>
    <w:rsid w:val="00434016"/>
    <w:rsid w:val="00440E08"/>
    <w:rsid w:val="004477BB"/>
    <w:rsid w:val="00447A12"/>
    <w:rsid w:val="0045317A"/>
    <w:rsid w:val="004548CA"/>
    <w:rsid w:val="00454AD5"/>
    <w:rsid w:val="00455364"/>
    <w:rsid w:val="00455E16"/>
    <w:rsid w:val="0046184D"/>
    <w:rsid w:val="00462007"/>
    <w:rsid w:val="004624A8"/>
    <w:rsid w:val="00464D24"/>
    <w:rsid w:val="00465BB6"/>
    <w:rsid w:val="00465CC5"/>
    <w:rsid w:val="004663E5"/>
    <w:rsid w:val="00470CC0"/>
    <w:rsid w:val="004737B8"/>
    <w:rsid w:val="00473D12"/>
    <w:rsid w:val="0047414A"/>
    <w:rsid w:val="00481403"/>
    <w:rsid w:val="0048187E"/>
    <w:rsid w:val="00483BE9"/>
    <w:rsid w:val="00490338"/>
    <w:rsid w:val="0049262A"/>
    <w:rsid w:val="004952C1"/>
    <w:rsid w:val="0049561E"/>
    <w:rsid w:val="004A0D7C"/>
    <w:rsid w:val="004A24E8"/>
    <w:rsid w:val="004A2B5E"/>
    <w:rsid w:val="004A6000"/>
    <w:rsid w:val="004A6EC9"/>
    <w:rsid w:val="004A7EC6"/>
    <w:rsid w:val="004B0845"/>
    <w:rsid w:val="004B1191"/>
    <w:rsid w:val="004B1C82"/>
    <w:rsid w:val="004B42F6"/>
    <w:rsid w:val="004B7185"/>
    <w:rsid w:val="004C01FD"/>
    <w:rsid w:val="004C091B"/>
    <w:rsid w:val="004C1D33"/>
    <w:rsid w:val="004C3C83"/>
    <w:rsid w:val="004C5680"/>
    <w:rsid w:val="004C61CD"/>
    <w:rsid w:val="004D381B"/>
    <w:rsid w:val="004D3AF5"/>
    <w:rsid w:val="004D3C33"/>
    <w:rsid w:val="004D641E"/>
    <w:rsid w:val="004D6E99"/>
    <w:rsid w:val="004E218C"/>
    <w:rsid w:val="004E3D75"/>
    <w:rsid w:val="004E4664"/>
    <w:rsid w:val="004E47CF"/>
    <w:rsid w:val="004E55DB"/>
    <w:rsid w:val="004E7A01"/>
    <w:rsid w:val="004F0259"/>
    <w:rsid w:val="004F30CE"/>
    <w:rsid w:val="004F4567"/>
    <w:rsid w:val="00501059"/>
    <w:rsid w:val="00501BAC"/>
    <w:rsid w:val="005023EC"/>
    <w:rsid w:val="00502731"/>
    <w:rsid w:val="0050436E"/>
    <w:rsid w:val="00505793"/>
    <w:rsid w:val="00505878"/>
    <w:rsid w:val="0051309F"/>
    <w:rsid w:val="00513D7C"/>
    <w:rsid w:val="00520FD9"/>
    <w:rsid w:val="005234D0"/>
    <w:rsid w:val="00525C1D"/>
    <w:rsid w:val="00527B04"/>
    <w:rsid w:val="005302E4"/>
    <w:rsid w:val="005331FF"/>
    <w:rsid w:val="00533B4F"/>
    <w:rsid w:val="00534C68"/>
    <w:rsid w:val="00534CD6"/>
    <w:rsid w:val="005445AB"/>
    <w:rsid w:val="005520F6"/>
    <w:rsid w:val="005617EE"/>
    <w:rsid w:val="005621CA"/>
    <w:rsid w:val="005621FC"/>
    <w:rsid w:val="0056232B"/>
    <w:rsid w:val="005628D2"/>
    <w:rsid w:val="005666BE"/>
    <w:rsid w:val="00575615"/>
    <w:rsid w:val="00575860"/>
    <w:rsid w:val="00581058"/>
    <w:rsid w:val="00581D19"/>
    <w:rsid w:val="00582476"/>
    <w:rsid w:val="00583079"/>
    <w:rsid w:val="005842CA"/>
    <w:rsid w:val="00584C9D"/>
    <w:rsid w:val="00586DB2"/>
    <w:rsid w:val="005938AE"/>
    <w:rsid w:val="0059571E"/>
    <w:rsid w:val="00595DCD"/>
    <w:rsid w:val="005A2A07"/>
    <w:rsid w:val="005A3DEC"/>
    <w:rsid w:val="005A56C3"/>
    <w:rsid w:val="005A5ACB"/>
    <w:rsid w:val="005A5B6D"/>
    <w:rsid w:val="005B2A0F"/>
    <w:rsid w:val="005B3B56"/>
    <w:rsid w:val="005B40F8"/>
    <w:rsid w:val="005B7968"/>
    <w:rsid w:val="005C0AF6"/>
    <w:rsid w:val="005C17E5"/>
    <w:rsid w:val="005C27B2"/>
    <w:rsid w:val="005C3603"/>
    <w:rsid w:val="005C3683"/>
    <w:rsid w:val="005C5220"/>
    <w:rsid w:val="005D02B7"/>
    <w:rsid w:val="005D4694"/>
    <w:rsid w:val="005D6245"/>
    <w:rsid w:val="005E077F"/>
    <w:rsid w:val="005E5B88"/>
    <w:rsid w:val="005E6F74"/>
    <w:rsid w:val="005F27BC"/>
    <w:rsid w:val="005F294C"/>
    <w:rsid w:val="005F3FF5"/>
    <w:rsid w:val="005F52ED"/>
    <w:rsid w:val="005F6220"/>
    <w:rsid w:val="005F6FD7"/>
    <w:rsid w:val="0060209A"/>
    <w:rsid w:val="00602326"/>
    <w:rsid w:val="00603E9A"/>
    <w:rsid w:val="00604CFD"/>
    <w:rsid w:val="00606090"/>
    <w:rsid w:val="006062B3"/>
    <w:rsid w:val="00606E12"/>
    <w:rsid w:val="0061293E"/>
    <w:rsid w:val="0061426E"/>
    <w:rsid w:val="00614416"/>
    <w:rsid w:val="00614AB6"/>
    <w:rsid w:val="00615068"/>
    <w:rsid w:val="00623AEA"/>
    <w:rsid w:val="00625968"/>
    <w:rsid w:val="006332AD"/>
    <w:rsid w:val="006335B8"/>
    <w:rsid w:val="00633F1D"/>
    <w:rsid w:val="00634068"/>
    <w:rsid w:val="00634E73"/>
    <w:rsid w:val="006355B5"/>
    <w:rsid w:val="00636456"/>
    <w:rsid w:val="00640ECF"/>
    <w:rsid w:val="00643CE9"/>
    <w:rsid w:val="006460E7"/>
    <w:rsid w:val="006461CE"/>
    <w:rsid w:val="006471B1"/>
    <w:rsid w:val="00651EAD"/>
    <w:rsid w:val="006537FB"/>
    <w:rsid w:val="00655477"/>
    <w:rsid w:val="006578AE"/>
    <w:rsid w:val="00662498"/>
    <w:rsid w:val="006629E5"/>
    <w:rsid w:val="00667D5E"/>
    <w:rsid w:val="00670DD9"/>
    <w:rsid w:val="006736E0"/>
    <w:rsid w:val="006743D9"/>
    <w:rsid w:val="006757E1"/>
    <w:rsid w:val="00676747"/>
    <w:rsid w:val="00677024"/>
    <w:rsid w:val="006772B7"/>
    <w:rsid w:val="00677930"/>
    <w:rsid w:val="006779E2"/>
    <w:rsid w:val="006813E1"/>
    <w:rsid w:val="0068313E"/>
    <w:rsid w:val="00683412"/>
    <w:rsid w:val="006911B6"/>
    <w:rsid w:val="00694E90"/>
    <w:rsid w:val="006961FE"/>
    <w:rsid w:val="006967F3"/>
    <w:rsid w:val="006A0E6B"/>
    <w:rsid w:val="006A5661"/>
    <w:rsid w:val="006A7C2F"/>
    <w:rsid w:val="006B10D3"/>
    <w:rsid w:val="006B3D5F"/>
    <w:rsid w:val="006B5914"/>
    <w:rsid w:val="006B6C4C"/>
    <w:rsid w:val="006C28CA"/>
    <w:rsid w:val="006C4BC5"/>
    <w:rsid w:val="006D0538"/>
    <w:rsid w:val="006D10C1"/>
    <w:rsid w:val="006D11EC"/>
    <w:rsid w:val="006D1C7E"/>
    <w:rsid w:val="006D1F9B"/>
    <w:rsid w:val="006D2AA3"/>
    <w:rsid w:val="006D3249"/>
    <w:rsid w:val="006D4160"/>
    <w:rsid w:val="006D52C2"/>
    <w:rsid w:val="006D5779"/>
    <w:rsid w:val="006D6FFE"/>
    <w:rsid w:val="006E1523"/>
    <w:rsid w:val="006E79F1"/>
    <w:rsid w:val="006F3DB4"/>
    <w:rsid w:val="006F6050"/>
    <w:rsid w:val="006F79BA"/>
    <w:rsid w:val="006F7D7F"/>
    <w:rsid w:val="00700B16"/>
    <w:rsid w:val="00700FA3"/>
    <w:rsid w:val="0070560B"/>
    <w:rsid w:val="0070658D"/>
    <w:rsid w:val="0071141A"/>
    <w:rsid w:val="00713CD9"/>
    <w:rsid w:val="00714AC5"/>
    <w:rsid w:val="00715269"/>
    <w:rsid w:val="00716B13"/>
    <w:rsid w:val="007171EF"/>
    <w:rsid w:val="007219CD"/>
    <w:rsid w:val="007224AE"/>
    <w:rsid w:val="00731AF8"/>
    <w:rsid w:val="00732695"/>
    <w:rsid w:val="0073345A"/>
    <w:rsid w:val="007345BF"/>
    <w:rsid w:val="00734D43"/>
    <w:rsid w:val="00735388"/>
    <w:rsid w:val="00737AFA"/>
    <w:rsid w:val="00742020"/>
    <w:rsid w:val="00742853"/>
    <w:rsid w:val="007447BC"/>
    <w:rsid w:val="007470EE"/>
    <w:rsid w:val="00750A2B"/>
    <w:rsid w:val="007537CA"/>
    <w:rsid w:val="00753BD2"/>
    <w:rsid w:val="007630EC"/>
    <w:rsid w:val="007630F0"/>
    <w:rsid w:val="007631C4"/>
    <w:rsid w:val="007632E9"/>
    <w:rsid w:val="0076519B"/>
    <w:rsid w:val="00765F6D"/>
    <w:rsid w:val="00770658"/>
    <w:rsid w:val="007724EC"/>
    <w:rsid w:val="00777AC6"/>
    <w:rsid w:val="007804D0"/>
    <w:rsid w:val="007816A6"/>
    <w:rsid w:val="007827F7"/>
    <w:rsid w:val="007828BE"/>
    <w:rsid w:val="007830CA"/>
    <w:rsid w:val="00791F69"/>
    <w:rsid w:val="00792F1D"/>
    <w:rsid w:val="00794A7E"/>
    <w:rsid w:val="00795318"/>
    <w:rsid w:val="00796D83"/>
    <w:rsid w:val="007A03BC"/>
    <w:rsid w:val="007A0583"/>
    <w:rsid w:val="007A5434"/>
    <w:rsid w:val="007A746F"/>
    <w:rsid w:val="007B0DA5"/>
    <w:rsid w:val="007B1E04"/>
    <w:rsid w:val="007B22A3"/>
    <w:rsid w:val="007B2956"/>
    <w:rsid w:val="007B3090"/>
    <w:rsid w:val="007B39EC"/>
    <w:rsid w:val="007B3C4B"/>
    <w:rsid w:val="007B4C4D"/>
    <w:rsid w:val="007B577C"/>
    <w:rsid w:val="007B68E2"/>
    <w:rsid w:val="007C1051"/>
    <w:rsid w:val="007C4047"/>
    <w:rsid w:val="007C5CCF"/>
    <w:rsid w:val="007C654E"/>
    <w:rsid w:val="007C65AE"/>
    <w:rsid w:val="007D2C8A"/>
    <w:rsid w:val="007D4A70"/>
    <w:rsid w:val="007D4F50"/>
    <w:rsid w:val="007D6439"/>
    <w:rsid w:val="007D643B"/>
    <w:rsid w:val="007E05C2"/>
    <w:rsid w:val="007E05C4"/>
    <w:rsid w:val="007E4BC3"/>
    <w:rsid w:val="007F33B6"/>
    <w:rsid w:val="007F50C6"/>
    <w:rsid w:val="007F5B85"/>
    <w:rsid w:val="007F5CA7"/>
    <w:rsid w:val="007F65C7"/>
    <w:rsid w:val="007F7254"/>
    <w:rsid w:val="00803042"/>
    <w:rsid w:val="008050BD"/>
    <w:rsid w:val="00805597"/>
    <w:rsid w:val="00811293"/>
    <w:rsid w:val="00815367"/>
    <w:rsid w:val="00815E0E"/>
    <w:rsid w:val="0081699A"/>
    <w:rsid w:val="0082048B"/>
    <w:rsid w:val="00821924"/>
    <w:rsid w:val="00821F64"/>
    <w:rsid w:val="008235A4"/>
    <w:rsid w:val="0082374C"/>
    <w:rsid w:val="00825510"/>
    <w:rsid w:val="00826E61"/>
    <w:rsid w:val="00830C59"/>
    <w:rsid w:val="00832986"/>
    <w:rsid w:val="00833E52"/>
    <w:rsid w:val="008344CF"/>
    <w:rsid w:val="008403EC"/>
    <w:rsid w:val="00843EA8"/>
    <w:rsid w:val="00844181"/>
    <w:rsid w:val="008469AB"/>
    <w:rsid w:val="00846FB7"/>
    <w:rsid w:val="008470E3"/>
    <w:rsid w:val="00850E04"/>
    <w:rsid w:val="008518E8"/>
    <w:rsid w:val="0085190A"/>
    <w:rsid w:val="0085778A"/>
    <w:rsid w:val="008600C8"/>
    <w:rsid w:val="008679A5"/>
    <w:rsid w:val="00871025"/>
    <w:rsid w:val="00871CF4"/>
    <w:rsid w:val="0087263C"/>
    <w:rsid w:val="00874061"/>
    <w:rsid w:val="00874210"/>
    <w:rsid w:val="00876776"/>
    <w:rsid w:val="00881251"/>
    <w:rsid w:val="00886E19"/>
    <w:rsid w:val="00890360"/>
    <w:rsid w:val="00893411"/>
    <w:rsid w:val="00893467"/>
    <w:rsid w:val="00894C15"/>
    <w:rsid w:val="00897D55"/>
    <w:rsid w:val="008A0EC2"/>
    <w:rsid w:val="008A2570"/>
    <w:rsid w:val="008A44C4"/>
    <w:rsid w:val="008A56F0"/>
    <w:rsid w:val="008B0BA0"/>
    <w:rsid w:val="008B0F06"/>
    <w:rsid w:val="008B2A8C"/>
    <w:rsid w:val="008B32BF"/>
    <w:rsid w:val="008B44BB"/>
    <w:rsid w:val="008B479A"/>
    <w:rsid w:val="008B681B"/>
    <w:rsid w:val="008B701E"/>
    <w:rsid w:val="008C4FF1"/>
    <w:rsid w:val="008C7937"/>
    <w:rsid w:val="008C7F42"/>
    <w:rsid w:val="008D1EC4"/>
    <w:rsid w:val="008D22C4"/>
    <w:rsid w:val="008D6105"/>
    <w:rsid w:val="008D62DC"/>
    <w:rsid w:val="008D6A64"/>
    <w:rsid w:val="008D6EC7"/>
    <w:rsid w:val="008D7054"/>
    <w:rsid w:val="008E3E9F"/>
    <w:rsid w:val="008E46FF"/>
    <w:rsid w:val="008E4FB3"/>
    <w:rsid w:val="008E702E"/>
    <w:rsid w:val="008F10B2"/>
    <w:rsid w:val="008F10D0"/>
    <w:rsid w:val="008F15AA"/>
    <w:rsid w:val="008F50EA"/>
    <w:rsid w:val="008F6036"/>
    <w:rsid w:val="008F6F32"/>
    <w:rsid w:val="00900590"/>
    <w:rsid w:val="00900A33"/>
    <w:rsid w:val="00903FBC"/>
    <w:rsid w:val="00910CEF"/>
    <w:rsid w:val="009120EA"/>
    <w:rsid w:val="00912A6A"/>
    <w:rsid w:val="00912F2B"/>
    <w:rsid w:val="00916A5E"/>
    <w:rsid w:val="00917593"/>
    <w:rsid w:val="009205BC"/>
    <w:rsid w:val="00921520"/>
    <w:rsid w:val="00921EEF"/>
    <w:rsid w:val="009221A4"/>
    <w:rsid w:val="00924200"/>
    <w:rsid w:val="00924E57"/>
    <w:rsid w:val="00925C8B"/>
    <w:rsid w:val="00925D4E"/>
    <w:rsid w:val="00925F5A"/>
    <w:rsid w:val="00931B25"/>
    <w:rsid w:val="009416CA"/>
    <w:rsid w:val="00942FF4"/>
    <w:rsid w:val="00943956"/>
    <w:rsid w:val="0095042F"/>
    <w:rsid w:val="00951818"/>
    <w:rsid w:val="00951900"/>
    <w:rsid w:val="00952889"/>
    <w:rsid w:val="00952CAC"/>
    <w:rsid w:val="00952DDB"/>
    <w:rsid w:val="00957435"/>
    <w:rsid w:val="0096343C"/>
    <w:rsid w:val="009639EA"/>
    <w:rsid w:val="00964802"/>
    <w:rsid w:val="00964DAC"/>
    <w:rsid w:val="009674E0"/>
    <w:rsid w:val="009678C4"/>
    <w:rsid w:val="00967C76"/>
    <w:rsid w:val="0097038F"/>
    <w:rsid w:val="00973F3E"/>
    <w:rsid w:val="009761CC"/>
    <w:rsid w:val="00977059"/>
    <w:rsid w:val="00980025"/>
    <w:rsid w:val="009801F3"/>
    <w:rsid w:val="009830EE"/>
    <w:rsid w:val="0098577F"/>
    <w:rsid w:val="00987728"/>
    <w:rsid w:val="00990AF0"/>
    <w:rsid w:val="009959B7"/>
    <w:rsid w:val="009A4237"/>
    <w:rsid w:val="009A4F61"/>
    <w:rsid w:val="009A5886"/>
    <w:rsid w:val="009A6F18"/>
    <w:rsid w:val="009B1D90"/>
    <w:rsid w:val="009B3495"/>
    <w:rsid w:val="009B6FB8"/>
    <w:rsid w:val="009C6AA3"/>
    <w:rsid w:val="009C79A0"/>
    <w:rsid w:val="009D01B5"/>
    <w:rsid w:val="009D065F"/>
    <w:rsid w:val="009D0FD8"/>
    <w:rsid w:val="009D20CF"/>
    <w:rsid w:val="009D72A0"/>
    <w:rsid w:val="009E1A59"/>
    <w:rsid w:val="009E3EEA"/>
    <w:rsid w:val="009E48F7"/>
    <w:rsid w:val="009E775D"/>
    <w:rsid w:val="009E78FD"/>
    <w:rsid w:val="009F670A"/>
    <w:rsid w:val="009F69D2"/>
    <w:rsid w:val="00A0184B"/>
    <w:rsid w:val="00A04237"/>
    <w:rsid w:val="00A05A06"/>
    <w:rsid w:val="00A10E1A"/>
    <w:rsid w:val="00A110BF"/>
    <w:rsid w:val="00A11B99"/>
    <w:rsid w:val="00A12A85"/>
    <w:rsid w:val="00A135B2"/>
    <w:rsid w:val="00A14BCB"/>
    <w:rsid w:val="00A16D02"/>
    <w:rsid w:val="00A17960"/>
    <w:rsid w:val="00A209E2"/>
    <w:rsid w:val="00A20E1D"/>
    <w:rsid w:val="00A21446"/>
    <w:rsid w:val="00A239DC"/>
    <w:rsid w:val="00A2446C"/>
    <w:rsid w:val="00A24EE1"/>
    <w:rsid w:val="00A27650"/>
    <w:rsid w:val="00A3038E"/>
    <w:rsid w:val="00A34DCE"/>
    <w:rsid w:val="00A3602F"/>
    <w:rsid w:val="00A36E9F"/>
    <w:rsid w:val="00A42DF8"/>
    <w:rsid w:val="00A435A3"/>
    <w:rsid w:val="00A44337"/>
    <w:rsid w:val="00A44CDC"/>
    <w:rsid w:val="00A44D95"/>
    <w:rsid w:val="00A45ABD"/>
    <w:rsid w:val="00A50CD2"/>
    <w:rsid w:val="00A5576F"/>
    <w:rsid w:val="00A57D30"/>
    <w:rsid w:val="00A612FC"/>
    <w:rsid w:val="00A6243D"/>
    <w:rsid w:val="00A6288D"/>
    <w:rsid w:val="00A63AD2"/>
    <w:rsid w:val="00A64DCC"/>
    <w:rsid w:val="00A658BD"/>
    <w:rsid w:val="00A6632D"/>
    <w:rsid w:val="00A66F53"/>
    <w:rsid w:val="00A677CF"/>
    <w:rsid w:val="00A70A95"/>
    <w:rsid w:val="00A8095E"/>
    <w:rsid w:val="00A82D19"/>
    <w:rsid w:val="00A84D7D"/>
    <w:rsid w:val="00A92837"/>
    <w:rsid w:val="00A96983"/>
    <w:rsid w:val="00A97F5B"/>
    <w:rsid w:val="00AA1504"/>
    <w:rsid w:val="00AA3141"/>
    <w:rsid w:val="00AA6222"/>
    <w:rsid w:val="00AA76D1"/>
    <w:rsid w:val="00AB4F74"/>
    <w:rsid w:val="00AB592C"/>
    <w:rsid w:val="00AB5BE6"/>
    <w:rsid w:val="00AC1E87"/>
    <w:rsid w:val="00AC229A"/>
    <w:rsid w:val="00AC412B"/>
    <w:rsid w:val="00AC484D"/>
    <w:rsid w:val="00AD2E2B"/>
    <w:rsid w:val="00AD4C48"/>
    <w:rsid w:val="00AD5C4D"/>
    <w:rsid w:val="00AD7E51"/>
    <w:rsid w:val="00AE0BF3"/>
    <w:rsid w:val="00AE30C8"/>
    <w:rsid w:val="00AE3D11"/>
    <w:rsid w:val="00AE5B90"/>
    <w:rsid w:val="00AE672E"/>
    <w:rsid w:val="00AE70A6"/>
    <w:rsid w:val="00AF0652"/>
    <w:rsid w:val="00AF2124"/>
    <w:rsid w:val="00AF3280"/>
    <w:rsid w:val="00B006C6"/>
    <w:rsid w:val="00B014B4"/>
    <w:rsid w:val="00B1041F"/>
    <w:rsid w:val="00B12C83"/>
    <w:rsid w:val="00B12EBF"/>
    <w:rsid w:val="00B1721D"/>
    <w:rsid w:val="00B17CF8"/>
    <w:rsid w:val="00B17E27"/>
    <w:rsid w:val="00B217E9"/>
    <w:rsid w:val="00B21899"/>
    <w:rsid w:val="00B232EA"/>
    <w:rsid w:val="00B3066E"/>
    <w:rsid w:val="00B31949"/>
    <w:rsid w:val="00B32DDE"/>
    <w:rsid w:val="00B37193"/>
    <w:rsid w:val="00B41F1E"/>
    <w:rsid w:val="00B43780"/>
    <w:rsid w:val="00B45B92"/>
    <w:rsid w:val="00B45BDC"/>
    <w:rsid w:val="00B4644A"/>
    <w:rsid w:val="00B50712"/>
    <w:rsid w:val="00B520E7"/>
    <w:rsid w:val="00B52D73"/>
    <w:rsid w:val="00B54172"/>
    <w:rsid w:val="00B5419D"/>
    <w:rsid w:val="00B54F0A"/>
    <w:rsid w:val="00B55989"/>
    <w:rsid w:val="00B717EF"/>
    <w:rsid w:val="00B71926"/>
    <w:rsid w:val="00B739AA"/>
    <w:rsid w:val="00B73CFF"/>
    <w:rsid w:val="00B7563C"/>
    <w:rsid w:val="00B75F85"/>
    <w:rsid w:val="00B80BF0"/>
    <w:rsid w:val="00B82BDD"/>
    <w:rsid w:val="00B82D80"/>
    <w:rsid w:val="00B86DCC"/>
    <w:rsid w:val="00B871A2"/>
    <w:rsid w:val="00B91041"/>
    <w:rsid w:val="00B91C45"/>
    <w:rsid w:val="00B93821"/>
    <w:rsid w:val="00B93871"/>
    <w:rsid w:val="00B96203"/>
    <w:rsid w:val="00BA19CF"/>
    <w:rsid w:val="00BA1E80"/>
    <w:rsid w:val="00BA2F85"/>
    <w:rsid w:val="00BA321B"/>
    <w:rsid w:val="00BA3E29"/>
    <w:rsid w:val="00BA4223"/>
    <w:rsid w:val="00BA63D7"/>
    <w:rsid w:val="00BA7B9A"/>
    <w:rsid w:val="00BB1C44"/>
    <w:rsid w:val="00BB1DF8"/>
    <w:rsid w:val="00BB2D26"/>
    <w:rsid w:val="00BB3F51"/>
    <w:rsid w:val="00BC11A8"/>
    <w:rsid w:val="00BC2B5D"/>
    <w:rsid w:val="00BC3F95"/>
    <w:rsid w:val="00BC52D5"/>
    <w:rsid w:val="00BD0B4E"/>
    <w:rsid w:val="00BD68B0"/>
    <w:rsid w:val="00BD6C30"/>
    <w:rsid w:val="00BD7C1A"/>
    <w:rsid w:val="00BE251D"/>
    <w:rsid w:val="00BE2747"/>
    <w:rsid w:val="00BE57E6"/>
    <w:rsid w:val="00BE6034"/>
    <w:rsid w:val="00BE7B4E"/>
    <w:rsid w:val="00BF1A92"/>
    <w:rsid w:val="00BF459A"/>
    <w:rsid w:val="00C03E03"/>
    <w:rsid w:val="00C0549F"/>
    <w:rsid w:val="00C12B55"/>
    <w:rsid w:val="00C137D4"/>
    <w:rsid w:val="00C219D1"/>
    <w:rsid w:val="00C21B46"/>
    <w:rsid w:val="00C267F9"/>
    <w:rsid w:val="00C26BF8"/>
    <w:rsid w:val="00C27350"/>
    <w:rsid w:val="00C30BE7"/>
    <w:rsid w:val="00C33D22"/>
    <w:rsid w:val="00C36F2C"/>
    <w:rsid w:val="00C37CD7"/>
    <w:rsid w:val="00C42222"/>
    <w:rsid w:val="00C52140"/>
    <w:rsid w:val="00C52590"/>
    <w:rsid w:val="00C52ED3"/>
    <w:rsid w:val="00C548D9"/>
    <w:rsid w:val="00C54F09"/>
    <w:rsid w:val="00C55601"/>
    <w:rsid w:val="00C56C57"/>
    <w:rsid w:val="00C56CA5"/>
    <w:rsid w:val="00C56DC3"/>
    <w:rsid w:val="00C6384F"/>
    <w:rsid w:val="00C63FD4"/>
    <w:rsid w:val="00C67292"/>
    <w:rsid w:val="00C6731F"/>
    <w:rsid w:val="00C74178"/>
    <w:rsid w:val="00C7696D"/>
    <w:rsid w:val="00C77F22"/>
    <w:rsid w:val="00C829E9"/>
    <w:rsid w:val="00C82CC3"/>
    <w:rsid w:val="00C83E01"/>
    <w:rsid w:val="00C83EF1"/>
    <w:rsid w:val="00C85BFD"/>
    <w:rsid w:val="00C905A0"/>
    <w:rsid w:val="00C905A3"/>
    <w:rsid w:val="00C915D1"/>
    <w:rsid w:val="00C92A76"/>
    <w:rsid w:val="00C9359A"/>
    <w:rsid w:val="00CA30D2"/>
    <w:rsid w:val="00CA4741"/>
    <w:rsid w:val="00CA6498"/>
    <w:rsid w:val="00CB0FA0"/>
    <w:rsid w:val="00CB2A6C"/>
    <w:rsid w:val="00CB39AD"/>
    <w:rsid w:val="00CB3AB0"/>
    <w:rsid w:val="00CB45CB"/>
    <w:rsid w:val="00CB6290"/>
    <w:rsid w:val="00CC06CE"/>
    <w:rsid w:val="00CC550A"/>
    <w:rsid w:val="00CD15FD"/>
    <w:rsid w:val="00CD1BF1"/>
    <w:rsid w:val="00CD3044"/>
    <w:rsid w:val="00CD4DE6"/>
    <w:rsid w:val="00CD5720"/>
    <w:rsid w:val="00CD5E98"/>
    <w:rsid w:val="00CD7573"/>
    <w:rsid w:val="00CE2DC8"/>
    <w:rsid w:val="00CE2EAB"/>
    <w:rsid w:val="00CE3886"/>
    <w:rsid w:val="00CE5AB2"/>
    <w:rsid w:val="00CE61EF"/>
    <w:rsid w:val="00CE6BAD"/>
    <w:rsid w:val="00CE7064"/>
    <w:rsid w:val="00CE7C14"/>
    <w:rsid w:val="00CF1140"/>
    <w:rsid w:val="00CF1DF0"/>
    <w:rsid w:val="00CF2C91"/>
    <w:rsid w:val="00CF4A92"/>
    <w:rsid w:val="00CF558F"/>
    <w:rsid w:val="00D03BD5"/>
    <w:rsid w:val="00D03F6D"/>
    <w:rsid w:val="00D03FF5"/>
    <w:rsid w:val="00D04522"/>
    <w:rsid w:val="00D1198A"/>
    <w:rsid w:val="00D14EAA"/>
    <w:rsid w:val="00D16EE2"/>
    <w:rsid w:val="00D20354"/>
    <w:rsid w:val="00D20AA7"/>
    <w:rsid w:val="00D21B19"/>
    <w:rsid w:val="00D22611"/>
    <w:rsid w:val="00D254F9"/>
    <w:rsid w:val="00D30084"/>
    <w:rsid w:val="00D306C2"/>
    <w:rsid w:val="00D3564C"/>
    <w:rsid w:val="00D3728F"/>
    <w:rsid w:val="00D37A05"/>
    <w:rsid w:val="00D430AB"/>
    <w:rsid w:val="00D44B33"/>
    <w:rsid w:val="00D458EA"/>
    <w:rsid w:val="00D5103B"/>
    <w:rsid w:val="00D52301"/>
    <w:rsid w:val="00D543E5"/>
    <w:rsid w:val="00D553D1"/>
    <w:rsid w:val="00D55613"/>
    <w:rsid w:val="00D5648D"/>
    <w:rsid w:val="00D626D6"/>
    <w:rsid w:val="00D70BD0"/>
    <w:rsid w:val="00D72F67"/>
    <w:rsid w:val="00D73061"/>
    <w:rsid w:val="00D77C1E"/>
    <w:rsid w:val="00D8378C"/>
    <w:rsid w:val="00D86353"/>
    <w:rsid w:val="00D869BD"/>
    <w:rsid w:val="00D92445"/>
    <w:rsid w:val="00D96C5A"/>
    <w:rsid w:val="00D9718E"/>
    <w:rsid w:val="00DA0128"/>
    <w:rsid w:val="00DA0E72"/>
    <w:rsid w:val="00DA3A7E"/>
    <w:rsid w:val="00DA4EC9"/>
    <w:rsid w:val="00DA5B71"/>
    <w:rsid w:val="00DA6B9B"/>
    <w:rsid w:val="00DB0D89"/>
    <w:rsid w:val="00DB4448"/>
    <w:rsid w:val="00DB51C5"/>
    <w:rsid w:val="00DB7C2A"/>
    <w:rsid w:val="00DC0B88"/>
    <w:rsid w:val="00DC13F0"/>
    <w:rsid w:val="00DC27D1"/>
    <w:rsid w:val="00DC45C6"/>
    <w:rsid w:val="00DC55A0"/>
    <w:rsid w:val="00DC5EDF"/>
    <w:rsid w:val="00DC67B1"/>
    <w:rsid w:val="00DC714B"/>
    <w:rsid w:val="00DC715B"/>
    <w:rsid w:val="00DC72AB"/>
    <w:rsid w:val="00DD1099"/>
    <w:rsid w:val="00DD1317"/>
    <w:rsid w:val="00DD142D"/>
    <w:rsid w:val="00DD2D71"/>
    <w:rsid w:val="00DD583E"/>
    <w:rsid w:val="00DD6C59"/>
    <w:rsid w:val="00DE00F6"/>
    <w:rsid w:val="00DE34F3"/>
    <w:rsid w:val="00DE4D63"/>
    <w:rsid w:val="00DE75D0"/>
    <w:rsid w:val="00DF02FA"/>
    <w:rsid w:val="00DF245E"/>
    <w:rsid w:val="00DF5062"/>
    <w:rsid w:val="00DF7C51"/>
    <w:rsid w:val="00DF7D01"/>
    <w:rsid w:val="00E003A5"/>
    <w:rsid w:val="00E0508F"/>
    <w:rsid w:val="00E07BC3"/>
    <w:rsid w:val="00E12D6E"/>
    <w:rsid w:val="00E141DD"/>
    <w:rsid w:val="00E16A07"/>
    <w:rsid w:val="00E16B8C"/>
    <w:rsid w:val="00E259ED"/>
    <w:rsid w:val="00E25A33"/>
    <w:rsid w:val="00E305B5"/>
    <w:rsid w:val="00E31028"/>
    <w:rsid w:val="00E3116E"/>
    <w:rsid w:val="00E31906"/>
    <w:rsid w:val="00E31B1B"/>
    <w:rsid w:val="00E34720"/>
    <w:rsid w:val="00E3597D"/>
    <w:rsid w:val="00E37BF7"/>
    <w:rsid w:val="00E40949"/>
    <w:rsid w:val="00E42567"/>
    <w:rsid w:val="00E46E36"/>
    <w:rsid w:val="00E50CBC"/>
    <w:rsid w:val="00E50F78"/>
    <w:rsid w:val="00E51B36"/>
    <w:rsid w:val="00E57F23"/>
    <w:rsid w:val="00E617CF"/>
    <w:rsid w:val="00E628CD"/>
    <w:rsid w:val="00E62CAB"/>
    <w:rsid w:val="00E62F21"/>
    <w:rsid w:val="00E632F5"/>
    <w:rsid w:val="00E65E8E"/>
    <w:rsid w:val="00E712B3"/>
    <w:rsid w:val="00E732D3"/>
    <w:rsid w:val="00E738D6"/>
    <w:rsid w:val="00E739EE"/>
    <w:rsid w:val="00E77995"/>
    <w:rsid w:val="00E82462"/>
    <w:rsid w:val="00E856DA"/>
    <w:rsid w:val="00E953DB"/>
    <w:rsid w:val="00E9620D"/>
    <w:rsid w:val="00E97485"/>
    <w:rsid w:val="00EA1358"/>
    <w:rsid w:val="00EA3B66"/>
    <w:rsid w:val="00EA5EBD"/>
    <w:rsid w:val="00EA6257"/>
    <w:rsid w:val="00EB05B2"/>
    <w:rsid w:val="00EB5718"/>
    <w:rsid w:val="00EB573C"/>
    <w:rsid w:val="00EB58C7"/>
    <w:rsid w:val="00EB6D7E"/>
    <w:rsid w:val="00EC0F98"/>
    <w:rsid w:val="00EC327F"/>
    <w:rsid w:val="00EC40CD"/>
    <w:rsid w:val="00EC5966"/>
    <w:rsid w:val="00EC6929"/>
    <w:rsid w:val="00EC6AFD"/>
    <w:rsid w:val="00ED0698"/>
    <w:rsid w:val="00ED1AA3"/>
    <w:rsid w:val="00ED66A3"/>
    <w:rsid w:val="00ED7967"/>
    <w:rsid w:val="00ED7EBA"/>
    <w:rsid w:val="00ED7FE3"/>
    <w:rsid w:val="00EE57CE"/>
    <w:rsid w:val="00EE6113"/>
    <w:rsid w:val="00EE62EE"/>
    <w:rsid w:val="00EF0004"/>
    <w:rsid w:val="00EF2F4A"/>
    <w:rsid w:val="00EF3702"/>
    <w:rsid w:val="00F0476F"/>
    <w:rsid w:val="00F0620F"/>
    <w:rsid w:val="00F0665B"/>
    <w:rsid w:val="00F12CD5"/>
    <w:rsid w:val="00F12DFE"/>
    <w:rsid w:val="00F142CD"/>
    <w:rsid w:val="00F307E3"/>
    <w:rsid w:val="00F31F60"/>
    <w:rsid w:val="00F32D0A"/>
    <w:rsid w:val="00F37E25"/>
    <w:rsid w:val="00F40063"/>
    <w:rsid w:val="00F400D3"/>
    <w:rsid w:val="00F435A8"/>
    <w:rsid w:val="00F43E93"/>
    <w:rsid w:val="00F519EA"/>
    <w:rsid w:val="00F51ACC"/>
    <w:rsid w:val="00F538AD"/>
    <w:rsid w:val="00F5442C"/>
    <w:rsid w:val="00F54E97"/>
    <w:rsid w:val="00F5637F"/>
    <w:rsid w:val="00F56764"/>
    <w:rsid w:val="00F60015"/>
    <w:rsid w:val="00F6069D"/>
    <w:rsid w:val="00F62C18"/>
    <w:rsid w:val="00F62D00"/>
    <w:rsid w:val="00F63BDA"/>
    <w:rsid w:val="00F75049"/>
    <w:rsid w:val="00F75F47"/>
    <w:rsid w:val="00F77E25"/>
    <w:rsid w:val="00F80459"/>
    <w:rsid w:val="00F80B9D"/>
    <w:rsid w:val="00F82E22"/>
    <w:rsid w:val="00F83FB8"/>
    <w:rsid w:val="00F925F7"/>
    <w:rsid w:val="00F9263A"/>
    <w:rsid w:val="00F97713"/>
    <w:rsid w:val="00FA0EC9"/>
    <w:rsid w:val="00FA1349"/>
    <w:rsid w:val="00FA18C1"/>
    <w:rsid w:val="00FA266E"/>
    <w:rsid w:val="00FA3AF5"/>
    <w:rsid w:val="00FA3CCF"/>
    <w:rsid w:val="00FA553E"/>
    <w:rsid w:val="00FA6A22"/>
    <w:rsid w:val="00FB3E69"/>
    <w:rsid w:val="00FB42FF"/>
    <w:rsid w:val="00FC02A4"/>
    <w:rsid w:val="00FC163A"/>
    <w:rsid w:val="00FC2006"/>
    <w:rsid w:val="00FC2930"/>
    <w:rsid w:val="00FC2CBE"/>
    <w:rsid w:val="00FC5534"/>
    <w:rsid w:val="00FC64CD"/>
    <w:rsid w:val="00FC6E19"/>
    <w:rsid w:val="00FC7912"/>
    <w:rsid w:val="00FD1F0C"/>
    <w:rsid w:val="00FD291C"/>
    <w:rsid w:val="00FD2ABE"/>
    <w:rsid w:val="00FD4BAA"/>
    <w:rsid w:val="00FD533E"/>
    <w:rsid w:val="00FE255E"/>
    <w:rsid w:val="00FF20DA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5D59C"/>
  <w15:docId w15:val="{71E5C383-7A13-49AA-B825-207DDC0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EEF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2E2E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2E2EE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E2EEF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E2EEF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E2E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E2EEF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E2EEF"/>
    <w:rPr>
      <w:szCs w:val="24"/>
    </w:rPr>
  </w:style>
  <w:style w:type="character" w:customStyle="1" w:styleId="ZhlavChar">
    <w:name w:val="Záhlaví Char"/>
    <w:basedOn w:val="Standardnpsmoodstavce"/>
    <w:link w:val="Zhlav"/>
    <w:locked/>
    <w:rsid w:val="002E2EEF"/>
    <w:rPr>
      <w:szCs w:val="24"/>
      <w:lang w:val="cs-CZ" w:eastAsia="cs-CZ" w:bidi="ar-SA"/>
    </w:rPr>
  </w:style>
  <w:style w:type="character" w:customStyle="1" w:styleId="platne1">
    <w:name w:val="platne1"/>
    <w:basedOn w:val="Standardnpsmoodstavce"/>
    <w:rsid w:val="002E2EEF"/>
  </w:style>
  <w:style w:type="paragraph" w:styleId="Zkladntext">
    <w:name w:val="Body Text"/>
    <w:basedOn w:val="Normln"/>
    <w:link w:val="ZkladntextChar"/>
    <w:rsid w:val="002E2EEF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E2EEF"/>
    <w:rPr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E2EEF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2EEF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E2EEF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E2EEF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7065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658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58D"/>
  </w:style>
  <w:style w:type="paragraph" w:styleId="Pedmtkomente">
    <w:name w:val="annotation subject"/>
    <w:basedOn w:val="Textkomente"/>
    <w:next w:val="Textkomente"/>
    <w:link w:val="PedmtkomenteChar"/>
    <w:rsid w:val="007065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0658D"/>
    <w:rPr>
      <w:b/>
      <w:bCs/>
    </w:rPr>
  </w:style>
  <w:style w:type="paragraph" w:styleId="Textbubliny">
    <w:name w:val="Balloon Text"/>
    <w:basedOn w:val="Normln"/>
    <w:link w:val="TextbublinyChar"/>
    <w:rsid w:val="0070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0658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307E3"/>
    <w:rPr>
      <w:szCs w:val="24"/>
    </w:rPr>
  </w:style>
  <w:style w:type="character" w:customStyle="1" w:styleId="Nadpis1Char">
    <w:name w:val="Nadpis 1 Char"/>
    <w:basedOn w:val="Standardnpsmoodstavce"/>
    <w:link w:val="Nadpis1"/>
    <w:rsid w:val="00CE5AB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E5AB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17AE5"/>
    <w:rPr>
      <w:szCs w:val="24"/>
    </w:rPr>
  </w:style>
  <w:style w:type="paragraph" w:styleId="Rozloendokumentu">
    <w:name w:val="Document Map"/>
    <w:basedOn w:val="Normln"/>
    <w:link w:val="RozloendokumentuChar"/>
    <w:rsid w:val="00D72F6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D72F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A12A85"/>
    <w:rPr>
      <w:color w:val="0000FF" w:themeColor="hyperlink"/>
      <w:u w:val="single"/>
    </w:rPr>
  </w:style>
  <w:style w:type="table" w:customStyle="1" w:styleId="Mkatabulky1">
    <w:name w:val="Mřížka tabulky1"/>
    <w:basedOn w:val="Normlntabulka"/>
    <w:next w:val="Mkatabulky"/>
    <w:rsid w:val="00700F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70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Dvořáková Tereza</DisplayName>
        <AccountId>293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9BC76-A478-4DD3-9D39-FF850443C03F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A8DE20-EDF1-4148-9D34-D5FF7F979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4E504-4FB9-4758-97CB-6ECB25872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D14FB-3264-4789-BC69-7780F38798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CB4E7D-3B2C-4257-9645-BE88FA2A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2242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CP s.p.</Company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BBH</dc:creator>
  <cp:lastModifiedBy>Brozmanová Michaela</cp:lastModifiedBy>
  <cp:revision>9</cp:revision>
  <cp:lastPrinted>2017-04-06T11:15:00Z</cp:lastPrinted>
  <dcterms:created xsi:type="dcterms:W3CDTF">2017-06-14T08:46:00Z</dcterms:created>
  <dcterms:modified xsi:type="dcterms:W3CDTF">2017-06-14T10:01:00Z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