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34FC" w14:textId="6ED77ABB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CB4DC4" w:rsidRPr="00CB4DC4">
        <w:rPr>
          <w:rFonts w:ascii="Palatino Linotype" w:hAnsi="Palatino Linotype"/>
          <w:b/>
          <w:bCs/>
          <w:smallCaps/>
          <w:sz w:val="18"/>
          <w:szCs w:val="18"/>
        </w:rPr>
        <w:t>531</w:t>
      </w:r>
      <w:r w:rsidRPr="00CB4DC4">
        <w:rPr>
          <w:rFonts w:ascii="Palatino Linotype" w:hAnsi="Palatino Linotype"/>
          <w:b/>
          <w:bCs/>
          <w:smallCaps/>
          <w:sz w:val="18"/>
          <w:szCs w:val="18"/>
        </w:rPr>
        <w:t>/20</w:t>
      </w:r>
      <w:r w:rsidR="00CB4DC4" w:rsidRPr="00CB4DC4">
        <w:rPr>
          <w:rFonts w:ascii="Palatino Linotype" w:hAnsi="Palatino Linotype"/>
          <w:b/>
          <w:bCs/>
          <w:smallCaps/>
          <w:sz w:val="18"/>
          <w:szCs w:val="18"/>
        </w:rPr>
        <w:t>23</w:t>
      </w:r>
    </w:p>
    <w:p w14:paraId="7F5F5D6B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088FC2B8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E2DAF3D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09A878F3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1F34C830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46F09EF9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180F7F84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259BA241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IČ: 00023281</w:t>
      </w:r>
    </w:p>
    <w:p w14:paraId="5EAC4D09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DIČ: CZ 00023281</w:t>
      </w:r>
    </w:p>
    <w:p w14:paraId="13143FAB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0ADB3E18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17E9D053" w14:textId="59F4BCA9" w:rsidR="000B0D90" w:rsidRPr="00CB4DC4" w:rsidRDefault="00CB4DC4" w:rsidP="00113F51">
      <w:pPr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b/>
          <w:sz w:val="18"/>
          <w:szCs w:val="18"/>
        </w:rPr>
        <w:t>Galerie Středočeského kraje, příspěvková organizace</w:t>
      </w:r>
    </w:p>
    <w:p w14:paraId="7FE9BD11" w14:textId="40102037" w:rsidR="000B0D90" w:rsidRPr="00CB4DC4" w:rsidRDefault="00CB4DC4" w:rsidP="00113F51">
      <w:pPr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>Barborská 51-53, 284 01 Kutná Hora</w:t>
      </w:r>
    </w:p>
    <w:p w14:paraId="450728DD" w14:textId="2FCDF9BC" w:rsidR="000B0D90" w:rsidRPr="00CB4DC4" w:rsidRDefault="000B0D90" w:rsidP="00113F51">
      <w:pPr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napToGrid w:val="0"/>
          <w:sz w:val="18"/>
          <w:szCs w:val="18"/>
        </w:rPr>
        <w:t xml:space="preserve">zastoupené </w:t>
      </w:r>
      <w:r w:rsidR="00CB4DC4" w:rsidRPr="00CB4DC4">
        <w:rPr>
          <w:rFonts w:ascii="Palatino Linotype" w:hAnsi="Palatino Linotype"/>
          <w:sz w:val="18"/>
          <w:szCs w:val="18"/>
        </w:rPr>
        <w:t>Janou Šorfovou, ředitelkou</w:t>
      </w:r>
      <w:r w:rsidRPr="00CB4DC4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3EB79182" w14:textId="1A8F979E" w:rsidR="000B0D90" w:rsidRPr="00CB4DC4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 xml:space="preserve">IČ: </w:t>
      </w:r>
      <w:r w:rsidR="00CB4DC4" w:rsidRPr="00CB4DC4">
        <w:rPr>
          <w:rFonts w:ascii="Palatino Linotype" w:hAnsi="Palatino Linotype"/>
          <w:sz w:val="18"/>
          <w:szCs w:val="18"/>
        </w:rPr>
        <w:t>00069922</w:t>
      </w:r>
    </w:p>
    <w:p w14:paraId="2355FF4C" w14:textId="00F5C1EA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>DIČ: CZ 000</w:t>
      </w:r>
      <w:r w:rsidR="00CB4DC4" w:rsidRPr="00CB4DC4">
        <w:rPr>
          <w:rFonts w:ascii="Palatino Linotype" w:hAnsi="Palatino Linotype"/>
          <w:sz w:val="18"/>
          <w:szCs w:val="18"/>
        </w:rPr>
        <w:t>69922</w:t>
      </w:r>
    </w:p>
    <w:p w14:paraId="352FBCA2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03646B45" w14:textId="77777777" w:rsidR="000B0D90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3E73F66E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01C1B4EE" w14:textId="7F12BEA7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1D381F">
        <w:rPr>
          <w:rFonts w:ascii="Palatino Linotype" w:hAnsi="Palatino Linotype"/>
          <w:sz w:val="18"/>
          <w:szCs w:val="18"/>
        </w:rPr>
        <w:t xml:space="preserve"> </w:t>
      </w:r>
      <w:r w:rsidRPr="001D381F">
        <w:rPr>
          <w:rFonts w:ascii="Palatino Linotype" w:hAnsi="Palatino Linotype"/>
          <w:sz w:val="18"/>
          <w:szCs w:val="18"/>
        </w:rPr>
        <w:t xml:space="preserve">č. 122/2000 Sb., podrobně uvedená v přiloženém seznamu </w:t>
      </w:r>
      <w:r w:rsidRPr="005B1FB2">
        <w:rPr>
          <w:rFonts w:ascii="Palatino Linotype" w:hAnsi="Palatino Linotype"/>
          <w:sz w:val="18"/>
          <w:szCs w:val="18"/>
        </w:rPr>
        <w:t xml:space="preserve">o </w:t>
      </w:r>
      <w:r w:rsidR="00FD3071">
        <w:rPr>
          <w:rFonts w:ascii="Palatino Linotype" w:hAnsi="Palatino Linotype"/>
          <w:sz w:val="18"/>
          <w:szCs w:val="18"/>
        </w:rPr>
        <w:t>X</w:t>
      </w:r>
      <w:r w:rsidRPr="005B1FB2">
        <w:rPr>
          <w:rFonts w:ascii="Palatino Linotype" w:hAnsi="Palatino Linotype"/>
          <w:sz w:val="18"/>
          <w:szCs w:val="18"/>
        </w:rPr>
        <w:t xml:space="preserve"> list</w:t>
      </w:r>
      <w:r w:rsidR="005B1FB2" w:rsidRPr="005B1FB2">
        <w:rPr>
          <w:rFonts w:ascii="Palatino Linotype" w:hAnsi="Palatino Linotype"/>
          <w:sz w:val="18"/>
          <w:szCs w:val="18"/>
        </w:rPr>
        <w:t>ech</w:t>
      </w:r>
      <w:r w:rsidR="006C78DB" w:rsidRPr="005B1FB2">
        <w:rPr>
          <w:rFonts w:ascii="Palatino Linotype" w:hAnsi="Palatino Linotype"/>
          <w:sz w:val="18"/>
          <w:szCs w:val="18"/>
        </w:rPr>
        <w:t xml:space="preserve"> 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7F46AF33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55BC4631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způsobem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32DDB0B9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DD18AC3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6AC547B5" w14:textId="4DE781AF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uhradit </w:t>
      </w:r>
      <w:r w:rsidRPr="00CB4DC4">
        <w:rPr>
          <w:rFonts w:ascii="Palatino Linotype" w:hAnsi="Palatino Linotype"/>
          <w:sz w:val="18"/>
          <w:szCs w:val="18"/>
        </w:rPr>
        <w:t>veškeré náklady spojené s realizací výpůjčky</w:t>
      </w:r>
      <w:r w:rsidR="00850BC7" w:rsidRPr="00CB4DC4">
        <w:rPr>
          <w:rFonts w:ascii="Palatino Linotype" w:hAnsi="Palatino Linotype"/>
          <w:snapToGrid/>
          <w:sz w:val="18"/>
          <w:szCs w:val="18"/>
        </w:rPr>
        <w:t xml:space="preserve"> </w:t>
      </w:r>
      <w:r w:rsidR="005E3D9C" w:rsidRPr="00CB4DC4">
        <w:rPr>
          <w:rFonts w:ascii="Palatino Linotype" w:hAnsi="Palatino Linotype"/>
          <w:snapToGrid/>
          <w:sz w:val="18"/>
          <w:szCs w:val="18"/>
        </w:rPr>
        <w:t>včetně nákladů uvedených</w:t>
      </w:r>
      <w:r w:rsidR="00850BC7" w:rsidRPr="00CB4DC4">
        <w:rPr>
          <w:rFonts w:ascii="Palatino Linotype" w:hAnsi="Palatino Linotype"/>
          <w:snapToGrid/>
          <w:sz w:val="18"/>
          <w:szCs w:val="18"/>
        </w:rPr>
        <w:t xml:space="preserve"> v</w:t>
      </w:r>
      <w:r w:rsidR="005E3D9C" w:rsidRPr="00CB4DC4">
        <w:rPr>
          <w:rFonts w:ascii="Palatino Linotype" w:hAnsi="Palatino Linotype"/>
          <w:snapToGrid/>
          <w:sz w:val="18"/>
          <w:szCs w:val="18"/>
        </w:rPr>
        <w:t> </w:t>
      </w:r>
      <w:r w:rsidR="00850BC7" w:rsidRPr="00CB4DC4">
        <w:rPr>
          <w:rFonts w:ascii="Palatino Linotype" w:hAnsi="Palatino Linotype"/>
          <w:snapToGrid/>
          <w:sz w:val="18"/>
          <w:szCs w:val="18"/>
        </w:rPr>
        <w:t>příloze</w:t>
      </w:r>
      <w:r w:rsidR="005E3D9C" w:rsidRPr="00CB4DC4">
        <w:rPr>
          <w:rFonts w:ascii="Palatino Linotype" w:hAnsi="Palatino Linotype"/>
          <w:snapToGrid/>
          <w:sz w:val="18"/>
          <w:szCs w:val="18"/>
        </w:rPr>
        <w:t xml:space="preserve"> č. 1 Smlouvy</w:t>
      </w:r>
      <w:r w:rsidR="00850BC7" w:rsidRPr="00CB4DC4">
        <w:rPr>
          <w:rFonts w:ascii="Palatino Linotype" w:hAnsi="Palatino Linotype"/>
          <w:snapToGrid/>
          <w:sz w:val="18"/>
          <w:szCs w:val="18"/>
        </w:rPr>
        <w:t>.</w:t>
      </w:r>
      <w:r w:rsidR="0094015E">
        <w:rPr>
          <w:rFonts w:ascii="Palatino Linotype" w:hAnsi="Palatino Linotype"/>
          <w:snapToGrid/>
          <w:sz w:val="18"/>
          <w:szCs w:val="18"/>
        </w:rPr>
        <w:t xml:space="preserve"> </w:t>
      </w:r>
    </w:p>
    <w:p w14:paraId="2D5CE81C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60414FAA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449A1043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656EBC92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64450BE5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finančního plnění do </w:t>
      </w:r>
      <w:r w:rsidRPr="001D381F">
        <w:rPr>
          <w:rFonts w:ascii="Palatino Linotype" w:hAnsi="Palatino Linotype"/>
          <w:sz w:val="18"/>
          <w:szCs w:val="18"/>
        </w:rPr>
        <w:lastRenderedPageBreak/>
        <w:t>čtyř týdnů vyjádří nesouhlas, bude výše peněžního plnění určena znalcem jmenovaným společně oběma smluvními stranami, ev. příslušným soudem.</w:t>
      </w:r>
    </w:p>
    <w:p w14:paraId="47E64EBF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6967C735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  <w:r w:rsidR="00A131DD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4D522394" w14:textId="60AADC75" w:rsidR="00611D17" w:rsidRPr="001D381F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bude přepravován v klimatizovaném prostoru při </w:t>
      </w:r>
      <w:r w:rsidRPr="00CB4DC4">
        <w:rPr>
          <w:rFonts w:ascii="Palatino Linotype" w:hAnsi="Palatino Linotype"/>
          <w:sz w:val="18"/>
          <w:szCs w:val="18"/>
        </w:rPr>
        <w:t xml:space="preserve">teplotě </w:t>
      </w:r>
      <w:r w:rsidR="00CB4DC4" w:rsidRPr="00CB4DC4">
        <w:rPr>
          <w:rFonts w:ascii="Palatino Linotype" w:hAnsi="Palatino Linotype"/>
          <w:sz w:val="18"/>
          <w:szCs w:val="18"/>
        </w:rPr>
        <w:t>20 °C</w:t>
      </w:r>
      <w:r w:rsidRPr="00CB4DC4">
        <w:rPr>
          <w:rFonts w:ascii="Palatino Linotype" w:hAnsi="Palatino Linotype"/>
          <w:sz w:val="18"/>
          <w:szCs w:val="18"/>
        </w:rPr>
        <w:t>, odpruženým</w:t>
      </w:r>
      <w:r w:rsidRPr="001D381F">
        <w:rPr>
          <w:rFonts w:ascii="Palatino Linotype" w:hAnsi="Palatino Linotype"/>
          <w:sz w:val="18"/>
          <w:szCs w:val="18"/>
        </w:rPr>
        <w:t xml:space="preserve"> vozem speciálně upraveným pro přepravu uměleckých děl</w:t>
      </w:r>
      <w:r w:rsidR="00CB4DC4">
        <w:rPr>
          <w:rFonts w:ascii="Palatino Linotype" w:hAnsi="Palatino Linotype"/>
          <w:sz w:val="18"/>
          <w:szCs w:val="18"/>
        </w:rPr>
        <w:t xml:space="preserve">. Díla uvedená v příloze č. 1 pod poř. č. </w:t>
      </w:r>
      <w:r w:rsidR="00FD3071">
        <w:rPr>
          <w:rFonts w:ascii="Palatino Linotype" w:hAnsi="Palatino Linotype"/>
          <w:sz w:val="18"/>
          <w:szCs w:val="18"/>
        </w:rPr>
        <w:t>X</w:t>
      </w:r>
      <w:r w:rsidR="00CB4DC4">
        <w:rPr>
          <w:rFonts w:ascii="Palatino Linotype" w:hAnsi="Palatino Linotype"/>
          <w:sz w:val="18"/>
          <w:szCs w:val="18"/>
        </w:rPr>
        <w:t xml:space="preserve"> budou balena do tyvecu a klima-stabilních beden. Díla uvedená v příloze č. 1 pod poř. č. </w:t>
      </w:r>
      <w:r w:rsidR="00FD3071">
        <w:rPr>
          <w:rFonts w:ascii="Palatino Linotype" w:hAnsi="Palatino Linotype"/>
          <w:sz w:val="18"/>
          <w:szCs w:val="18"/>
        </w:rPr>
        <w:t>X</w:t>
      </w:r>
      <w:r w:rsidR="00CB4DC4">
        <w:rPr>
          <w:rFonts w:ascii="Palatino Linotype" w:hAnsi="Palatino Linotype"/>
          <w:sz w:val="18"/>
          <w:szCs w:val="18"/>
        </w:rPr>
        <w:t xml:space="preserve"> budou přepravována v ochranných paspartách a zarámovaná</w:t>
      </w:r>
      <w:r w:rsidRPr="001D381F">
        <w:rPr>
          <w:rFonts w:ascii="Palatino Linotype" w:hAnsi="Palatino Linotype"/>
          <w:sz w:val="18"/>
          <w:szCs w:val="18"/>
        </w:rPr>
        <w:t>, v balení do</w:t>
      </w:r>
      <w:r w:rsidR="00CB4DC4">
        <w:rPr>
          <w:rFonts w:ascii="Palatino Linotype" w:hAnsi="Palatino Linotype"/>
          <w:sz w:val="18"/>
          <w:szCs w:val="18"/>
        </w:rPr>
        <w:t xml:space="preserve"> pevné klima-stabilní bedny.</w:t>
      </w:r>
      <w:r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632BD11C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2302120A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217ACE92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7F536EB5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3ECB1462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0FD9CC8B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3188BB47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658550E8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467DC460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14:paraId="61E36686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bere na vědomí praxi v oblasti půjčování umě</w:t>
      </w:r>
      <w:r w:rsidRPr="00CB4DC4">
        <w:rPr>
          <w:rFonts w:ascii="Palatino Linotype" w:hAnsi="Palatino Linotype"/>
          <w:sz w:val="18"/>
          <w:szCs w:val="18"/>
        </w:rPr>
        <w:t>leckých děl a zavazuje se, že zašle Půjčiteli 2 plakáty, 2 pozvánky na výstavu a dále zašle 2 výtisky katalogu nebo jiné tiskoviny k výstavě knihovně Národní galerie v Praze, a to nejpozději do dvou měsíců od jejich</w:t>
      </w:r>
      <w:r w:rsidRPr="001D381F">
        <w:rPr>
          <w:rFonts w:ascii="Palatino Linotype" w:hAnsi="Palatino Linotype"/>
          <w:sz w:val="18"/>
          <w:szCs w:val="18"/>
        </w:rPr>
        <w:t xml:space="preserve"> vydání.</w:t>
      </w:r>
    </w:p>
    <w:p w14:paraId="6BE0FFBD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Výstavní podmínky</w:t>
      </w:r>
    </w:p>
    <w:p w14:paraId="31BFE66E" w14:textId="33940D98" w:rsidR="007B463C" w:rsidRPr="001D381F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Výstavní podmínky: </w:t>
      </w:r>
      <w:r w:rsidR="000666EC" w:rsidRPr="001D381F">
        <w:rPr>
          <w:rFonts w:ascii="Palatino Linotype" w:hAnsi="Palatino Linotype"/>
          <w:sz w:val="18"/>
          <w:szCs w:val="18"/>
        </w:rPr>
        <w:t xml:space="preserve">díla budou vystavována v stabilních klimatických podmínkách dle standardů ICOM a ICCROM, tj. při </w:t>
      </w:r>
      <w:r w:rsidR="000666EC" w:rsidRPr="00CB4DC4">
        <w:rPr>
          <w:rFonts w:ascii="Palatino Linotype" w:hAnsi="Palatino Linotype"/>
          <w:sz w:val="18"/>
          <w:szCs w:val="18"/>
        </w:rPr>
        <w:t xml:space="preserve">teplotě </w:t>
      </w:r>
      <w:r w:rsidR="00850BC7" w:rsidRPr="00CB4DC4">
        <w:rPr>
          <w:rFonts w:ascii="Palatino Linotype" w:hAnsi="Palatino Linotype"/>
          <w:sz w:val="18"/>
          <w:szCs w:val="18"/>
        </w:rPr>
        <w:t>20 ± 2°</w:t>
      </w:r>
      <w:r w:rsidR="000666EC" w:rsidRPr="00CB4DC4">
        <w:rPr>
          <w:rFonts w:ascii="Palatino Linotype" w:hAnsi="Palatino Linotype"/>
          <w:sz w:val="18"/>
          <w:szCs w:val="18"/>
        </w:rPr>
        <w:t xml:space="preserve">C a relativní vlhkosti vzduchu </w:t>
      </w:r>
      <w:r w:rsidR="00850BC7" w:rsidRPr="00CB4DC4">
        <w:rPr>
          <w:rFonts w:ascii="Palatino Linotype" w:hAnsi="Palatino Linotype"/>
          <w:sz w:val="18"/>
          <w:szCs w:val="18"/>
        </w:rPr>
        <w:t>50</w:t>
      </w:r>
      <w:r w:rsidR="000666EC" w:rsidRPr="00CB4DC4">
        <w:rPr>
          <w:rFonts w:ascii="Palatino Linotype" w:hAnsi="Palatino Linotype"/>
          <w:sz w:val="18"/>
          <w:szCs w:val="18"/>
        </w:rPr>
        <w:t xml:space="preserve"> </w:t>
      </w:r>
      <w:r w:rsidR="00850BC7" w:rsidRPr="00CB4DC4">
        <w:rPr>
          <w:rFonts w:ascii="Palatino Linotype" w:hAnsi="Palatino Linotype"/>
          <w:sz w:val="18"/>
          <w:szCs w:val="18"/>
        </w:rPr>
        <w:t xml:space="preserve">± </w:t>
      </w:r>
      <w:r w:rsidR="000666EC" w:rsidRPr="00CB4DC4">
        <w:rPr>
          <w:rFonts w:ascii="Palatino Linotype" w:hAnsi="Palatino Linotype"/>
          <w:sz w:val="18"/>
          <w:szCs w:val="18"/>
        </w:rPr>
        <w:t>5</w:t>
      </w:r>
      <w:r w:rsidR="000666EC" w:rsidRPr="001D381F">
        <w:rPr>
          <w:rFonts w:ascii="Palatino Linotype" w:hAnsi="Palatino Linotype"/>
          <w:sz w:val="18"/>
          <w:szCs w:val="18"/>
        </w:rPr>
        <w:t xml:space="preserve"> %</w:t>
      </w:r>
      <w:r w:rsidR="00CB4DC4">
        <w:rPr>
          <w:rFonts w:ascii="Palatino Linotype" w:hAnsi="Palatino Linotype"/>
          <w:sz w:val="18"/>
          <w:szCs w:val="18"/>
        </w:rPr>
        <w:t xml:space="preserve">, hladina světla max. 150 luxů. </w:t>
      </w:r>
      <w:r w:rsidR="000666EC" w:rsidRPr="00CB4DC4">
        <w:rPr>
          <w:rFonts w:ascii="Palatino Linotype" w:hAnsi="Palatino Linotype"/>
          <w:sz w:val="18"/>
          <w:szCs w:val="18"/>
        </w:rPr>
        <w:t xml:space="preserve">Práce na papíře budou vystavovány </w:t>
      </w:r>
      <w:r w:rsidR="00ED6DAE" w:rsidRPr="00CB4DC4">
        <w:rPr>
          <w:rFonts w:ascii="Palatino Linotype" w:hAnsi="Palatino Linotype"/>
          <w:sz w:val="18"/>
          <w:szCs w:val="18"/>
        </w:rPr>
        <w:t>při snížení intenzitě osvětlení,</w:t>
      </w:r>
      <w:r w:rsidR="000666EC" w:rsidRPr="00CB4DC4">
        <w:rPr>
          <w:rFonts w:ascii="Palatino Linotype" w:hAnsi="Palatino Linotype"/>
          <w:sz w:val="18"/>
          <w:szCs w:val="18"/>
        </w:rPr>
        <w:t xml:space="preserve"> tj. max. 50 luxů. Vypůjčitel bere na vědomí, že doba výpůjčky</w:t>
      </w:r>
      <w:r w:rsidR="007473CF" w:rsidRPr="00CB4DC4">
        <w:rPr>
          <w:rFonts w:ascii="Palatino Linotype" w:hAnsi="Palatino Linotype"/>
          <w:sz w:val="18"/>
          <w:szCs w:val="18"/>
        </w:rPr>
        <w:t xml:space="preserve"> prací na papíře</w:t>
      </w:r>
      <w:r w:rsidR="000666EC" w:rsidRPr="00CB4DC4">
        <w:rPr>
          <w:rFonts w:ascii="Palatino Linotype" w:hAnsi="Palatino Linotype"/>
          <w:sz w:val="18"/>
          <w:szCs w:val="18"/>
        </w:rPr>
        <w:t xml:space="preserve"> nemůže být prodlužována.</w:t>
      </w:r>
      <w:r w:rsidR="00306DD8" w:rsidRPr="001D381F">
        <w:rPr>
          <w:rFonts w:ascii="Palatino Linotype" w:hAnsi="Palatino Linotype"/>
          <w:sz w:val="18"/>
          <w:szCs w:val="18"/>
        </w:rPr>
        <w:t xml:space="preserve"> </w:t>
      </w:r>
    </w:p>
    <w:p w14:paraId="29F7CBAD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 </w:t>
      </w:r>
    </w:p>
    <w:p w14:paraId="224D6ACA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0F06910A" w14:textId="77777777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09F6F551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622DDF3E" w14:textId="229228EB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</w:p>
    <w:p w14:paraId="14DA3DEB" w14:textId="77777777" w:rsidR="00526F63" w:rsidRPr="00CB4DC4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>Uveřejnění Smlouvy v registru smluv</w:t>
      </w:r>
    </w:p>
    <w:p w14:paraId="13862588" w14:textId="77777777" w:rsidR="002D5827" w:rsidRPr="00CB4DC4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 xml:space="preserve">Tuto </w:t>
      </w:r>
      <w:r w:rsidR="0058488F" w:rsidRPr="00CB4DC4">
        <w:rPr>
          <w:rFonts w:ascii="Palatino Linotype" w:hAnsi="Palatino Linotype"/>
          <w:sz w:val="18"/>
          <w:szCs w:val="18"/>
        </w:rPr>
        <w:t>S</w:t>
      </w:r>
      <w:r w:rsidRPr="00CB4DC4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CB4DC4">
        <w:rPr>
          <w:rFonts w:ascii="Palatino Linotype" w:hAnsi="Palatino Linotype"/>
          <w:sz w:val="18"/>
          <w:szCs w:val="18"/>
        </w:rPr>
        <w:t>Půjčitel. Příloha č. 1 této S</w:t>
      </w:r>
      <w:r w:rsidRPr="00CB4DC4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CB4DC4">
        <w:rPr>
          <w:rFonts w:ascii="Palatino Linotype" w:hAnsi="Palatino Linotype"/>
          <w:sz w:val="18"/>
          <w:szCs w:val="18"/>
        </w:rPr>
        <w:t>ědictví a sbírek P</w:t>
      </w:r>
      <w:r w:rsidRPr="00CB4DC4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CB4DC4">
        <w:rPr>
          <w:rFonts w:ascii="Palatino Linotype" w:hAnsi="Palatino Linotype"/>
          <w:sz w:val="18"/>
          <w:szCs w:val="18"/>
        </w:rPr>
        <w:t>P</w:t>
      </w:r>
      <w:r w:rsidRPr="00CB4DC4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CB4DC4">
        <w:rPr>
          <w:rFonts w:ascii="Palatino Linotype" w:hAnsi="Palatino Linotype"/>
          <w:sz w:val="18"/>
          <w:szCs w:val="18"/>
        </w:rPr>
        <w:t>S</w:t>
      </w:r>
      <w:r w:rsidRPr="00CB4DC4">
        <w:rPr>
          <w:rFonts w:ascii="Palatino Linotype" w:hAnsi="Palatino Linotype"/>
          <w:sz w:val="18"/>
          <w:szCs w:val="18"/>
        </w:rPr>
        <w:t xml:space="preserve">mlouvy </w:t>
      </w:r>
      <w:r w:rsidR="0058488F" w:rsidRPr="00CB4DC4">
        <w:rPr>
          <w:rFonts w:ascii="Palatino Linotype" w:hAnsi="Palatino Linotype"/>
          <w:sz w:val="18"/>
          <w:szCs w:val="18"/>
        </w:rPr>
        <w:t>V</w:t>
      </w:r>
      <w:r w:rsidRPr="00CB4DC4">
        <w:rPr>
          <w:rFonts w:ascii="Palatino Linotype" w:hAnsi="Palatino Linotype"/>
          <w:sz w:val="18"/>
          <w:szCs w:val="18"/>
        </w:rPr>
        <w:t xml:space="preserve">ypůjčitel, </w:t>
      </w:r>
      <w:r w:rsidRPr="00CB4DC4">
        <w:rPr>
          <w:rFonts w:ascii="Palatino Linotype" w:hAnsi="Palatino Linotype"/>
          <w:sz w:val="18"/>
          <w:szCs w:val="18"/>
        </w:rPr>
        <w:lastRenderedPageBreak/>
        <w:t xml:space="preserve">odpovídá </w:t>
      </w:r>
      <w:r w:rsidR="0058488F" w:rsidRPr="00CB4DC4">
        <w:rPr>
          <w:rFonts w:ascii="Palatino Linotype" w:hAnsi="Palatino Linotype"/>
          <w:sz w:val="18"/>
          <w:szCs w:val="18"/>
        </w:rPr>
        <w:t>P</w:t>
      </w:r>
      <w:r w:rsidRPr="00CB4DC4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CB4DC4">
        <w:rPr>
          <w:rFonts w:ascii="Palatino Linotype" w:hAnsi="Palatino Linotype"/>
          <w:sz w:val="18"/>
          <w:szCs w:val="18"/>
        </w:rPr>
        <w:t>P</w:t>
      </w:r>
      <w:r w:rsidRPr="00CB4DC4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CB4DC4">
        <w:rPr>
          <w:rFonts w:ascii="Palatino Linotype" w:hAnsi="Palatino Linotype"/>
          <w:sz w:val="18"/>
          <w:szCs w:val="18"/>
        </w:rPr>
        <w:t>P</w:t>
      </w:r>
      <w:r w:rsidRPr="00CB4DC4">
        <w:rPr>
          <w:rFonts w:ascii="Palatino Linotype" w:hAnsi="Palatino Linotype"/>
          <w:sz w:val="18"/>
          <w:szCs w:val="18"/>
        </w:rPr>
        <w:t>ůj</w:t>
      </w:r>
      <w:r w:rsidR="0058488F" w:rsidRPr="00CB4DC4">
        <w:rPr>
          <w:rFonts w:ascii="Palatino Linotype" w:hAnsi="Palatino Linotype"/>
          <w:sz w:val="18"/>
          <w:szCs w:val="18"/>
        </w:rPr>
        <w:t>čitel je dále oprávněn od této S</w:t>
      </w:r>
      <w:r w:rsidRPr="00CB4DC4">
        <w:rPr>
          <w:rFonts w:ascii="Palatino Linotype" w:hAnsi="Palatino Linotype"/>
          <w:sz w:val="18"/>
          <w:szCs w:val="18"/>
        </w:rPr>
        <w:t>mlouvy odstoupit.</w:t>
      </w:r>
      <w:r w:rsidR="003C4538" w:rsidRPr="00CB4DC4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CB4DC4">
        <w:rPr>
          <w:rFonts w:ascii="Palatino Linotype" w:hAnsi="Palatino Linotype"/>
          <w:sz w:val="18"/>
          <w:szCs w:val="18"/>
        </w:rPr>
        <w:t>S</w:t>
      </w:r>
      <w:r w:rsidR="003C4538" w:rsidRPr="00CB4DC4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CB4DC4">
        <w:rPr>
          <w:rFonts w:ascii="Palatino Linotype" w:hAnsi="Palatino Linotype"/>
          <w:sz w:val="18"/>
          <w:szCs w:val="18"/>
        </w:rPr>
        <w:t>S</w:t>
      </w:r>
      <w:r w:rsidR="003C4538" w:rsidRPr="00CB4DC4">
        <w:rPr>
          <w:rFonts w:ascii="Palatino Linotype" w:hAnsi="Palatino Linotype"/>
          <w:sz w:val="18"/>
          <w:szCs w:val="18"/>
        </w:rPr>
        <w:t>mlouvy písemně upozornit.</w:t>
      </w:r>
    </w:p>
    <w:p w14:paraId="1C5A9EFC" w14:textId="77777777" w:rsidR="00B127CA" w:rsidRPr="00CB4DC4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CB4DC4">
        <w:rPr>
          <w:rFonts w:ascii="Palatino Linotype" w:hAnsi="Palatino Linotype"/>
          <w:sz w:val="18"/>
          <w:szCs w:val="18"/>
        </w:rPr>
        <w:t>Závěrečná ustanovení</w:t>
      </w:r>
    </w:p>
    <w:p w14:paraId="5B91F573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 se vyhotovuje ve 2 paré, přičemž každá ze smluvních stran obdrží po jednom.</w:t>
      </w:r>
    </w:p>
    <w:p w14:paraId="098216B2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5EAD5CF0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3BD35ED2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36E96CE4" w14:textId="77777777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Smlouva </w:t>
      </w:r>
      <w:r w:rsidRPr="00CB4DC4">
        <w:rPr>
          <w:rFonts w:ascii="Palatino Linotype" w:hAnsi="Palatino Linotype"/>
          <w:sz w:val="18"/>
          <w:szCs w:val="18"/>
        </w:rPr>
        <w:t xml:space="preserve">nabývá platnosti </w:t>
      </w:r>
      <w:r w:rsidR="008757A1" w:rsidRPr="00CB4DC4">
        <w:rPr>
          <w:rFonts w:ascii="Palatino Linotype" w:hAnsi="Palatino Linotype"/>
          <w:sz w:val="18"/>
          <w:szCs w:val="18"/>
        </w:rPr>
        <w:t>dnem jejího podpisu a účinnosti</w:t>
      </w:r>
      <w:r w:rsidRPr="00CB4DC4">
        <w:rPr>
          <w:rFonts w:ascii="Palatino Linotype" w:hAnsi="Palatino Linotype"/>
          <w:sz w:val="18"/>
          <w:szCs w:val="18"/>
        </w:rPr>
        <w:t xml:space="preserve"> dnem uveřejnění v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14:paraId="34032F0F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7931302E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6F125DD4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EA67771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4340F368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DC6AFF4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A58EEF2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00D38273" w14:textId="52660F25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CB4DC4">
        <w:rPr>
          <w:rFonts w:ascii="Palatino Linotype" w:hAnsi="Palatino Linotype"/>
          <w:snapToGrid w:val="0"/>
          <w:sz w:val="18"/>
          <w:szCs w:val="18"/>
        </w:rPr>
        <w:t>Jana Šorfová</w:t>
      </w:r>
    </w:p>
    <w:p w14:paraId="4D4022A9" w14:textId="3C23B84E"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>e sbírk</w:t>
      </w:r>
      <w:r w:rsidR="00106DC1">
        <w:rPr>
          <w:rFonts w:ascii="Palatino Linotype" w:hAnsi="Palatino Linotype"/>
          <w:snapToGrid w:val="0"/>
          <w:sz w:val="18"/>
          <w:szCs w:val="18"/>
        </w:rPr>
        <w:t>ového</w:t>
      </w:r>
      <w:r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A5565">
        <w:rPr>
          <w:rFonts w:ascii="Palatino Linotype" w:hAnsi="Palatino Linotype"/>
          <w:snapToGrid w:val="0"/>
          <w:sz w:val="18"/>
          <w:szCs w:val="18"/>
        </w:rPr>
        <w:t>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CB4DC4">
        <w:rPr>
          <w:rFonts w:ascii="Palatino Linotype" w:hAnsi="Palatino Linotype"/>
          <w:snapToGrid w:val="0"/>
          <w:sz w:val="18"/>
          <w:szCs w:val="18"/>
        </w:rPr>
        <w:t>ředitelka GASK</w:t>
      </w:r>
    </w:p>
    <w:p w14:paraId="307E7FAB" w14:textId="77777777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7FF492FE" w14:textId="77777777" w:rsidR="001B3337" w:rsidRPr="001D381F" w:rsidRDefault="00AA46A6" w:rsidP="00BA5565">
      <w:pPr>
        <w:ind w:firstLine="1"/>
        <w:rPr>
          <w:rFonts w:ascii="Palatino Linotype" w:hAnsi="Palatino Linotype"/>
          <w:snapToGrid w:val="0"/>
          <w:sz w:val="18"/>
          <w:szCs w:val="18"/>
        </w:rPr>
        <w:sectPr w:rsidR="001B3337" w:rsidRPr="001D381F" w:rsidSect="00113F51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7EB49A97" w14:textId="6618F512" w:rsidR="001D381F" w:rsidRPr="00E35CE8" w:rsidRDefault="00E8272E" w:rsidP="00E8272E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E35CE8">
        <w:rPr>
          <w:rFonts w:ascii="Palatino Linotype" w:hAnsi="Palatino Linotype"/>
          <w:sz w:val="18"/>
          <w:szCs w:val="18"/>
        </w:rPr>
        <w:t xml:space="preserve"> </w:t>
      </w:r>
    </w:p>
    <w:sectPr w:rsidR="001D381F" w:rsidRPr="00E35CE8" w:rsidSect="000F0D70">
      <w:footerReference w:type="first" r:id="rId11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DE11" w14:textId="77777777" w:rsidR="009E0CD7" w:rsidRDefault="009E0CD7" w:rsidP="007013F0">
      <w:r>
        <w:separator/>
      </w:r>
    </w:p>
  </w:endnote>
  <w:endnote w:type="continuationSeparator" w:id="0">
    <w:p w14:paraId="50EB9662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9FC0" w14:textId="77777777" w:rsidR="007C29AE" w:rsidRDefault="007C29AE">
    <w:pPr>
      <w:pStyle w:val="Zpat"/>
    </w:pPr>
  </w:p>
  <w:p w14:paraId="6C897492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9623" w14:textId="276EFD42" w:rsidR="007013F0" w:rsidRDefault="007C29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5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FD3071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DF78" w14:textId="333AF074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3A1B79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>
      <w:rPr>
        <w:bCs/>
        <w:szCs w:val="24"/>
      </w:rPr>
      <w:fldChar w:fldCharType="begin"/>
    </w:r>
    <w:r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FD3071">
      <w:rPr>
        <w:bCs/>
        <w:noProof/>
        <w:szCs w:val="24"/>
      </w:rPr>
      <w:t>5</w:t>
    </w:r>
    <w:r>
      <w:rPr>
        <w:bCs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19D2" w14:textId="31BC5DF7" w:rsidR="007C29AE" w:rsidRDefault="007C29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1723B4">
      <w:rPr>
        <w:bCs/>
        <w:noProof/>
      </w:rPr>
      <w:t>1</w:t>
    </w:r>
    <w:r w:rsidRPr="006C24C3">
      <w:rPr>
        <w:bCs/>
        <w:szCs w:val="24"/>
      </w:rPr>
      <w:fldChar w:fldCharType="end"/>
    </w:r>
    <w:r w:rsidRPr="006C24C3">
      <w:rPr>
        <w:bCs/>
        <w:szCs w:val="24"/>
      </w:rPr>
      <w:t xml:space="preserve"> </w:t>
    </w:r>
    <w:r w:rsidRPr="006C24C3">
      <w:t xml:space="preserve">/ </w:t>
    </w:r>
    <w:r w:rsidR="00724B4E">
      <w:rPr>
        <w:bCs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9FB8" w14:textId="77777777" w:rsidR="009E0CD7" w:rsidRDefault="009E0CD7" w:rsidP="007013F0">
      <w:r>
        <w:separator/>
      </w:r>
    </w:p>
  </w:footnote>
  <w:footnote w:type="continuationSeparator" w:id="0">
    <w:p w14:paraId="3439FE40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0F7F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7A8F0933" wp14:editId="5C60E7A1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A769CE" w14:textId="77777777" w:rsidR="00264377" w:rsidRDefault="00264377" w:rsidP="001D381F">
    <w:pPr>
      <w:pStyle w:val="Zhlav"/>
    </w:pPr>
  </w:p>
  <w:p w14:paraId="2792E89E" w14:textId="77777777" w:rsidR="001D381F" w:rsidRDefault="001D381F" w:rsidP="001D381F">
    <w:pPr>
      <w:pStyle w:val="Zhlav"/>
    </w:pPr>
  </w:p>
  <w:p w14:paraId="49F2B4B6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349258972">
    <w:abstractNumId w:val="0"/>
  </w:num>
  <w:num w:numId="2" w16cid:durableId="719672385">
    <w:abstractNumId w:val="1"/>
  </w:num>
  <w:num w:numId="3" w16cid:durableId="1652976642">
    <w:abstractNumId w:val="10"/>
  </w:num>
  <w:num w:numId="4" w16cid:durableId="1933539404">
    <w:abstractNumId w:val="6"/>
  </w:num>
  <w:num w:numId="5" w16cid:durableId="2135520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594106">
    <w:abstractNumId w:val="8"/>
  </w:num>
  <w:num w:numId="7" w16cid:durableId="1869487258">
    <w:abstractNumId w:val="8"/>
    <w:lvlOverride w:ilvl="0">
      <w:startOverride w:val="1"/>
    </w:lvlOverride>
  </w:num>
  <w:num w:numId="8" w16cid:durableId="777990130">
    <w:abstractNumId w:val="8"/>
    <w:lvlOverride w:ilvl="0">
      <w:startOverride w:val="1"/>
    </w:lvlOverride>
  </w:num>
  <w:num w:numId="9" w16cid:durableId="602424342">
    <w:abstractNumId w:val="8"/>
    <w:lvlOverride w:ilvl="0">
      <w:startOverride w:val="1"/>
    </w:lvlOverride>
  </w:num>
  <w:num w:numId="10" w16cid:durableId="1819607521">
    <w:abstractNumId w:val="8"/>
    <w:lvlOverride w:ilvl="0">
      <w:startOverride w:val="1"/>
    </w:lvlOverride>
  </w:num>
  <w:num w:numId="11" w16cid:durableId="1118642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5862829">
    <w:abstractNumId w:val="3"/>
  </w:num>
  <w:num w:numId="13" w16cid:durableId="1433547862">
    <w:abstractNumId w:val="1"/>
  </w:num>
  <w:num w:numId="14" w16cid:durableId="1656566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3640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9893548">
    <w:abstractNumId w:val="8"/>
    <w:lvlOverride w:ilvl="0">
      <w:startOverride w:val="1"/>
    </w:lvlOverride>
  </w:num>
  <w:num w:numId="17" w16cid:durableId="2095544500">
    <w:abstractNumId w:val="8"/>
    <w:lvlOverride w:ilvl="0">
      <w:startOverride w:val="1"/>
    </w:lvlOverride>
  </w:num>
  <w:num w:numId="18" w16cid:durableId="103693706">
    <w:abstractNumId w:val="8"/>
    <w:lvlOverride w:ilvl="0">
      <w:startOverride w:val="1"/>
    </w:lvlOverride>
  </w:num>
  <w:num w:numId="19" w16cid:durableId="1597859308">
    <w:abstractNumId w:val="8"/>
    <w:lvlOverride w:ilvl="0">
      <w:startOverride w:val="1"/>
    </w:lvlOverride>
  </w:num>
  <w:num w:numId="20" w16cid:durableId="1658454068">
    <w:abstractNumId w:val="8"/>
    <w:lvlOverride w:ilvl="0">
      <w:startOverride w:val="1"/>
    </w:lvlOverride>
  </w:num>
  <w:num w:numId="21" w16cid:durableId="875236210">
    <w:abstractNumId w:val="8"/>
    <w:lvlOverride w:ilvl="0">
      <w:startOverride w:val="1"/>
    </w:lvlOverride>
  </w:num>
  <w:num w:numId="22" w16cid:durableId="169687174">
    <w:abstractNumId w:val="5"/>
  </w:num>
  <w:num w:numId="23" w16cid:durableId="611866215">
    <w:abstractNumId w:val="4"/>
  </w:num>
  <w:num w:numId="24" w16cid:durableId="1600874259">
    <w:abstractNumId w:val="9"/>
  </w:num>
  <w:num w:numId="25" w16cid:durableId="1779253149">
    <w:abstractNumId w:val="7"/>
  </w:num>
  <w:num w:numId="26" w16cid:durableId="1203520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B0D0D"/>
    <w:rsid w:val="005B1FB2"/>
    <w:rsid w:val="005B530D"/>
    <w:rsid w:val="005C23F1"/>
    <w:rsid w:val="005C3E71"/>
    <w:rsid w:val="005D18EF"/>
    <w:rsid w:val="005E3D9C"/>
    <w:rsid w:val="005E3F23"/>
    <w:rsid w:val="005E753E"/>
    <w:rsid w:val="005F2041"/>
    <w:rsid w:val="005F4F95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4B4E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5AC9"/>
    <w:rsid w:val="007C756B"/>
    <w:rsid w:val="007D398A"/>
    <w:rsid w:val="007D45FD"/>
    <w:rsid w:val="007E1605"/>
    <w:rsid w:val="007E5957"/>
    <w:rsid w:val="007F5E1E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454"/>
    <w:rsid w:val="008E2F20"/>
    <w:rsid w:val="008F5C09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0036"/>
    <w:rsid w:val="00B95BB3"/>
    <w:rsid w:val="00BA5565"/>
    <w:rsid w:val="00BB403C"/>
    <w:rsid w:val="00BD632A"/>
    <w:rsid w:val="00BD6A7B"/>
    <w:rsid w:val="00BE109B"/>
    <w:rsid w:val="00BF2498"/>
    <w:rsid w:val="00BF2535"/>
    <w:rsid w:val="00BF651C"/>
    <w:rsid w:val="00C01945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4DC4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35CE8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3071"/>
    <w:rsid w:val="00FD4E6A"/>
    <w:rsid w:val="00FD52C6"/>
    <w:rsid w:val="00FE50EE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44F6AA1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35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1272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Klára Guth-Vladaj</cp:lastModifiedBy>
  <cp:revision>2</cp:revision>
  <cp:lastPrinted>2017-07-17T15:38:00Z</cp:lastPrinted>
  <dcterms:created xsi:type="dcterms:W3CDTF">2023-08-03T08:07:00Z</dcterms:created>
  <dcterms:modified xsi:type="dcterms:W3CDTF">2023-08-03T08:07:00Z</dcterms:modified>
</cp:coreProperties>
</file>