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Normlnweb"/>
        <w:jc w:val="righ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color w:val="DA2128"/>
          <w:sz w:val="16"/>
          <w:szCs w:val="16"/>
        </w:rPr>
        <w:t>Č. J.:</w:t>
      </w:r>
      <w:r>
        <w:rPr>
          <w:rFonts w:ascii="Arial" w:hAnsi="Arial" w:cs="Arial"/>
          <w:color w:val="DA0000"/>
          <w:sz w:val="20"/>
          <w:szCs w:val="20"/>
        </w:rPr>
        <w:t xml:space="preserve"> </w:t>
      </w:r>
      <w:sdt>
        <w:sdtPr>
          <w:rPr>
            <w:sz w:val="18"/>
            <w:szCs w:val="18"/>
          </w:rPr>
          <w:alias w:val="cislo_jednaci"/>
          <w:tag w:val="espis_objektsps/evidencni_cislo"/>
          <w:id w:val="2070601832"/>
          <w:placeholder>
            <w:docPart w:val="461841F63C324FCBB40C121BE24CEFC4"/>
          </w:placeholder>
        </w:sdtPr>
        <w:sdtContent>
          <w:r>
            <w:rPr>
              <w:rFonts w:ascii="Arial" w:hAnsi="Arial" w:cs="Arial"/>
              <w:sz w:val="18"/>
              <w:szCs w:val="18"/>
            </w:rPr>
            <w:t>MCBS/2023/0103807/NOVI</w:t>
          </w:r>
        </w:sdtContent>
      </w:sdt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>
      <w:pPr>
        <w:pStyle w:val="Normlnweb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color w:val="FF0000"/>
          <w:sz w:val="16"/>
          <w:szCs w:val="16"/>
        </w:rPr>
        <w:t>VYŘIZUJE</w:t>
      </w:r>
      <w:r>
        <w:rPr>
          <w:rFonts w:ascii="Arial" w:hAnsi="Arial" w:cs="Arial"/>
          <w:b/>
          <w:bCs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alias w:val="zpracovatel"/>
          <w:tag w:val="espis_zpracovatel/pracovnik/full_name"/>
          <w:id w:val="1255785212"/>
          <w:placeholder>
            <w:docPart w:val="C8A96A26E5104FB3AF37C533BC3F4A5E"/>
          </w:placeholder>
        </w:sdtPr>
        <w:sdtContent>
          <w:r>
            <w:rPr>
              <w:rFonts w:ascii="Arial" w:hAnsi="Arial" w:cs="Arial"/>
              <w:sz w:val="18"/>
              <w:szCs w:val="18"/>
            </w:rPr>
            <w:t>Kristýna Nováčková</w:t>
          </w:r>
        </w:sdtContent>
      </w:sdt>
    </w:p>
    <w:p>
      <w:pPr>
        <w:pStyle w:val="Normlnweb"/>
        <w:spacing w:before="0" w:line="300" w:lineRule="auto"/>
        <w:rPr>
          <w:rFonts w:ascii="Arial" w:hAnsi="Arial" w:cs="Arial"/>
          <w:sz w:val="20"/>
          <w:szCs w:val="20"/>
        </w:rPr>
      </w:pPr>
    </w:p>
    <w:p>
      <w:pPr>
        <w:pStyle w:val="ZkladntextIMP"/>
        <w:spacing w:before="0" w:line="30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DODATEK  č.  5</w:t>
      </w:r>
    </w:p>
    <w:p>
      <w:pPr>
        <w:pStyle w:val="ZkladntextIMP"/>
        <w:spacing w:before="0" w:line="300" w:lineRule="auto"/>
        <w:ind w:left="840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 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 smlouvě o nájmu prostoru č. </w:t>
      </w:r>
      <w:r>
        <w:rPr>
          <w:rFonts w:ascii="Arial" w:hAnsi="Arial" w:cs="Arial"/>
          <w:b/>
          <w:sz w:val="20"/>
          <w:szCs w:val="20"/>
        </w:rPr>
        <w:t>101</w:t>
      </w:r>
      <w:r>
        <w:rPr>
          <w:rFonts w:ascii="Arial" w:hAnsi="Arial" w:cs="Arial"/>
          <w:sz w:val="20"/>
          <w:szCs w:val="20"/>
        </w:rPr>
        <w:t xml:space="preserve"> nacházejícího se v domě č.p. 145, na ulici </w:t>
      </w:r>
      <w:r>
        <w:rPr>
          <w:rFonts w:ascii="Arial" w:hAnsi="Arial" w:cs="Arial"/>
          <w:b/>
          <w:sz w:val="20"/>
          <w:szCs w:val="20"/>
        </w:rPr>
        <w:t>Solniční</w:t>
      </w:r>
      <w:r>
        <w:rPr>
          <w:rFonts w:ascii="Arial" w:hAnsi="Arial" w:cs="Arial"/>
          <w:sz w:val="20"/>
          <w:szCs w:val="20"/>
        </w:rPr>
        <w:t xml:space="preserve"> č.or. </w:t>
      </w:r>
      <w:r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v Brně,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uzavřené dle zákona č. 89/2012 Sb., občanský zákoníku dne 13.10.2017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ve znění dodatku č. 1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ze dne 02.03.2018, dodatku č. 2 ze dne 20.01.2021, dodatku č. 3 ze dne 06.05.2021 a dodatku č. 4 ze dne 02.07.2021 mezi: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Statutární město Brno, městská část Brno-střed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arch. Vojtěchem Menclem, starostou MČ Brno-střed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Dominikánská 2, 601 69 Brno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44992785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43-8044220247/0100 (všechny platby s výjimkou platby jistoty)</w:t>
      </w:r>
    </w:p>
    <w:p>
      <w:pPr>
        <w:spacing w:line="30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115-9625060207/0100 (platba jistoty) </w:t>
      </w: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</w:p>
    <w:p>
      <w:pPr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Nájemce: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Style w:val="preformatted"/>
          <w:rFonts w:ascii="Arial" w:hAnsi="Arial" w:cs="Arial"/>
          <w:b/>
          <w:sz w:val="20"/>
          <w:szCs w:val="20"/>
        </w:rPr>
        <w:t>OCEAN48 s.r.o.</w:t>
      </w:r>
      <w:r>
        <w:rPr>
          <w:rFonts w:ascii="Arial" w:hAnsi="Arial" w:cs="Arial"/>
          <w:sz w:val="20"/>
          <w:szCs w:val="20"/>
        </w:rPr>
        <w:t xml:space="preserve"> 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sídlo/trvalý pobyt: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alias w:val="subjekt_ulice"/>
          <w:tag w:val="espis_dsb/adresa/full_ulice"/>
          <w:id w:val="-446158208"/>
          <w:placeholder>
            <w:docPart w:val="A9172D8EC31D441FB5CA3B7C7C49A19B"/>
          </w:placeholder>
        </w:sdtPr>
        <w:sdtContent>
          <w:r>
            <w:rPr>
              <w:rFonts w:ascii="Arial" w:hAnsi="Arial" w:cs="Arial"/>
              <w:b/>
              <w:sz w:val="20"/>
              <w:szCs w:val="18"/>
              <w:shd w:val="clear" w:color="auto" w:fill="FFFFFF"/>
            </w:rPr>
            <w:t>Plynárenská 499/1, Zábrdovice, 602 00 Brno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subjekt_mesto"/>
          <w:tag w:val="espis_dsb/adresa/full_mesto"/>
          <w:id w:val="244541843"/>
          <w:placeholder>
            <w:docPart w:val="A9172D8EC31D441FB5CA3B7C7C49A19B"/>
          </w:placeholder>
        </w:sdtPr>
        <w:sdtContent/>
      </w:sdt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IČO/datum narození: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Style w:val="nowrap"/>
          <w:rFonts w:ascii="Arial" w:hAnsi="Arial" w:cs="Arial"/>
          <w:b/>
          <w:sz w:val="20"/>
          <w:szCs w:val="20"/>
        </w:rPr>
        <w:t>646 13 356</w:t>
      </w:r>
    </w:p>
    <w:p>
      <w:pPr>
        <w:ind w:right="-5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zastoupený: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JUDr. Václavem Baráčkem</w:t>
      </w:r>
    </w:p>
    <w:p>
      <w:pPr>
        <w:ind w:right="-5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270697231/0300</w:t>
      </w:r>
    </w:p>
    <w:p>
      <w:pPr>
        <w:ind w:right="-5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tel., e-mail: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608 949 048, baracek@ocean48.cz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pStyle w:val="NormlnIMP"/>
        <w:spacing w:line="240" w:lineRule="auto"/>
        <w:ind w:right="-569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Pronajímatel a nájemce (dále též jen smluvní strany) mění po vzájemné dohodě shora označenou smlouvu o nájmu takto:</w:t>
      </w:r>
    </w:p>
    <w:p>
      <w:pPr>
        <w:pStyle w:val="NormlnIMP"/>
        <w:spacing w:line="240" w:lineRule="auto"/>
        <w:ind w:left="-284"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56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I.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1/      Výše dohodnutého nájemného stanovená dle příslušného ustanovení (tj. čl. IV) shora označené smlouvy o nájmu se s účinností od 01.08.2023 do 31.07.2025 mění takto: dohodnuté roční nájemné (bez služeb), případně zvýšené o inflaci, či snížené o dříve poskytnuté slevy, bude sníženo o 716.288 Kč – viz výpočtový list, který je nedílnou součástí tohoto dodatku jako příloha č. 1. 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Tímto ujednáním není dotčeno právo pronajímatele výši dohodnutého (tj. nesníženého) nájemného stanoveného dle příslušného ustanovení (tj. čl. IV) shora označené smlouvy o nájmu, vždy s účinností (a v souladu s příslušným ustanovením shora označené smlouvy o nájmu) od 01.04. kalendářního roku jednostranně upravit o příslušná procenta, odpovídající procentům průměrné roční míry inflace </w:t>
      </w:r>
      <w:r>
        <w:rPr>
          <w:rFonts w:ascii="Arial" w:hAnsi="Arial" w:cs="Arial"/>
          <w:bCs/>
          <w:sz w:val="20"/>
        </w:rPr>
        <w:t>vyjádřené přírůstkem průměrného ročního indexu spotřebitelských cen,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>oznámené Českým statistickým úřadem za uplynulý kalendářní rok.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      Od 01.08.2025 bude nájemné hrazeno opět dle příslušného ustanovení shora označené smlouvy o nájmu ze dne 13.10.2017.</w:t>
      </w:r>
    </w:p>
    <w:p>
      <w:pPr>
        <w:pStyle w:val="ZkladntextIMP"/>
        <w:spacing w:before="0" w:line="240" w:lineRule="auto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569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II.</w:t>
      </w:r>
    </w:p>
    <w:p>
      <w:pPr>
        <w:pStyle w:val="NormlnIMP"/>
        <w:spacing w:line="240" w:lineRule="auto"/>
        <w:ind w:left="-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Ostatní ujednání shora označené smlouvy o nájmu zůstávají beze změn. </w:t>
      </w: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III.</w:t>
      </w:r>
    </w:p>
    <w:p>
      <w:pPr>
        <w:ind w:left="-284"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Doložka schválení dle § 41 zákona č. 128/2000 Sb., o obcích (obecní zřízení), v platném znění</w:t>
      </w:r>
    </w:p>
    <w:p>
      <w:pPr>
        <w:ind w:right="-286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Informační doložka</w:t>
      </w:r>
      <w:r>
        <w:rPr>
          <w:rFonts w:ascii="Arial" w:hAnsi="Arial" w:cs="Arial"/>
          <w:b/>
          <w:i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Doložka o povinnosti uveřejnění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Záměr změny pronájmu předmětného prostoru byl zveřejněn zákonným způsobem, tj. na úřední desce městské části Brno-střed, ve dnech od 03.05.2023 do 22.05.2023. Uzavření tohoto dodatku bylo schváleno usnesením Rady městské části Brno-střed RMČ/2023/30/20 ze dne 26.06.2023.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</w:t>
      </w:r>
      <w:r>
        <w:rPr>
          <w:rFonts w:ascii="Arial" w:hAnsi="Arial" w:cs="Arial"/>
          <w:sz w:val="20"/>
          <w:szCs w:val="20"/>
        </w:rPr>
        <w:tab/>
        <w:t xml:space="preserve">Smluvní strany berou na vědomí a souhlasí s tím, že shora označená smlouva, včetně jejích případných změn, bude zveřejněna na základě zákona č. 106/1999 Sb., o svobodném přístupu k informacím, ve znění pozdějších předpisů (dále jen „zákon“), vyjma informací uvedených v § 7 - § 11 zákona. Veškeré údaje, které </w:t>
      </w:r>
      <w:r>
        <w:rPr>
          <w:rFonts w:ascii="Arial" w:hAnsi="Arial" w:cs="Arial"/>
          <w:sz w:val="20"/>
          <w:szCs w:val="20"/>
        </w:rPr>
        <w:lastRenderedPageBreak/>
        <w:t>požívají ochrany dle zvláštních zákonů, zejména osobní a citlivé údaje, obchodní tajemství aj. budou anonymizovány.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r>
        <w:rPr>
          <w:rFonts w:ascii="Arial" w:hAnsi="Arial" w:cs="Arial"/>
          <w:sz w:val="20"/>
          <w:szCs w:val="20"/>
        </w:rPr>
        <w:tab/>
        <w:t>Smluvní strany berou na vědomí a souhlasí s tím, že obsah tohoto dodatku se nepovažuje za obchodní tajemství nájemce.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</w:t>
      </w:r>
      <w:r>
        <w:rPr>
          <w:rFonts w:ascii="Arial" w:hAnsi="Arial" w:cs="Arial"/>
          <w:sz w:val="20"/>
          <w:szCs w:val="20"/>
        </w:rPr>
        <w:tab/>
        <w:t>Smluvní strany berou na vědomí, že shora označená smlouva, včetně jejích případných změn a dodatků, bude uveřejněna podle zákona č. 340/2015 Sb., o zvláštních podmínkách účinnosti některých smluv, uveřejňování těchto smluv a o registru smluv (zákon o registru smluv), ve znění pozdějších předpisů, v registru smluv, vyjma údajů, které požívají ochrany dle zvláštních zákonů, zejména osobní a citlivé údaje a obchodní tajemství.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ind w:right="-569"/>
        <w:jc w:val="center"/>
        <w:rPr>
          <w:rFonts w:ascii="Arial" w:hAnsi="Arial" w:cs="Arial"/>
          <w:b/>
          <w:sz w:val="20"/>
        </w:rPr>
      </w:pPr>
    </w:p>
    <w:p>
      <w:pPr>
        <w:pStyle w:val="NormlnIMP"/>
        <w:spacing w:line="240" w:lineRule="auto"/>
        <w:ind w:right="-569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IV.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Závěrečná ujednání</w:t>
      </w:r>
    </w:p>
    <w:p>
      <w:pPr>
        <w:pStyle w:val="NormlnIMP"/>
        <w:spacing w:line="240" w:lineRule="auto"/>
        <w:ind w:right="-286"/>
        <w:jc w:val="center"/>
        <w:rPr>
          <w:rFonts w:ascii="Arial" w:hAnsi="Arial" w:cs="Arial"/>
          <w:b/>
          <w:sz w:val="20"/>
        </w:rPr>
      </w:pPr>
    </w:p>
    <w:p>
      <w:pPr>
        <w:pStyle w:val="Odstavecseseznamem"/>
        <w:ind w:left="0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</w:t>
      </w:r>
      <w:r>
        <w:rPr>
          <w:rFonts w:ascii="Arial" w:hAnsi="Arial" w:cs="Arial"/>
          <w:sz w:val="20"/>
          <w:szCs w:val="20"/>
        </w:rPr>
        <w:tab/>
        <w:t>Nájemce bere na vědomí, že v souvislosti se shora označenou smlouvou o nájmu dochází ke zpracování jeho osobních údajů na základě čl. 6 odst. 1 písm. b nařízení GDPR.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Informace o zpracování osobních údajů nájemce nalezne na www.brno-stred.cz/</w:t>
      </w:r>
      <w:proofErr w:type="spellStart"/>
      <w:r>
        <w:rPr>
          <w:rFonts w:ascii="Arial" w:hAnsi="Arial" w:cs="Arial"/>
          <w:sz w:val="20"/>
        </w:rPr>
        <w:t>zasady</w:t>
      </w:r>
      <w:proofErr w:type="spellEnd"/>
      <w:r>
        <w:rPr>
          <w:rFonts w:ascii="Arial" w:hAnsi="Arial" w:cs="Arial"/>
          <w:sz w:val="20"/>
        </w:rPr>
        <w:t>-ochrany-</w:t>
      </w:r>
      <w:proofErr w:type="spellStart"/>
      <w:r>
        <w:rPr>
          <w:rFonts w:ascii="Arial" w:hAnsi="Arial" w:cs="Arial"/>
          <w:sz w:val="20"/>
        </w:rPr>
        <w:t>osobnich</w:t>
      </w:r>
      <w:proofErr w:type="spellEnd"/>
      <w:r>
        <w:rPr>
          <w:rFonts w:ascii="Arial" w:hAnsi="Arial" w:cs="Arial"/>
          <w:sz w:val="20"/>
        </w:rPr>
        <w:t>-</w:t>
      </w:r>
      <w:proofErr w:type="spellStart"/>
      <w:r>
        <w:rPr>
          <w:rFonts w:ascii="Arial" w:hAnsi="Arial" w:cs="Arial"/>
          <w:sz w:val="20"/>
        </w:rPr>
        <w:t>udaju</w:t>
      </w:r>
      <w:proofErr w:type="spellEnd"/>
      <w:r>
        <w:rPr>
          <w:rFonts w:ascii="Arial" w:hAnsi="Arial" w:cs="Arial"/>
          <w:sz w:val="20"/>
        </w:rPr>
        <w:t>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b/>
          <w:sz w:val="20"/>
        </w:rPr>
      </w:pP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2/</w:t>
      </w:r>
      <w:r>
        <w:rPr>
          <w:rFonts w:ascii="Arial" w:hAnsi="Arial" w:cs="Arial"/>
          <w:sz w:val="20"/>
        </w:rPr>
        <w:tab/>
        <w:t>Tento dodatek je vyhotoven ve čtyřech stejnopisech, z nichž pronajímatel obdrží tři vyhotovení a nájemce obdrží jedno vyhotovení. Všechny čtyři stejnopisy mají platnost originálu.</w:t>
      </w: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alni-IMP"/>
        <w:spacing w:line="240" w:lineRule="auto"/>
        <w:ind w:right="-2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3/</w:t>
      </w:r>
      <w:r>
        <w:rPr>
          <w:rFonts w:ascii="Arial" w:hAnsi="Arial" w:cs="Arial"/>
          <w:sz w:val="20"/>
        </w:rPr>
        <w:tab/>
        <w:t>Smluvní strany prohlašují, že tento dodatek byl uzavřen podle jejich pravé a svobodné a omylu prosté vůle, nikoliv při hrubém nepoměru vzájemných plnění, po vzájemném projednání a poté, co obě smluvní strany měly dostatečnou možnost získat kvalifikovanou právní pomoc. Žádná ze smluvních stran se necítí být v tomto vztahu slabší stranou a ani se tohoto postavení nedovolává. Na důkaz souhlasu s celým obsahem tohoto dodatku jej smluvní strany stvrzují svými podpisy.</w:t>
      </w: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NormlnIMP"/>
        <w:spacing w:line="240" w:lineRule="auto"/>
        <w:ind w:right="-286"/>
        <w:jc w:val="both"/>
        <w:rPr>
          <w:rFonts w:ascii="Arial" w:hAnsi="Arial" w:cs="Arial"/>
          <w:sz w:val="20"/>
        </w:rPr>
      </w:pPr>
    </w:p>
    <w:p>
      <w:pPr>
        <w:pStyle w:val="Styl"/>
        <w:spacing w:before="100" w:beforeAutospacing="1" w:after="100" w:afterAutospacing="1"/>
        <w:ind w:left="-284" w:right="-2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 Brně dne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V Brně dne ………………………</w:t>
      </w:r>
    </w:p>
    <w:p>
      <w:pPr>
        <w:pStyle w:val="Styl"/>
        <w:spacing w:before="100" w:beforeAutospacing="1" w:after="100" w:afterAutospacing="1"/>
        <w:ind w:right="-2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Nájemce:</w:t>
      </w:r>
    </w:p>
    <w:p>
      <w:pPr>
        <w:ind w:right="-286"/>
        <w:jc w:val="both"/>
        <w:rPr>
          <w:rFonts w:ascii="Arial" w:hAnsi="Arial" w:cs="Arial"/>
          <w:sz w:val="20"/>
          <w:szCs w:val="20"/>
        </w:rPr>
      </w:pP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____________________________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statutární město Brno,</w:t>
      </w:r>
    </w:p>
    <w:p>
      <w:pPr>
        <w:ind w:right="-5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městskou část Brno-střed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>
      <w:pPr>
        <w:spacing w:line="300" w:lineRule="auto"/>
        <w:ind w:right="-1"/>
        <w:jc w:val="both"/>
        <w:rPr>
          <w:rFonts w:ascii="Arial" w:hAnsi="Arial" w:cs="Arial"/>
          <w:sz w:val="20"/>
          <w:szCs w:val="20"/>
        </w:rPr>
      </w:pPr>
    </w:p>
    <w:sectPr>
      <w:footerReference w:type="default" r:id="rId7"/>
      <w:pgSz w:w="11906" w:h="16838" w:code="9"/>
      <w:pgMar w:top="1134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Zpat"/>
      <w:spacing w:line="360" w:lineRule="auto"/>
      <w:jc w:val="center"/>
      <w:rPr>
        <w:sz w:val="16"/>
        <w:szCs w:val="16"/>
        <w:lang w:eastAsia="cs-CZ"/>
      </w:rPr>
    </w:pP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PAGE 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>NUMPAGES  \* Arabic  \* MERGEFORMAT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67DF"/>
    <w:multiLevelType w:val="hybridMultilevel"/>
    <w:tmpl w:val="5F628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71D19"/>
    <w:multiLevelType w:val="hybridMultilevel"/>
    <w:tmpl w:val="EE446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0682C8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83069"/>
    <w:multiLevelType w:val="hybridMultilevel"/>
    <w:tmpl w:val="CC14A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E0913"/>
    <w:multiLevelType w:val="hybridMultilevel"/>
    <w:tmpl w:val="A2CE5F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54C94"/>
    <w:multiLevelType w:val="hybridMultilevel"/>
    <w:tmpl w:val="079AFD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43598"/>
    <w:multiLevelType w:val="hybridMultilevel"/>
    <w:tmpl w:val="800A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C1F39"/>
    <w:multiLevelType w:val="hybridMultilevel"/>
    <w:tmpl w:val="0478E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147BD"/>
    <w:multiLevelType w:val="hybridMultilevel"/>
    <w:tmpl w:val="B2A03C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50383"/>
    <w:multiLevelType w:val="hybridMultilevel"/>
    <w:tmpl w:val="B50E8868"/>
    <w:lvl w:ilvl="0" w:tplc="96E683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D5A74"/>
    <w:multiLevelType w:val="hybridMultilevel"/>
    <w:tmpl w:val="C64A918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9501B66"/>
    <w:multiLevelType w:val="hybridMultilevel"/>
    <w:tmpl w:val="79FE7C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568EE"/>
    <w:multiLevelType w:val="hybridMultilevel"/>
    <w:tmpl w:val="9230B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613A9"/>
    <w:multiLevelType w:val="hybridMultilevel"/>
    <w:tmpl w:val="D84688D6"/>
    <w:lvl w:ilvl="0" w:tplc="0405000F">
      <w:start w:val="1"/>
      <w:numFmt w:val="decimal"/>
      <w:lvlText w:val="%1.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7B7E6F79"/>
    <w:multiLevelType w:val="hybridMultilevel"/>
    <w:tmpl w:val="6D363A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B38A5"/>
    <w:multiLevelType w:val="hybridMultilevel"/>
    <w:tmpl w:val="A8A09D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14"/>
  </w:num>
  <w:num w:numId="5">
    <w:abstractNumId w:val="8"/>
  </w:num>
  <w:num w:numId="6">
    <w:abstractNumId w:val="1"/>
  </w:num>
  <w:num w:numId="7">
    <w:abstractNumId w:val="4"/>
  </w:num>
  <w:num w:numId="8">
    <w:abstractNumId w:val="10"/>
  </w:num>
  <w:num w:numId="9">
    <w:abstractNumId w:val="13"/>
  </w:num>
  <w:num w:numId="10">
    <w:abstractNumId w:val="12"/>
  </w:num>
  <w:num w:numId="11">
    <w:abstractNumId w:val="7"/>
  </w:num>
  <w:num w:numId="12">
    <w:abstractNumId w:val="11"/>
  </w:num>
  <w:num w:numId="13">
    <w:abstractNumId w:val="6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chartTrackingRefBased/>
  <w15:docId w15:val="{BC7CD558-3032-4988-9749-4586BE192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pPr>
      <w:spacing w:before="75"/>
      <w:jc w:val="both"/>
    </w:pPr>
    <w:rPr>
      <w:rFonts w:eastAsia="Times New Roman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  <w:szCs w:val="24"/>
      <w:lang w:eastAsia="en-US"/>
    </w:rPr>
  </w:style>
  <w:style w:type="paragraph" w:customStyle="1" w:styleId="Stylpaticka">
    <w:name w:val="Stylpaticka"/>
    <w:basedOn w:val="Normln"/>
    <w:link w:val="StylpatickaChar"/>
    <w:qFormat/>
    <w:pPr>
      <w:pBdr>
        <w:top w:val="single" w:sz="4" w:space="6" w:color="FF0000"/>
      </w:pBdr>
      <w:spacing w:before="200" w:after="200"/>
      <w:jc w:val="center"/>
    </w:pPr>
    <w:rPr>
      <w:rFonts w:ascii="Arial" w:hAnsi="Arial" w:cs="Arial"/>
      <w:b/>
      <w:color w:val="DA0000"/>
      <w:sz w:val="18"/>
      <w:szCs w:val="20"/>
    </w:rPr>
  </w:style>
  <w:style w:type="character" w:customStyle="1" w:styleId="StylpatickaChar">
    <w:name w:val="Stylpaticka Char"/>
    <w:basedOn w:val="Standardnpsmoodstavce"/>
    <w:link w:val="Stylpaticka"/>
    <w:rPr>
      <w:rFonts w:ascii="Arial" w:hAnsi="Arial" w:cs="Arial"/>
      <w:b/>
      <w:color w:val="DA0000"/>
      <w:sz w:val="18"/>
      <w:lang w:eastAsia="en-US"/>
    </w:rPr>
  </w:style>
  <w:style w:type="paragraph" w:customStyle="1" w:styleId="Styl">
    <w:name w:val="Styl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Normln0">
    <w:name w:val="Normální~"/>
    <w:basedOn w:val="Normln"/>
    <w:pPr>
      <w:widowControl w:val="0"/>
      <w:spacing w:line="288" w:lineRule="auto"/>
    </w:pPr>
    <w:rPr>
      <w:rFonts w:eastAsia="Times New Roman"/>
      <w:noProof/>
      <w:szCs w:val="20"/>
      <w:lang w:eastAsia="cs-CZ"/>
    </w:rPr>
  </w:style>
  <w:style w:type="paragraph" w:customStyle="1" w:styleId="NP">
    <w:name w:val="NP"/>
    <w:basedOn w:val="Normln"/>
    <w:pPr>
      <w:widowControl w:val="0"/>
      <w:ind w:left="840" w:right="270"/>
    </w:pPr>
    <w:rPr>
      <w:rFonts w:eastAsia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autoSpaceDN w:val="0"/>
      <w:adjustRightInd w:val="0"/>
      <w:spacing w:before="75" w:line="228" w:lineRule="auto"/>
      <w:jc w:val="both"/>
    </w:pPr>
    <w:rPr>
      <w:rFonts w:eastAsia="Times New Roman"/>
      <w:szCs w:val="20"/>
      <w:lang w:eastAsia="cs-CZ"/>
    </w:rPr>
  </w:style>
  <w:style w:type="paragraph" w:customStyle="1" w:styleId="np0">
    <w:name w:val="np"/>
    <w:basedOn w:val="Normln"/>
    <w:rPr>
      <w:rFonts w:eastAsia="Times New Roman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rFonts w:eastAsia="Times New Roman"/>
      <w:szCs w:val="20"/>
      <w:lang w:eastAsia="cs-CZ"/>
    </w:rPr>
  </w:style>
  <w:style w:type="paragraph" w:customStyle="1" w:styleId="Normalni-IMP">
    <w:name w:val="Normalni-IMP"/>
    <w:basedOn w:val="Normln"/>
    <w:pPr>
      <w:suppressAutoHyphens/>
      <w:overflowPunct w:val="0"/>
      <w:autoSpaceDE w:val="0"/>
      <w:autoSpaceDN w:val="0"/>
      <w:adjustRightInd w:val="0"/>
      <w:spacing w:line="219" w:lineRule="auto"/>
      <w:textAlignment w:val="baseline"/>
    </w:pPr>
    <w:rPr>
      <w:rFonts w:eastAsia="Times New Roman"/>
      <w:szCs w:val="20"/>
      <w:lang w:eastAsia="cs-CZ"/>
    </w:rPr>
  </w:style>
  <w:style w:type="character" w:customStyle="1" w:styleId="preformatted">
    <w:name w:val="preformatted"/>
  </w:style>
  <w:style w:type="character" w:customStyle="1" w:styleId="nowrap">
    <w:name w:val="nowrap"/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61841F63C324FCBB40C121BE24CEF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A18E8-EEBD-4C57-AFBD-4A431D1E17A7}"/>
      </w:docPartPr>
      <w:docPartBody>
        <w:p>
          <w:pPr>
            <w:pStyle w:val="461841F63C324FCBB40C121BE24CEFC4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C8A96A26E5104FB3AF37C533BC3F4A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D8B086-EEB7-4A3F-903C-D760EF303EDE}"/>
      </w:docPartPr>
      <w:docPartBody>
        <w:p>
          <w:pPr>
            <w:pStyle w:val="C8A96A26E5104FB3AF37C533BC3F4A5E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A9172D8EC31D441FB5CA3B7C7C49A1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BE0A94-B153-4386-8547-6775635B4C04}"/>
      </w:docPartPr>
      <w:docPartBody>
        <w:p>
          <w:pPr>
            <w:pStyle w:val="A9172D8EC31D441FB5CA3B7C7C49A19B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/>
    <w:rsid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Pr>
      <w:color w:val="808080"/>
    </w:rPr>
  </w:style>
  <w:style w:type="paragraph" w:customStyle="1" w:styleId="461841F63C324FCBB40C121BE24CEFC4">
    <w:name w:val="461841F63C324FCBB40C121BE24CEFC4"/>
  </w:style>
  <w:style w:type="paragraph" w:customStyle="1" w:styleId="C8A96A26E5104FB3AF37C533BC3F4A5E">
    <w:name w:val="C8A96A26E5104FB3AF37C533BC3F4A5E"/>
  </w:style>
  <w:style w:type="paragraph" w:customStyle="1" w:styleId="D164AB1D8F2D4C63858C341BAD415F14">
    <w:name w:val="D164AB1D8F2D4C63858C341BAD415F14"/>
  </w:style>
  <w:style w:type="paragraph" w:customStyle="1" w:styleId="541987CD3F474E959996511D58213B9C">
    <w:name w:val="541987CD3F474E959996511D58213B9C"/>
  </w:style>
  <w:style w:type="paragraph" w:customStyle="1" w:styleId="87A7683DEAA549CB92EC226BB64EA9EE">
    <w:name w:val="87A7683DEAA549CB92EC226BB64EA9EE"/>
  </w:style>
  <w:style w:type="paragraph" w:customStyle="1" w:styleId="A9172D8EC31D441FB5CA3B7C7C49A19B">
    <w:name w:val="A9172D8EC31D441FB5CA3B7C7C49A1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Links>
    <vt:vector size="12" baseType="variant">
      <vt:variant>
        <vt:i4>6881390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nic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Jachymiáková</dc:creator>
  <cp:keywords/>
  <cp:lastModifiedBy>001003205</cp:lastModifiedBy>
  <cp:revision>2</cp:revision>
  <cp:lastPrinted>2023-07-11T11:35:00Z</cp:lastPrinted>
  <dcterms:created xsi:type="dcterms:W3CDTF">2023-08-02T10:59:00Z</dcterms:created>
  <dcterms:modified xsi:type="dcterms:W3CDTF">2023-08-02T10:59:00Z</dcterms:modified>
</cp:coreProperties>
</file>