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0F" w:rsidRDefault="00335A0F" w:rsidP="00C56250">
      <w:pPr>
        <w:rPr>
          <w:rStyle w:val="Siln"/>
          <w:rFonts w:asciiTheme="minorHAnsi" w:hAnsiTheme="minorHAnsi"/>
          <w:sz w:val="22"/>
          <w:szCs w:val="22"/>
        </w:rPr>
      </w:pPr>
    </w:p>
    <w:p w:rsidR="00335A0F" w:rsidRDefault="00335A0F" w:rsidP="00C56250">
      <w:pPr>
        <w:rPr>
          <w:rStyle w:val="Siln"/>
          <w:rFonts w:asciiTheme="minorHAnsi" w:hAnsiTheme="minorHAnsi"/>
          <w:sz w:val="22"/>
          <w:szCs w:val="22"/>
        </w:rPr>
      </w:pP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:rsidR="00C56250" w:rsidRPr="00D67548" w:rsidRDefault="00C56250" w:rsidP="00C56250">
      <w:pPr>
        <w:rPr>
          <w:rFonts w:asciiTheme="minorHAnsi" w:hAnsiTheme="minorHAnsi"/>
          <w:sz w:val="22"/>
          <w:szCs w:val="22"/>
        </w:rPr>
      </w:pPr>
      <w:r w:rsidRPr="00D67548">
        <w:rPr>
          <w:rFonts w:asciiTheme="minorHAnsi" w:hAnsiTheme="minorHAnsi"/>
          <w:sz w:val="22"/>
          <w:szCs w:val="22"/>
        </w:rPr>
        <w:t xml:space="preserve">zastoupen: </w:t>
      </w:r>
      <w:r w:rsidR="00335A0F" w:rsidRPr="005A504C">
        <w:rPr>
          <w:rFonts w:asciiTheme="minorHAnsi" w:hAnsiTheme="minorHAnsi"/>
          <w:sz w:val="22"/>
          <w:szCs w:val="22"/>
        </w:rPr>
        <w:t>PhDr. Milošem Kadlecem, ředitelem NPÚ ÚPS na Sychrově</w:t>
      </w:r>
      <w:r w:rsidR="00335A0F" w:rsidRPr="00D67548">
        <w:rPr>
          <w:rFonts w:asciiTheme="minorHAnsi" w:hAnsiTheme="minorHAnsi"/>
          <w:sz w:val="22"/>
          <w:szCs w:val="22"/>
        </w:rPr>
        <w:t xml:space="preserve"> </w:t>
      </w:r>
      <w:r w:rsidR="00423AF8" w:rsidRPr="00D67548">
        <w:rPr>
          <w:rFonts w:asciiTheme="minorHAnsi" w:hAnsiTheme="minorHAnsi"/>
          <w:sz w:val="22"/>
          <w:szCs w:val="22"/>
        </w:rPr>
        <w:fldChar w:fldCharType="begin"/>
      </w:r>
      <w:r w:rsidRPr="00D67548">
        <w:rPr>
          <w:rFonts w:asciiTheme="minorHAnsi" w:hAnsiTheme="minorHAnsi"/>
          <w:sz w:val="22"/>
          <w:szCs w:val="22"/>
        </w:rPr>
        <w:instrText xml:space="preserve"> AUTOTEXTLIST  \s 1  \* MERGEFORMAT </w:instrText>
      </w:r>
      <w:r w:rsidR="00423AF8" w:rsidRPr="00D67548">
        <w:rPr>
          <w:rFonts w:asciiTheme="minorHAnsi" w:hAnsiTheme="minorHAnsi"/>
          <w:sz w:val="22"/>
          <w:szCs w:val="22"/>
        </w:rPr>
        <w:fldChar w:fldCharType="end"/>
      </w:r>
      <w:r w:rsidR="00423AF8" w:rsidRPr="00D67548">
        <w:rPr>
          <w:rFonts w:asciiTheme="minorHAnsi" w:hAnsiTheme="minorHAnsi"/>
          <w:sz w:val="22"/>
          <w:szCs w:val="22"/>
        </w:rPr>
        <w:fldChar w:fldCharType="begin"/>
      </w:r>
      <w:r w:rsidRPr="00D67548">
        <w:rPr>
          <w:rFonts w:asciiTheme="minorHAnsi" w:hAnsiTheme="minorHAnsi"/>
          <w:sz w:val="22"/>
          <w:szCs w:val="22"/>
        </w:rPr>
        <w:instrText xml:space="preserve"> AUTOTEXTLIST   \* MERGEFORMAT </w:instrText>
      </w:r>
      <w:r w:rsidR="00423AF8" w:rsidRPr="00D67548">
        <w:rPr>
          <w:rFonts w:asciiTheme="minorHAnsi" w:hAnsiTheme="minorHAnsi"/>
          <w:sz w:val="22"/>
          <w:szCs w:val="22"/>
        </w:rPr>
        <w:fldChar w:fldCharType="end"/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  <w:highlight w:val="lightGray"/>
        </w:rPr>
      </w:pPr>
    </w:p>
    <w:p w:rsidR="00974928" w:rsidRPr="00474C47" w:rsidRDefault="00974928" w:rsidP="00974928">
      <w:pPr>
        <w:rPr>
          <w:rFonts w:ascii="Calibri" w:hAnsi="Calibri" w:cs="Arial"/>
          <w:sz w:val="22"/>
          <w:szCs w:val="22"/>
        </w:rPr>
      </w:pPr>
      <w:r w:rsidRPr="006278ED">
        <w:rPr>
          <w:rFonts w:ascii="Calibri" w:hAnsi="Calibri" w:cs="Arial"/>
          <w:b/>
          <w:bCs/>
          <w:sz w:val="22"/>
          <w:szCs w:val="22"/>
        </w:rPr>
        <w:t>Doručovací adresa:</w:t>
      </w:r>
    </w:p>
    <w:p w:rsidR="00974928" w:rsidRPr="00474C47" w:rsidRDefault="00974928" w:rsidP="0097492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Národní památkový ústav, </w:t>
      </w:r>
      <w:r w:rsidR="00EF0761">
        <w:rPr>
          <w:rFonts w:ascii="Calibri" w:hAnsi="Calibri" w:cs="Arial"/>
          <w:sz w:val="22"/>
          <w:szCs w:val="22"/>
        </w:rPr>
        <w:t>státní zámek Hrádek u Nechanic</w:t>
      </w:r>
    </w:p>
    <w:p w:rsidR="00974928" w:rsidRPr="00474C47" w:rsidRDefault="00974928" w:rsidP="00974928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adresa: </w:t>
      </w:r>
      <w:r w:rsidR="00EF0761">
        <w:rPr>
          <w:rFonts w:ascii="Calibri" w:hAnsi="Calibri" w:cs="Arial"/>
          <w:sz w:val="22"/>
          <w:szCs w:val="22"/>
        </w:rPr>
        <w:t>Státní zámek Hrádek u Nechanic, čp. 66, 503 15 Nechanice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335A0F" w:rsidRDefault="00335A0F" w:rsidP="00C56250">
      <w:pPr>
        <w:rPr>
          <w:rFonts w:asciiTheme="minorHAnsi" w:hAnsiTheme="minorHAnsi" w:cs="Arial"/>
          <w:sz w:val="22"/>
          <w:szCs w:val="22"/>
        </w:rPr>
      </w:pPr>
    </w:p>
    <w:p w:rsidR="00335A0F" w:rsidRDefault="00335A0F" w:rsidP="00C56250">
      <w:pPr>
        <w:rPr>
          <w:rFonts w:asciiTheme="minorHAnsi" w:hAnsiTheme="minorHAnsi" w:cs="Arial"/>
          <w:sz w:val="22"/>
          <w:szCs w:val="22"/>
        </w:rPr>
      </w:pPr>
    </w:p>
    <w:p w:rsidR="00847E69" w:rsidRPr="00CE064D" w:rsidRDefault="00CE064D" w:rsidP="00C56250">
      <w:pPr>
        <w:rPr>
          <w:rFonts w:asciiTheme="minorHAnsi" w:hAnsiTheme="minorHAnsi" w:cs="Arial"/>
          <w:b/>
          <w:sz w:val="22"/>
          <w:szCs w:val="22"/>
        </w:rPr>
      </w:pPr>
      <w:proofErr w:type="spellStart"/>
      <w:r w:rsidRPr="00CE064D">
        <w:rPr>
          <w:rFonts w:asciiTheme="minorHAnsi" w:hAnsiTheme="minorHAnsi" w:cs="Arial"/>
          <w:b/>
          <w:sz w:val="22"/>
          <w:szCs w:val="22"/>
        </w:rPr>
        <w:t>Styldekor</w:t>
      </w:r>
      <w:proofErr w:type="spellEnd"/>
      <w:r w:rsidRPr="00CE064D">
        <w:rPr>
          <w:rFonts w:asciiTheme="minorHAnsi" w:hAnsiTheme="minorHAnsi" w:cs="Arial"/>
          <w:b/>
          <w:sz w:val="22"/>
          <w:szCs w:val="22"/>
        </w:rPr>
        <w:t xml:space="preserve"> s.r.o.</w:t>
      </w:r>
    </w:p>
    <w:p w:rsidR="0093112A" w:rsidRPr="00CE064D" w:rsidRDefault="00CE064D" w:rsidP="00C56250">
      <w:pPr>
        <w:rPr>
          <w:rFonts w:asciiTheme="minorHAnsi" w:hAnsiTheme="minorHAnsi" w:cs="Arial"/>
          <w:b/>
          <w:sz w:val="22"/>
          <w:szCs w:val="22"/>
        </w:rPr>
      </w:pPr>
      <w:r w:rsidRPr="00CE064D">
        <w:rPr>
          <w:rFonts w:asciiTheme="minorHAnsi" w:hAnsiTheme="minorHAnsi" w:cs="Arial"/>
          <w:b/>
          <w:sz w:val="22"/>
          <w:szCs w:val="22"/>
        </w:rPr>
        <w:t>IČ: 24820687, DIČ: CZ24820687</w:t>
      </w:r>
    </w:p>
    <w:p w:rsidR="00CE064D" w:rsidRPr="00CE064D" w:rsidRDefault="00CE064D" w:rsidP="00C56250">
      <w:pPr>
        <w:rPr>
          <w:rFonts w:asciiTheme="minorHAnsi" w:hAnsiTheme="minorHAnsi" w:cs="Arial"/>
          <w:b/>
          <w:sz w:val="22"/>
          <w:szCs w:val="22"/>
        </w:rPr>
      </w:pPr>
      <w:r w:rsidRPr="00CE064D">
        <w:rPr>
          <w:rFonts w:asciiTheme="minorHAnsi" w:hAnsiTheme="minorHAnsi" w:cs="Arial"/>
          <w:b/>
          <w:sz w:val="22"/>
          <w:szCs w:val="22"/>
        </w:rPr>
        <w:t xml:space="preserve">se sídlem: 5. května 437, 472 01 Doksy </w:t>
      </w:r>
    </w:p>
    <w:p w:rsidR="0093112A" w:rsidRPr="00CE064D" w:rsidRDefault="00CE064D" w:rsidP="00C56250">
      <w:pPr>
        <w:rPr>
          <w:rFonts w:asciiTheme="minorHAnsi" w:hAnsiTheme="minorHAnsi" w:cs="Arial"/>
          <w:sz w:val="22"/>
          <w:szCs w:val="22"/>
        </w:rPr>
      </w:pPr>
      <w:r w:rsidRPr="00CE064D">
        <w:rPr>
          <w:rFonts w:asciiTheme="minorHAnsi" w:hAnsiTheme="minorHAnsi" w:cs="Arial"/>
          <w:b/>
          <w:sz w:val="22"/>
          <w:szCs w:val="22"/>
        </w:rPr>
        <w:t xml:space="preserve">zastoupená: </w:t>
      </w:r>
      <w:proofErr w:type="spellStart"/>
      <w:r w:rsidR="00DA695E">
        <w:rPr>
          <w:rFonts w:asciiTheme="minorHAnsi" w:hAnsiTheme="minorHAnsi" w:cs="Arial"/>
          <w:b/>
          <w:sz w:val="22"/>
          <w:szCs w:val="22"/>
        </w:rPr>
        <w:t>xxx</w:t>
      </w:r>
      <w:proofErr w:type="spellEnd"/>
      <w:r w:rsidRPr="00CE064D">
        <w:rPr>
          <w:rFonts w:asciiTheme="minorHAnsi" w:hAnsiTheme="minorHAnsi" w:cs="Arial"/>
          <w:b/>
          <w:sz w:val="22"/>
          <w:szCs w:val="22"/>
        </w:rPr>
        <w:t>, jednatelkou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CE064D">
        <w:rPr>
          <w:rFonts w:asciiTheme="minorHAnsi" w:hAnsiTheme="minorHAnsi" w:cs="Arial"/>
          <w:sz w:val="22"/>
          <w:szCs w:val="22"/>
        </w:rPr>
        <w:t>(dále jen „</w:t>
      </w:r>
      <w:r w:rsidRPr="00CE064D">
        <w:rPr>
          <w:rFonts w:asciiTheme="minorHAnsi" w:hAnsiTheme="minorHAnsi" w:cs="Arial"/>
          <w:b/>
          <w:sz w:val="22"/>
          <w:szCs w:val="22"/>
        </w:rPr>
        <w:t>zhotovitel</w:t>
      </w:r>
      <w:r w:rsidRPr="00CE064D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822AFC" w:rsidRPr="00D67548" w:rsidRDefault="0024001E" w:rsidP="00441286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D67548">
        <w:rPr>
          <w:rFonts w:asciiTheme="minorHAnsi" w:hAnsiTheme="minorHAnsi"/>
          <w:sz w:val="22"/>
        </w:rPr>
        <w:t xml:space="preserve">: </w:t>
      </w:r>
      <w:r w:rsidR="00EF0761">
        <w:rPr>
          <w:rFonts w:asciiTheme="minorHAnsi" w:hAnsiTheme="minorHAnsi"/>
          <w:b/>
          <w:color w:val="000000"/>
          <w:sz w:val="22"/>
        </w:rPr>
        <w:t>S</w:t>
      </w:r>
      <w:r w:rsidR="00441286">
        <w:rPr>
          <w:rFonts w:asciiTheme="minorHAnsi" w:hAnsiTheme="minorHAnsi"/>
          <w:b/>
          <w:color w:val="000000"/>
          <w:sz w:val="22"/>
        </w:rPr>
        <w:t xml:space="preserve">Z </w:t>
      </w:r>
      <w:r w:rsidR="00EF0761">
        <w:rPr>
          <w:rFonts w:asciiTheme="minorHAnsi" w:hAnsiTheme="minorHAnsi"/>
          <w:b/>
          <w:color w:val="000000"/>
          <w:sz w:val="22"/>
        </w:rPr>
        <w:t>Hrádek u Nechanic</w:t>
      </w:r>
      <w:r w:rsidR="00441286">
        <w:rPr>
          <w:rFonts w:asciiTheme="minorHAnsi" w:hAnsiTheme="minorHAnsi"/>
          <w:b/>
          <w:color w:val="000000"/>
          <w:sz w:val="22"/>
        </w:rPr>
        <w:t xml:space="preserve"> - nákup</w:t>
      </w:r>
      <w:r w:rsidR="00441286" w:rsidRPr="00441286">
        <w:rPr>
          <w:rFonts w:asciiTheme="minorHAnsi" w:hAnsiTheme="minorHAnsi"/>
          <w:b/>
          <w:color w:val="000000"/>
          <w:sz w:val="22"/>
        </w:rPr>
        <w:t xml:space="preserve"> a pokládka koberce do </w:t>
      </w:r>
      <w:r w:rsidR="00EF0761">
        <w:rPr>
          <w:rFonts w:asciiTheme="minorHAnsi" w:hAnsiTheme="minorHAnsi"/>
          <w:b/>
          <w:color w:val="000000"/>
          <w:sz w:val="22"/>
        </w:rPr>
        <w:t>hostinských pokojů</w:t>
      </w:r>
      <w:r w:rsidR="00441286" w:rsidRPr="00441286">
        <w:rPr>
          <w:rFonts w:asciiTheme="minorHAnsi" w:hAnsiTheme="minorHAnsi"/>
          <w:color w:val="000000"/>
          <w:sz w:val="22"/>
        </w:rPr>
        <w:t xml:space="preserve"> </w:t>
      </w:r>
      <w:r w:rsidRPr="00D67548">
        <w:rPr>
          <w:rFonts w:asciiTheme="minorHAnsi" w:hAnsiTheme="minorHAnsi"/>
          <w:sz w:val="22"/>
        </w:rPr>
        <w:t>(dále jen „dílo“).</w:t>
      </w:r>
    </w:p>
    <w:p w:rsidR="0007084B" w:rsidRDefault="00560D18" w:rsidP="00441286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D67548">
        <w:rPr>
          <w:rFonts w:asciiTheme="minorHAnsi" w:hAnsiTheme="minorHAnsi"/>
          <w:sz w:val="22"/>
        </w:rPr>
        <w:t xml:space="preserve">Tuto smlouvu uzavírá objednatel se zhotovitelem na základě veřejné zakázky pod názvem </w:t>
      </w:r>
      <w:r w:rsidRPr="00441286">
        <w:rPr>
          <w:rFonts w:asciiTheme="minorHAnsi" w:hAnsiTheme="minorHAnsi"/>
          <w:b/>
          <w:sz w:val="22"/>
        </w:rPr>
        <w:t>„</w:t>
      </w:r>
      <w:r w:rsidR="00EF0761">
        <w:rPr>
          <w:rFonts w:asciiTheme="minorHAnsi" w:hAnsiTheme="minorHAnsi"/>
          <w:b/>
          <w:color w:val="000000"/>
          <w:sz w:val="22"/>
        </w:rPr>
        <w:t>SZ Hrádek u Nechanic - nákup</w:t>
      </w:r>
      <w:r w:rsidR="00EF0761" w:rsidRPr="00441286">
        <w:rPr>
          <w:rFonts w:asciiTheme="minorHAnsi" w:hAnsiTheme="minorHAnsi"/>
          <w:b/>
          <w:color w:val="000000"/>
          <w:sz w:val="22"/>
        </w:rPr>
        <w:t xml:space="preserve"> a pokládka koberce do </w:t>
      </w:r>
      <w:r w:rsidR="00EF0761">
        <w:rPr>
          <w:rFonts w:asciiTheme="minorHAnsi" w:hAnsiTheme="minorHAnsi"/>
          <w:b/>
          <w:color w:val="000000"/>
          <w:sz w:val="22"/>
        </w:rPr>
        <w:t>hostinských pokojů</w:t>
      </w:r>
      <w:r w:rsidRPr="00D67548">
        <w:rPr>
          <w:rFonts w:asciiTheme="minorHAnsi" w:hAnsiTheme="minorHAnsi"/>
          <w:sz w:val="22"/>
        </w:rPr>
        <w:t xml:space="preserve">“, č. zakázky v Národním elektronickém </w:t>
      </w:r>
      <w:r w:rsidRPr="00892D37">
        <w:rPr>
          <w:rFonts w:asciiTheme="minorHAnsi" w:hAnsiTheme="minorHAnsi"/>
          <w:sz w:val="22"/>
        </w:rPr>
        <w:t>nástroji:</w:t>
      </w:r>
      <w:r w:rsidR="00C86719">
        <w:rPr>
          <w:rFonts w:asciiTheme="minorHAnsi" w:hAnsiTheme="minorHAnsi"/>
          <w:sz w:val="22"/>
        </w:rPr>
        <w:t xml:space="preserve"> N006/23/V00020155.</w:t>
      </w:r>
      <w:r w:rsidRPr="00D67548">
        <w:rPr>
          <w:rFonts w:asciiTheme="minorHAnsi" w:hAnsiTheme="minorHAnsi"/>
          <w:sz w:val="22"/>
        </w:rPr>
        <w:t xml:space="preserve"> Smluvní strany se dohodly, že závaznou část jejich smluvních ujednání tvoří rovněž nabídka zhotovitele a zadávací dokumentace objednatele.</w:t>
      </w:r>
    </w:p>
    <w:p w:rsidR="00F716A1" w:rsidRDefault="0024001E" w:rsidP="00441286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441286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A711C6" w:rsidRPr="00466780" w:rsidRDefault="00560D18" w:rsidP="00466780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441286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D67548" w:rsidRPr="00441286">
        <w:rPr>
          <w:rFonts w:asciiTheme="minorHAnsi" w:hAnsiTheme="minorHAnsi"/>
          <w:sz w:val="22"/>
        </w:rPr>
        <w:t>.</w:t>
      </w:r>
    </w:p>
    <w:p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822AFC" w:rsidRPr="00D67548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EF0761">
        <w:rPr>
          <w:rFonts w:asciiTheme="minorHAnsi" w:hAnsiTheme="minorHAnsi"/>
          <w:sz w:val="22"/>
        </w:rPr>
        <w:t xml:space="preserve">ve dvou fázích. V té první bude provedeno položení </w:t>
      </w:r>
      <w:r w:rsidR="006A6978">
        <w:rPr>
          <w:rFonts w:asciiTheme="minorHAnsi" w:hAnsiTheme="minorHAnsi"/>
          <w:sz w:val="22"/>
        </w:rPr>
        <w:t xml:space="preserve">koberců </w:t>
      </w:r>
      <w:r w:rsidR="00EF0761">
        <w:rPr>
          <w:rFonts w:asciiTheme="minorHAnsi" w:hAnsiTheme="minorHAnsi"/>
          <w:sz w:val="22"/>
        </w:rPr>
        <w:t xml:space="preserve">v apartmánu hraběte Alfréda Karla, apartmánu hraběte Otty a loveckém pokoji do </w:t>
      </w:r>
      <w:r w:rsidR="00441286">
        <w:rPr>
          <w:rFonts w:asciiTheme="minorHAnsi" w:hAnsiTheme="minorHAnsi"/>
          <w:sz w:val="22"/>
        </w:rPr>
        <w:t xml:space="preserve"> </w:t>
      </w:r>
      <w:r w:rsidR="00EF0761">
        <w:rPr>
          <w:rFonts w:asciiTheme="minorHAnsi" w:hAnsiTheme="minorHAnsi"/>
          <w:b/>
          <w:sz w:val="22"/>
        </w:rPr>
        <w:t xml:space="preserve">18. srpna 2023. </w:t>
      </w:r>
      <w:r w:rsidR="00EF0761">
        <w:rPr>
          <w:rFonts w:asciiTheme="minorHAnsi" w:hAnsiTheme="minorHAnsi"/>
          <w:sz w:val="22"/>
        </w:rPr>
        <w:t xml:space="preserve">Ve druhé fázi bude provedeno položení koberce v císařském apartmánu do </w:t>
      </w:r>
      <w:r w:rsidR="00EF0761" w:rsidRPr="00EF0761">
        <w:rPr>
          <w:rFonts w:asciiTheme="minorHAnsi" w:hAnsiTheme="minorHAnsi"/>
          <w:b/>
          <w:sz w:val="22"/>
        </w:rPr>
        <w:t>29. února 2024</w:t>
      </w:r>
      <w:r w:rsidR="00EF0761">
        <w:rPr>
          <w:rFonts w:asciiTheme="minorHAnsi" w:hAnsiTheme="minorHAnsi"/>
          <w:sz w:val="22"/>
        </w:rPr>
        <w:t xml:space="preserve">. </w:t>
      </w:r>
      <w:r w:rsidR="00560D18" w:rsidRPr="00D67548">
        <w:rPr>
          <w:rFonts w:asciiTheme="minorHAnsi" w:hAnsiTheme="minorHAnsi"/>
          <w:sz w:val="22"/>
        </w:rPr>
        <w:t xml:space="preserve"> </w:t>
      </w:r>
      <w:r w:rsidR="00EF0761">
        <w:rPr>
          <w:rFonts w:asciiTheme="minorHAnsi" w:hAnsiTheme="minorHAnsi"/>
          <w:sz w:val="22"/>
        </w:rPr>
        <w:t xml:space="preserve">Výše uvedené práce budou provedeny na </w:t>
      </w:r>
      <w:r w:rsidR="00560D18" w:rsidRPr="00D67548">
        <w:rPr>
          <w:rFonts w:asciiTheme="minorHAnsi" w:hAnsiTheme="minorHAnsi"/>
          <w:sz w:val="22"/>
        </w:rPr>
        <w:t>adrese objednatele uvedené v záhlaví této smlouvy.</w:t>
      </w:r>
    </w:p>
    <w:p w:rsidR="00215A79" w:rsidRPr="00840271" w:rsidRDefault="00560D18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D67548">
        <w:rPr>
          <w:rFonts w:asciiTheme="minorHAnsi" w:hAnsiTheme="minorHAnsi"/>
          <w:sz w:val="22"/>
        </w:rPr>
        <w:t xml:space="preserve">O předání </w:t>
      </w:r>
      <w:r w:rsidR="00EF0761">
        <w:rPr>
          <w:rFonts w:asciiTheme="minorHAnsi" w:hAnsiTheme="minorHAnsi"/>
          <w:sz w:val="22"/>
        </w:rPr>
        <w:t xml:space="preserve">jednotlivých fázích </w:t>
      </w:r>
      <w:r w:rsidRPr="00D67548">
        <w:rPr>
          <w:rFonts w:asciiTheme="minorHAnsi" w:hAnsiTheme="minorHAnsi"/>
          <w:sz w:val="22"/>
        </w:rPr>
        <w:t>díla bude mezi smluvními stranami sepsán protokol</w:t>
      </w:r>
      <w:r w:rsidR="0024001E" w:rsidRPr="00D67548">
        <w:rPr>
          <w:rFonts w:asciiTheme="minorHAnsi" w:hAnsiTheme="minorHAnsi"/>
          <w:sz w:val="22"/>
        </w:rPr>
        <w:t>.</w:t>
      </w:r>
      <w:r w:rsidR="0024001E" w:rsidRPr="00840271">
        <w:rPr>
          <w:rFonts w:asciiTheme="minorHAnsi" w:hAnsiTheme="minorHAnsi"/>
          <w:sz w:val="22"/>
        </w:rPr>
        <w:t xml:space="preserve"> 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="0024001E"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>Zhotovitel odpovídá, že si dílo zachová užitné vlastnosti i po jeho převzetí a poskytuje objednateli záruku za jakost díla v </w:t>
      </w:r>
      <w:r w:rsidRPr="00D67548">
        <w:rPr>
          <w:rFonts w:asciiTheme="minorHAnsi" w:hAnsiTheme="minorHAnsi"/>
          <w:sz w:val="22"/>
        </w:rPr>
        <w:t>délce 24 měsíců ode dn</w:t>
      </w:r>
      <w:r w:rsidRPr="00840271">
        <w:rPr>
          <w:rFonts w:asciiTheme="minorHAnsi" w:hAnsiTheme="minorHAnsi"/>
          <w:sz w:val="22"/>
        </w:rPr>
        <w:t>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D67548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D67548">
        <w:rPr>
          <w:rFonts w:asciiTheme="minorHAnsi" w:hAnsiTheme="minorHAnsi"/>
          <w:sz w:val="22"/>
        </w:rPr>
        <w:t xml:space="preserve">(nedohodnou-li se strany jinak, musí vady odstranit do </w:t>
      </w:r>
      <w:r w:rsidR="00EF0761">
        <w:rPr>
          <w:rFonts w:asciiTheme="minorHAnsi" w:hAnsiTheme="minorHAnsi"/>
          <w:sz w:val="22"/>
        </w:rPr>
        <w:t>14</w:t>
      </w:r>
      <w:r w:rsidRPr="00D67548">
        <w:rPr>
          <w:rFonts w:asciiTheme="minorHAnsi" w:hAnsiTheme="minorHAnsi"/>
          <w:sz w:val="22"/>
        </w:rPr>
        <w:t xml:space="preserve"> pracovních dnů). </w:t>
      </w:r>
    </w:p>
    <w:p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</w:t>
      </w:r>
      <w:r w:rsidRPr="00D67548">
        <w:rPr>
          <w:rFonts w:asciiTheme="minorHAnsi" w:hAnsiTheme="minorHAnsi"/>
          <w:sz w:val="22"/>
        </w:rPr>
        <w:t>ve výši 100 Kč,</w:t>
      </w:r>
      <w:r w:rsidRPr="00840271">
        <w:rPr>
          <w:rFonts w:asciiTheme="minorHAnsi" w:hAnsiTheme="minorHAnsi"/>
          <w:sz w:val="22"/>
        </w:rPr>
        <w:t xml:space="preserve"> a to za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335A0F" w:rsidRPr="00BA56CA" w:rsidRDefault="00335A0F" w:rsidP="00335A0F">
      <w:pPr>
        <w:pStyle w:val="Odstavecseseznamem"/>
        <w:numPr>
          <w:ilvl w:val="0"/>
          <w:numId w:val="0"/>
        </w:numPr>
        <w:spacing w:after="0"/>
        <w:ind w:left="714"/>
        <w:jc w:val="center"/>
        <w:rPr>
          <w:rFonts w:asciiTheme="minorHAnsi" w:hAnsiTheme="minorHAnsi"/>
          <w:b/>
          <w:sz w:val="22"/>
        </w:rPr>
      </w:pPr>
    </w:p>
    <w:p w:rsidR="002F72C1" w:rsidRPr="00BA56CA" w:rsidRDefault="00A711C6" w:rsidP="00B0023D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2"/>
        </w:rPr>
      </w:pPr>
      <w:r w:rsidRPr="00BA56CA">
        <w:rPr>
          <w:rFonts w:asciiTheme="minorHAnsi" w:hAnsiTheme="minorHAnsi" w:cs="Arial"/>
          <w:sz w:val="22"/>
        </w:rPr>
        <w:t xml:space="preserve">Celková cena díla je splatná ve dvou fázích: </w:t>
      </w:r>
    </w:p>
    <w:p w:rsidR="001804C0" w:rsidRPr="00BA56CA" w:rsidRDefault="002F72C1" w:rsidP="002F72C1">
      <w:pPr>
        <w:pStyle w:val="Odstavecseseznamem"/>
        <w:numPr>
          <w:ilvl w:val="2"/>
          <w:numId w:val="38"/>
        </w:numPr>
        <w:ind w:left="1843"/>
        <w:rPr>
          <w:rFonts w:asciiTheme="minorHAnsi" w:hAnsiTheme="minorHAnsi" w:cs="Arial"/>
          <w:sz w:val="22"/>
        </w:rPr>
      </w:pPr>
      <w:r w:rsidRPr="00BA56CA">
        <w:rPr>
          <w:rFonts w:asciiTheme="minorHAnsi" w:hAnsiTheme="minorHAnsi" w:cs="Arial"/>
          <w:sz w:val="22"/>
        </w:rPr>
        <w:t xml:space="preserve">1. </w:t>
      </w:r>
      <w:r w:rsidR="00A711C6" w:rsidRPr="00BA56CA">
        <w:rPr>
          <w:rFonts w:asciiTheme="minorHAnsi" w:hAnsiTheme="minorHAnsi" w:cs="Arial"/>
          <w:sz w:val="22"/>
        </w:rPr>
        <w:t>fáze</w:t>
      </w:r>
      <w:r w:rsidRPr="00BA56CA">
        <w:rPr>
          <w:rFonts w:asciiTheme="minorHAnsi" w:hAnsiTheme="minorHAnsi" w:cs="Arial"/>
          <w:sz w:val="22"/>
        </w:rPr>
        <w:t xml:space="preserve"> – termín </w:t>
      </w:r>
      <w:r w:rsidR="001804C0" w:rsidRPr="00BA56CA">
        <w:rPr>
          <w:rFonts w:asciiTheme="minorHAnsi" w:hAnsiTheme="minorHAnsi" w:cs="Arial"/>
          <w:sz w:val="22"/>
        </w:rPr>
        <w:t>předání 18.</w:t>
      </w:r>
      <w:r w:rsidR="00CE064D">
        <w:rPr>
          <w:rFonts w:asciiTheme="minorHAnsi" w:hAnsiTheme="minorHAnsi" w:cs="Arial"/>
          <w:sz w:val="22"/>
        </w:rPr>
        <w:t xml:space="preserve"> </w:t>
      </w:r>
      <w:r w:rsidR="001804C0" w:rsidRPr="00BA56CA">
        <w:rPr>
          <w:rFonts w:asciiTheme="minorHAnsi" w:hAnsiTheme="minorHAnsi" w:cs="Arial"/>
          <w:sz w:val="22"/>
        </w:rPr>
        <w:t>8.</w:t>
      </w:r>
      <w:r w:rsidR="00CE064D">
        <w:rPr>
          <w:rFonts w:asciiTheme="minorHAnsi" w:hAnsiTheme="minorHAnsi" w:cs="Arial"/>
          <w:sz w:val="22"/>
        </w:rPr>
        <w:t xml:space="preserve"> </w:t>
      </w:r>
      <w:r w:rsidR="001804C0" w:rsidRPr="00BA56CA">
        <w:rPr>
          <w:rFonts w:asciiTheme="minorHAnsi" w:hAnsiTheme="minorHAnsi" w:cs="Arial"/>
          <w:sz w:val="22"/>
        </w:rPr>
        <w:t>2023</w:t>
      </w:r>
      <w:r w:rsidR="00A711C6" w:rsidRPr="00BA56CA">
        <w:rPr>
          <w:rFonts w:asciiTheme="minorHAnsi" w:hAnsiTheme="minorHAnsi" w:cs="Arial"/>
          <w:sz w:val="22"/>
        </w:rPr>
        <w:t>,</w:t>
      </w:r>
      <w:r w:rsidR="00CE064D">
        <w:rPr>
          <w:rFonts w:asciiTheme="minorHAnsi" w:hAnsiTheme="minorHAnsi" w:cs="Arial"/>
          <w:sz w:val="22"/>
        </w:rPr>
        <w:t xml:space="preserve"> </w:t>
      </w:r>
      <w:r w:rsidR="00A711C6" w:rsidRPr="00BA56CA">
        <w:rPr>
          <w:rFonts w:asciiTheme="minorHAnsi" w:hAnsiTheme="minorHAnsi" w:cs="Arial"/>
          <w:sz w:val="22"/>
        </w:rPr>
        <w:t xml:space="preserve"> </w:t>
      </w:r>
      <w:r w:rsidR="00CE064D">
        <w:rPr>
          <w:rFonts w:asciiTheme="minorHAnsi" w:hAnsiTheme="minorHAnsi" w:cs="Arial"/>
          <w:sz w:val="22"/>
        </w:rPr>
        <w:t>192.</w:t>
      </w:r>
      <w:r w:rsidR="000D59FF" w:rsidRPr="00A60EA2">
        <w:rPr>
          <w:rFonts w:asciiTheme="minorHAnsi" w:hAnsiTheme="minorHAnsi" w:cs="Arial"/>
          <w:sz w:val="22"/>
        </w:rPr>
        <w:t>331</w:t>
      </w:r>
      <w:r w:rsidR="001804C0" w:rsidRPr="00A60EA2">
        <w:rPr>
          <w:rFonts w:asciiTheme="minorHAnsi" w:hAnsiTheme="minorHAnsi" w:cs="Arial"/>
          <w:sz w:val="22"/>
        </w:rPr>
        <w:t xml:space="preserve"> </w:t>
      </w:r>
      <w:r w:rsidR="001804C0" w:rsidRPr="00BA56CA">
        <w:rPr>
          <w:rFonts w:asciiTheme="minorHAnsi" w:hAnsiTheme="minorHAnsi" w:cs="Arial"/>
          <w:sz w:val="22"/>
        </w:rPr>
        <w:t>Kč bez DPH + 21 % DPH</w:t>
      </w:r>
    </w:p>
    <w:p w:rsidR="001804C0" w:rsidRPr="00BA56CA" w:rsidRDefault="001804C0" w:rsidP="002F72C1">
      <w:pPr>
        <w:pStyle w:val="Odstavecseseznamem"/>
        <w:numPr>
          <w:ilvl w:val="2"/>
          <w:numId w:val="38"/>
        </w:numPr>
        <w:ind w:left="1843"/>
        <w:rPr>
          <w:rFonts w:asciiTheme="minorHAnsi" w:hAnsiTheme="minorHAnsi" w:cs="Arial"/>
          <w:sz w:val="22"/>
        </w:rPr>
      </w:pPr>
      <w:r w:rsidRPr="00BA56CA">
        <w:rPr>
          <w:rFonts w:asciiTheme="minorHAnsi" w:hAnsiTheme="minorHAnsi" w:cs="Arial"/>
          <w:sz w:val="22"/>
        </w:rPr>
        <w:t>2</w:t>
      </w:r>
      <w:r w:rsidR="00CE064D">
        <w:rPr>
          <w:rFonts w:asciiTheme="minorHAnsi" w:hAnsiTheme="minorHAnsi" w:cs="Arial"/>
          <w:sz w:val="22"/>
        </w:rPr>
        <w:t xml:space="preserve">. fáze - </w:t>
      </w:r>
      <w:r w:rsidR="00A711C6" w:rsidRPr="00BA56CA">
        <w:rPr>
          <w:rFonts w:asciiTheme="minorHAnsi" w:hAnsiTheme="minorHAnsi" w:cs="Arial"/>
          <w:sz w:val="22"/>
        </w:rPr>
        <w:t xml:space="preserve"> </w:t>
      </w:r>
      <w:r w:rsidRPr="00BA56CA">
        <w:rPr>
          <w:rFonts w:asciiTheme="minorHAnsi" w:hAnsiTheme="minorHAnsi" w:cs="Arial"/>
          <w:sz w:val="22"/>
        </w:rPr>
        <w:t xml:space="preserve">termín předání </w:t>
      </w:r>
      <w:r w:rsidR="00A711C6" w:rsidRPr="00BA56CA">
        <w:rPr>
          <w:rFonts w:asciiTheme="minorHAnsi" w:hAnsiTheme="minorHAnsi" w:cs="Arial"/>
          <w:sz w:val="22"/>
        </w:rPr>
        <w:t xml:space="preserve">do </w:t>
      </w:r>
      <w:r w:rsidRPr="00BA56CA">
        <w:rPr>
          <w:rFonts w:asciiTheme="minorHAnsi" w:hAnsiTheme="minorHAnsi" w:cs="Arial"/>
          <w:sz w:val="22"/>
        </w:rPr>
        <w:t>29.</w:t>
      </w:r>
      <w:r w:rsidR="00CE064D">
        <w:rPr>
          <w:rFonts w:asciiTheme="minorHAnsi" w:hAnsiTheme="minorHAnsi" w:cs="Arial"/>
          <w:sz w:val="22"/>
        </w:rPr>
        <w:t xml:space="preserve"> </w:t>
      </w:r>
      <w:r w:rsidRPr="00BA56CA">
        <w:rPr>
          <w:rFonts w:asciiTheme="minorHAnsi" w:hAnsiTheme="minorHAnsi" w:cs="Arial"/>
          <w:sz w:val="22"/>
        </w:rPr>
        <w:t>2.</w:t>
      </w:r>
      <w:r w:rsidR="00CE064D">
        <w:rPr>
          <w:rFonts w:asciiTheme="minorHAnsi" w:hAnsiTheme="minorHAnsi" w:cs="Arial"/>
          <w:sz w:val="22"/>
        </w:rPr>
        <w:t xml:space="preserve"> </w:t>
      </w:r>
      <w:r w:rsidRPr="00BA56CA">
        <w:rPr>
          <w:rFonts w:asciiTheme="minorHAnsi" w:hAnsiTheme="minorHAnsi" w:cs="Arial"/>
          <w:sz w:val="22"/>
        </w:rPr>
        <w:t>2024</w:t>
      </w:r>
      <w:r w:rsidR="00CE064D">
        <w:rPr>
          <w:rFonts w:asciiTheme="minorHAnsi" w:hAnsiTheme="minorHAnsi" w:cs="Arial"/>
          <w:sz w:val="22"/>
        </w:rPr>
        <w:t>, 124.969</w:t>
      </w:r>
      <w:r w:rsidR="00A711C6" w:rsidRPr="00BA56CA">
        <w:rPr>
          <w:rFonts w:asciiTheme="minorHAnsi" w:hAnsiTheme="minorHAnsi" w:cs="Arial"/>
          <w:sz w:val="22"/>
        </w:rPr>
        <w:t xml:space="preserve"> Kč bez DPH + 21 % DPH. </w:t>
      </w:r>
    </w:p>
    <w:p w:rsidR="00A711C6" w:rsidRPr="00BA56CA" w:rsidRDefault="00A711C6" w:rsidP="002F72C1">
      <w:pPr>
        <w:pStyle w:val="Odstavecseseznamem"/>
        <w:numPr>
          <w:ilvl w:val="2"/>
          <w:numId w:val="38"/>
        </w:numPr>
        <w:ind w:left="1843"/>
        <w:rPr>
          <w:rFonts w:asciiTheme="minorHAnsi" w:hAnsiTheme="minorHAnsi" w:cs="Arial"/>
          <w:b/>
          <w:sz w:val="22"/>
        </w:rPr>
      </w:pPr>
      <w:r w:rsidRPr="00BA56CA">
        <w:rPr>
          <w:rFonts w:asciiTheme="minorHAnsi" w:hAnsiTheme="minorHAnsi" w:cs="Arial"/>
          <w:b/>
          <w:sz w:val="22"/>
        </w:rPr>
        <w:t xml:space="preserve">Celková cena díla činí </w:t>
      </w:r>
      <w:r w:rsidR="00CE064D">
        <w:rPr>
          <w:rFonts w:asciiTheme="minorHAnsi" w:hAnsiTheme="minorHAnsi" w:cs="Arial"/>
          <w:b/>
          <w:sz w:val="22"/>
        </w:rPr>
        <w:t>383.933</w:t>
      </w:r>
      <w:r w:rsidRPr="00BA56CA">
        <w:rPr>
          <w:rFonts w:asciiTheme="minorHAnsi" w:hAnsiTheme="minorHAnsi" w:cs="Arial"/>
          <w:b/>
          <w:sz w:val="22"/>
        </w:rPr>
        <w:t xml:space="preserve"> Kč včetně DPH. </w:t>
      </w:r>
    </w:p>
    <w:p w:rsidR="002F160D" w:rsidRPr="00A711C6" w:rsidRDefault="0024001E" w:rsidP="00A711C6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BA56CA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</w:t>
      </w:r>
      <w:r w:rsidRPr="00A711C6">
        <w:rPr>
          <w:rFonts w:asciiTheme="minorHAnsi" w:hAnsiTheme="minorHAnsi"/>
          <w:sz w:val="22"/>
        </w:rPr>
        <w:t xml:space="preserve">Změna ceny je možná pouze na základě </w:t>
      </w:r>
      <w:r w:rsidR="00847E69" w:rsidRPr="00A711C6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Pr="00A711C6">
        <w:rPr>
          <w:rFonts w:asciiTheme="minorHAnsi" w:hAnsiTheme="minorHAnsi"/>
          <w:sz w:val="22"/>
        </w:rPr>
        <w:t>.</w:t>
      </w:r>
      <w:r w:rsidR="0052278A" w:rsidRPr="00A711C6">
        <w:rPr>
          <w:rFonts w:asciiTheme="minorHAnsi" w:hAnsiTheme="minorHAnsi"/>
          <w:sz w:val="22"/>
        </w:rPr>
        <w:t xml:space="preserve"> </w:t>
      </w:r>
      <w:r w:rsidR="0052278A" w:rsidRPr="00A711C6">
        <w:rPr>
          <w:rFonts w:asciiTheme="minorHAnsi" w:hAnsiTheme="minorHAnsi" w:cs="Arial"/>
          <w:sz w:val="22"/>
        </w:rPr>
        <w:t>Objednatel neposkytuje zhotoviteli žádné zálohy.</w:t>
      </w:r>
    </w:p>
    <w:p w:rsidR="00560D18" w:rsidRPr="00B500B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B500B3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B500B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500B3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B500B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500B3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B500B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500B3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335A0F" w:rsidRPr="00BD2D62" w:rsidRDefault="00335A0F" w:rsidP="00335A0F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B500B3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</w:t>
      </w:r>
      <w:r w:rsidRPr="00B500B3">
        <w:rPr>
          <w:rFonts w:asciiTheme="minorHAnsi" w:hAnsiTheme="minorHAnsi"/>
          <w:sz w:val="22"/>
        </w:rPr>
        <w:t>sepsána ve dvou vyhotoveních. Každá ze smluvních stran obdržela po jednom totožném vyhotovení.</w:t>
      </w:r>
    </w:p>
    <w:p w:rsidR="00C56250" w:rsidRPr="00B500B3" w:rsidRDefault="00560D18" w:rsidP="00B500B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500B3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B500B3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B500B3">
        <w:rPr>
          <w:rFonts w:asciiTheme="minorHAnsi" w:hAnsiTheme="minorHAnsi" w:cs="Calibri"/>
          <w:color w:val="000000"/>
          <w:sz w:val="22"/>
          <w:szCs w:val="22"/>
        </w:rPr>
        <w:t xml:space="preserve">, nabude účinnosti </w:t>
      </w:r>
      <w:r w:rsidRPr="00B500B3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dnem uveřejnění a její uveřejnění zajistí </w:t>
      </w:r>
      <w:r w:rsidR="0086585B" w:rsidRPr="00B500B3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B500B3">
        <w:rPr>
          <w:rFonts w:asciiTheme="minorHAnsi" w:hAnsiTheme="minorHAnsi" w:cs="Calibri"/>
          <w:color w:val="000000"/>
          <w:sz w:val="22"/>
          <w:szCs w:val="22"/>
        </w:rPr>
        <w:t>.</w:t>
      </w:r>
      <w:r w:rsidRPr="00B500B3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  <w:bookmarkStart w:id="0" w:name="_GoBack"/>
      <w:bookmarkEnd w:id="0"/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</w:t>
      </w:r>
      <w:r w:rsidR="00B500B3">
        <w:rPr>
          <w:rFonts w:asciiTheme="minorHAnsi" w:hAnsiTheme="minorHAnsi"/>
          <w:color w:val="000000"/>
          <w:sz w:val="22"/>
        </w:rPr>
        <w:t> </w:t>
      </w:r>
      <w:r w:rsidRPr="00840271">
        <w:rPr>
          <w:rFonts w:asciiTheme="minorHAnsi" w:hAnsiTheme="minorHAnsi"/>
          <w:color w:val="000000"/>
          <w:sz w:val="22"/>
        </w:rPr>
        <w:t>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335A0F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 Sychrově</w:t>
            </w:r>
            <w:r w:rsidR="00C56250"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proofErr w:type="gramStart"/>
            <w:r w:rsidR="004F4849">
              <w:rPr>
                <w:rFonts w:asciiTheme="minorHAnsi" w:hAnsiTheme="minorHAnsi"/>
                <w:sz w:val="22"/>
                <w:szCs w:val="22"/>
              </w:rPr>
              <w:t>18.7.</w:t>
            </w:r>
            <w:r w:rsidR="00A711C6">
              <w:rPr>
                <w:rFonts w:asciiTheme="minorHAnsi" w:hAnsiTheme="minorHAnsi"/>
                <w:sz w:val="22"/>
                <w:szCs w:val="22"/>
              </w:rPr>
              <w:t xml:space="preserve"> 2023</w:t>
            </w:r>
            <w:proofErr w:type="gramEnd"/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B71D1" w:rsidRPr="00840271" w:rsidRDefault="00EB71D1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C56250" w:rsidRPr="00840271" w:rsidRDefault="00B500B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CE064D">
              <w:rPr>
                <w:rFonts w:asciiTheme="minorHAnsi" w:hAnsiTheme="minorHAnsi"/>
                <w:sz w:val="22"/>
                <w:szCs w:val="22"/>
              </w:rPr>
              <w:t xml:space="preserve"> Doksech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 dne</w:t>
            </w:r>
            <w:r w:rsidR="00CE064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Start"/>
            <w:r w:rsidR="004F4849">
              <w:rPr>
                <w:rFonts w:asciiTheme="minorHAnsi" w:hAnsiTheme="minorHAnsi"/>
                <w:sz w:val="22"/>
                <w:szCs w:val="22"/>
              </w:rPr>
              <w:t>25.7.2023</w:t>
            </w:r>
            <w:proofErr w:type="gramEnd"/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B71D1" w:rsidRPr="00840271" w:rsidRDefault="00EB71D1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E5B" w:rsidRDefault="00FB6E5B">
      <w:r>
        <w:separator/>
      </w:r>
    </w:p>
  </w:endnote>
  <w:endnote w:type="continuationSeparator" w:id="0">
    <w:p w:rsidR="00FB6E5B" w:rsidRDefault="00FB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E5B" w:rsidRDefault="00FB6E5B">
      <w:r>
        <w:separator/>
      </w:r>
    </w:p>
  </w:footnote>
  <w:footnote w:type="continuationSeparator" w:id="0">
    <w:p w:rsidR="00FB6E5B" w:rsidRDefault="00FB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sz w:val="22"/>
        <w:szCs w:val="22"/>
      </w:rPr>
      <w:tab/>
    </w:r>
  </w:p>
  <w:p w:rsidR="00A27CA4" w:rsidRDefault="00A27CA4">
    <w:pPr>
      <w:pStyle w:val="Zhlav"/>
      <w:rPr>
        <w:rFonts w:ascii="Calibri" w:hAnsi="Calibri"/>
        <w:bCs/>
        <w:sz w:val="22"/>
        <w:szCs w:val="22"/>
      </w:rPr>
    </w:pPr>
  </w:p>
  <w:p w:rsidR="00A27CA4" w:rsidRPr="00335A0F" w:rsidRDefault="004962D2">
    <w:pPr>
      <w:pStyle w:val="Zhlav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Č.</w:t>
    </w:r>
    <w:r w:rsidR="00EF0761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>j</w:t>
    </w:r>
    <w:r w:rsidR="00EF0761">
      <w:rPr>
        <w:rFonts w:asciiTheme="minorHAnsi" w:hAnsiTheme="minorHAnsi" w:cstheme="minorHAnsi"/>
        <w:sz w:val="22"/>
        <w:szCs w:val="22"/>
      </w:rPr>
      <w:t>ednací</w:t>
    </w:r>
    <w:r>
      <w:rPr>
        <w:rFonts w:asciiTheme="minorHAnsi" w:hAnsiTheme="minorHAnsi" w:cstheme="minorHAnsi"/>
        <w:sz w:val="22"/>
        <w:szCs w:val="22"/>
      </w:rPr>
      <w:t>: NPÚ-</w:t>
    </w:r>
    <w:r w:rsidR="00C86719">
      <w:rPr>
        <w:rFonts w:asciiTheme="minorHAnsi" w:hAnsiTheme="minorHAnsi" w:cstheme="minorHAnsi"/>
        <w:sz w:val="22"/>
        <w:szCs w:val="22"/>
      </w:rPr>
      <w:t>440/61439/2023</w:t>
    </w:r>
    <w:r w:rsidR="00EF0761">
      <w:rPr>
        <w:rFonts w:asciiTheme="minorHAnsi" w:hAnsiTheme="minorHAnsi" w:cstheme="minorHAnsi"/>
        <w:sz w:val="22"/>
        <w:szCs w:val="22"/>
      </w:rPr>
      <w:tab/>
    </w:r>
    <w:r w:rsidR="00C86719">
      <w:rPr>
        <w:rFonts w:asciiTheme="minorHAnsi" w:hAnsiTheme="minorHAnsi" w:cstheme="minorHAnsi"/>
        <w:sz w:val="22"/>
        <w:szCs w:val="22"/>
      </w:rPr>
      <w:t xml:space="preserve">              č</w:t>
    </w:r>
    <w:r>
      <w:rPr>
        <w:rFonts w:asciiTheme="minorHAnsi" w:hAnsiTheme="minorHAnsi" w:cstheme="minorHAnsi"/>
        <w:sz w:val="22"/>
        <w:szCs w:val="22"/>
      </w:rPr>
      <w:t>.</w:t>
    </w:r>
    <w:r w:rsidR="00EF0761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>e</w:t>
    </w:r>
    <w:r w:rsidR="00EF0761">
      <w:rPr>
        <w:rFonts w:asciiTheme="minorHAnsi" w:hAnsiTheme="minorHAnsi" w:cstheme="minorHAnsi"/>
        <w:sz w:val="22"/>
        <w:szCs w:val="22"/>
      </w:rPr>
      <w:t>videnční</w:t>
    </w:r>
    <w:r>
      <w:rPr>
        <w:rFonts w:asciiTheme="minorHAnsi" w:hAnsiTheme="minorHAnsi" w:cstheme="minorHAnsi"/>
        <w:sz w:val="22"/>
        <w:szCs w:val="22"/>
      </w:rPr>
      <w:t>.:</w:t>
    </w:r>
    <w:r w:rsidR="00335A0F" w:rsidRPr="00335A0F">
      <w:rPr>
        <w:rFonts w:asciiTheme="minorHAnsi" w:hAnsiTheme="minorHAnsi" w:cstheme="minorHAnsi"/>
        <w:sz w:val="22"/>
        <w:szCs w:val="22"/>
      </w:rPr>
      <w:t xml:space="preserve">   </w:t>
    </w:r>
    <w:r w:rsidR="00C86719">
      <w:rPr>
        <w:rFonts w:asciiTheme="minorHAnsi" w:hAnsiTheme="minorHAnsi" w:cstheme="minorHAnsi"/>
        <w:sz w:val="22"/>
        <w:szCs w:val="22"/>
      </w:rPr>
      <w:t>4009H1230013</w:t>
    </w:r>
    <w:r w:rsidR="00335A0F" w:rsidRPr="00335A0F">
      <w:rPr>
        <w:rFonts w:asciiTheme="minorHAnsi" w:hAnsiTheme="minorHAnsi" w:cstheme="minorHAnsi"/>
        <w:sz w:val="22"/>
        <w:szCs w:val="22"/>
      </w:rPr>
      <w:t xml:space="preserve">          </w:t>
    </w:r>
    <w:r w:rsidR="00EF0761">
      <w:rPr>
        <w:rFonts w:asciiTheme="minorHAnsi" w:hAnsiTheme="minorHAnsi" w:cstheme="minorHAnsi"/>
        <w:sz w:val="22"/>
        <w:szCs w:val="22"/>
      </w:rPr>
      <w:t xml:space="preserve">                          </w:t>
    </w:r>
    <w:proofErr w:type="spellStart"/>
    <w:r w:rsidR="00EF0761">
      <w:rPr>
        <w:rFonts w:asciiTheme="minorHAnsi" w:hAnsiTheme="minorHAnsi" w:cstheme="minorHAnsi"/>
        <w:sz w:val="22"/>
        <w:szCs w:val="22"/>
      </w:rPr>
      <w:t>Zn</w:t>
    </w:r>
    <w:proofErr w:type="spellEnd"/>
    <w:r w:rsidR="00EF0761">
      <w:rPr>
        <w:rFonts w:asciiTheme="minorHAnsi" w:hAnsiTheme="minorHAnsi" w:cstheme="minorHAnsi"/>
        <w:sz w:val="22"/>
        <w:szCs w:val="22"/>
      </w:rPr>
      <w:t>: HN</w:t>
    </w:r>
  </w:p>
  <w:p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667"/>
    <w:multiLevelType w:val="hybridMultilevel"/>
    <w:tmpl w:val="0A2232A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B82"/>
    <w:multiLevelType w:val="hybridMultilevel"/>
    <w:tmpl w:val="F73C8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9ACE580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5"/>
  </w:num>
  <w:num w:numId="13">
    <w:abstractNumId w:val="16"/>
  </w:num>
  <w:num w:numId="14">
    <w:abstractNumId w:val="17"/>
  </w:num>
  <w:num w:numId="15">
    <w:abstractNumId w:val="19"/>
  </w:num>
  <w:num w:numId="16">
    <w:abstractNumId w:val="18"/>
  </w:num>
  <w:num w:numId="17">
    <w:abstractNumId w:val="4"/>
  </w:num>
  <w:num w:numId="18">
    <w:abstractNumId w:val="4"/>
  </w:num>
  <w:num w:numId="19">
    <w:abstractNumId w:val="12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4"/>
  </w:num>
  <w:num w:numId="31">
    <w:abstractNumId w:val="4"/>
  </w:num>
  <w:num w:numId="32">
    <w:abstractNumId w:val="1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1"/>
  </w:num>
  <w:num w:numId="3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299C"/>
    <w:rsid w:val="00044E68"/>
    <w:rsid w:val="00047C92"/>
    <w:rsid w:val="00050A68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D59FF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804C0"/>
    <w:rsid w:val="0018645B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A7EA1"/>
    <w:rsid w:val="002B01F2"/>
    <w:rsid w:val="002B2562"/>
    <w:rsid w:val="002B3749"/>
    <w:rsid w:val="002B7144"/>
    <w:rsid w:val="002D3B6D"/>
    <w:rsid w:val="002E35D5"/>
    <w:rsid w:val="002F160D"/>
    <w:rsid w:val="002F67D4"/>
    <w:rsid w:val="002F72C1"/>
    <w:rsid w:val="002F7BFF"/>
    <w:rsid w:val="00302E1E"/>
    <w:rsid w:val="00313693"/>
    <w:rsid w:val="003268F0"/>
    <w:rsid w:val="00335A0F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286"/>
    <w:rsid w:val="004414F0"/>
    <w:rsid w:val="004416EB"/>
    <w:rsid w:val="004452B7"/>
    <w:rsid w:val="0045355E"/>
    <w:rsid w:val="0046492A"/>
    <w:rsid w:val="00464D59"/>
    <w:rsid w:val="00466780"/>
    <w:rsid w:val="00473290"/>
    <w:rsid w:val="00485467"/>
    <w:rsid w:val="00491C32"/>
    <w:rsid w:val="00492EFA"/>
    <w:rsid w:val="004962D2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E27E5"/>
    <w:rsid w:val="004F0035"/>
    <w:rsid w:val="004F1154"/>
    <w:rsid w:val="004F4849"/>
    <w:rsid w:val="00504E71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2642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353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6978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196D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97852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92D37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112A"/>
    <w:rsid w:val="009324F3"/>
    <w:rsid w:val="0093363B"/>
    <w:rsid w:val="00945F74"/>
    <w:rsid w:val="00961B96"/>
    <w:rsid w:val="00967A84"/>
    <w:rsid w:val="00974928"/>
    <w:rsid w:val="00980D46"/>
    <w:rsid w:val="00985780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0EA2"/>
    <w:rsid w:val="00A6305A"/>
    <w:rsid w:val="00A66185"/>
    <w:rsid w:val="00A711C6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22768"/>
    <w:rsid w:val="00B33064"/>
    <w:rsid w:val="00B3407C"/>
    <w:rsid w:val="00B37387"/>
    <w:rsid w:val="00B40996"/>
    <w:rsid w:val="00B45396"/>
    <w:rsid w:val="00B455DB"/>
    <w:rsid w:val="00B45CE6"/>
    <w:rsid w:val="00B4605E"/>
    <w:rsid w:val="00B500B3"/>
    <w:rsid w:val="00B55346"/>
    <w:rsid w:val="00B56094"/>
    <w:rsid w:val="00B71109"/>
    <w:rsid w:val="00B808FB"/>
    <w:rsid w:val="00B84064"/>
    <w:rsid w:val="00B91178"/>
    <w:rsid w:val="00B94574"/>
    <w:rsid w:val="00BA56CA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5A0C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6719"/>
    <w:rsid w:val="00C87B3B"/>
    <w:rsid w:val="00C922CA"/>
    <w:rsid w:val="00C95339"/>
    <w:rsid w:val="00CB6497"/>
    <w:rsid w:val="00CC194E"/>
    <w:rsid w:val="00CE064D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67548"/>
    <w:rsid w:val="00D82033"/>
    <w:rsid w:val="00D84709"/>
    <w:rsid w:val="00D85362"/>
    <w:rsid w:val="00D8586E"/>
    <w:rsid w:val="00D87180"/>
    <w:rsid w:val="00DA5EB8"/>
    <w:rsid w:val="00DA695E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80E8D"/>
    <w:rsid w:val="00EA1463"/>
    <w:rsid w:val="00EB044F"/>
    <w:rsid w:val="00EB71D1"/>
    <w:rsid w:val="00ED0317"/>
    <w:rsid w:val="00ED569B"/>
    <w:rsid w:val="00ED7898"/>
    <w:rsid w:val="00EE2BCD"/>
    <w:rsid w:val="00EE665F"/>
    <w:rsid w:val="00EE672F"/>
    <w:rsid w:val="00EF0761"/>
    <w:rsid w:val="00EF14AE"/>
    <w:rsid w:val="00EF659E"/>
    <w:rsid w:val="00EF6E23"/>
    <w:rsid w:val="00EF7EFA"/>
    <w:rsid w:val="00F04407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3CE8"/>
    <w:rsid w:val="00F9799B"/>
    <w:rsid w:val="00FA3A99"/>
    <w:rsid w:val="00FB4F15"/>
    <w:rsid w:val="00FB6E5B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20E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795E2991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0C0596-5B1D-472D-BE50-EF27C6B41D6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3C5C225-34D0-47A4-9037-FF4031BD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3</TotalTime>
  <Pages>3</Pages>
  <Words>1081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7450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Michaela Bolinová</cp:lastModifiedBy>
  <cp:revision>6</cp:revision>
  <cp:lastPrinted>2015-12-15T08:35:00Z</cp:lastPrinted>
  <dcterms:created xsi:type="dcterms:W3CDTF">2023-07-18T06:55:00Z</dcterms:created>
  <dcterms:modified xsi:type="dcterms:W3CDTF">2023-08-01T10:45:00Z</dcterms:modified>
</cp:coreProperties>
</file>