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8B6F" w14:textId="77777777" w:rsidR="0072489B" w:rsidRPr="00A1353F" w:rsidRDefault="0072489B" w:rsidP="0072489B">
      <w:pPr>
        <w:widowControl w:val="0"/>
        <w:pBdr>
          <w:bottom w:val="double" w:sz="6" w:space="0" w:color="auto"/>
        </w:pBdr>
        <w:autoSpaceDE w:val="0"/>
        <w:autoSpaceDN w:val="0"/>
        <w:adjustRightInd w:val="0"/>
        <w:spacing w:before="120" w:line="480" w:lineRule="atLeast"/>
        <w:jc w:val="center"/>
        <w:rPr>
          <w:rFonts w:ascii="Times New Roman" w:hAnsi="Times New Roman"/>
          <w:b/>
          <w:sz w:val="44"/>
          <w:szCs w:val="22"/>
        </w:rPr>
      </w:pPr>
      <w:r>
        <w:rPr>
          <w:rFonts w:ascii="Times New Roman" w:hAnsi="Times New Roman"/>
          <w:b/>
          <w:sz w:val="44"/>
          <w:szCs w:val="22"/>
        </w:rPr>
        <w:t>PŘÍKAZNÍ SMLOUVA</w:t>
      </w:r>
    </w:p>
    <w:p w14:paraId="2DF5E98E" w14:textId="77777777" w:rsidR="0072489B" w:rsidRPr="00A1353F" w:rsidRDefault="0072489B" w:rsidP="0072489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2"/>
        </w:rPr>
      </w:pPr>
    </w:p>
    <w:p w14:paraId="4E0DCA52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Cs w:val="0"/>
          <w:sz w:val="22"/>
        </w:rPr>
      </w:pPr>
      <w:r w:rsidRPr="0072489B">
        <w:rPr>
          <w:rFonts w:ascii="Times New Roman" w:hAnsi="Times New Roman" w:cs="Times New Roman"/>
          <w:bCs w:val="0"/>
          <w:sz w:val="22"/>
        </w:rPr>
        <w:t>Město Rakovník</w:t>
      </w:r>
    </w:p>
    <w:p w14:paraId="02178E8C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se sídlem Husovo náměstí 27, 269 18 Rakovník</w:t>
      </w:r>
    </w:p>
    <w:p w14:paraId="5CC453C5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zastoupené PaedDr. Luďkem Štíbrem, starostou</w:t>
      </w:r>
    </w:p>
    <w:p w14:paraId="72CE8E46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bankovní spojení: ČSOB Rakovník</w:t>
      </w:r>
    </w:p>
    <w:p w14:paraId="7934FEE0" w14:textId="759B1EE6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číslo účtu: 5</w:t>
      </w:r>
      <w:r w:rsidR="00C81F84">
        <w:rPr>
          <w:rFonts w:ascii="Times New Roman" w:hAnsi="Times New Roman" w:cs="Times New Roman"/>
          <w:b w:val="0"/>
          <w:bCs w:val="0"/>
          <w:sz w:val="22"/>
        </w:rPr>
        <w:t>0045004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>/0300</w:t>
      </w:r>
    </w:p>
    <w:p w14:paraId="0122C380" w14:textId="77777777" w:rsidR="0072489B" w:rsidRPr="0072489B" w:rsidRDefault="0072489B" w:rsidP="0072489B">
      <w:pPr>
        <w:pStyle w:val="Nadpis1"/>
        <w:jc w:val="both"/>
        <w:rPr>
          <w:rFonts w:ascii="Times New Roman" w:hAnsi="Times New Roman" w:cs="Times New Roman"/>
          <w:b w:val="0"/>
          <w:bCs w:val="0"/>
          <w:sz w:val="22"/>
        </w:rPr>
      </w:pPr>
      <w:r w:rsidRPr="0072489B">
        <w:rPr>
          <w:rFonts w:ascii="Times New Roman" w:hAnsi="Times New Roman" w:cs="Times New Roman"/>
          <w:b w:val="0"/>
          <w:bCs w:val="0"/>
          <w:sz w:val="22"/>
        </w:rPr>
        <w:t>IČ</w:t>
      </w:r>
      <w:r w:rsidR="00906C78">
        <w:rPr>
          <w:rFonts w:ascii="Times New Roman" w:hAnsi="Times New Roman" w:cs="Times New Roman"/>
          <w:b w:val="0"/>
          <w:bCs w:val="0"/>
          <w:sz w:val="22"/>
        </w:rPr>
        <w:t>: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 xml:space="preserve"> 00244309, DIČ</w:t>
      </w:r>
      <w:r w:rsidR="00906C78">
        <w:rPr>
          <w:rFonts w:ascii="Times New Roman" w:hAnsi="Times New Roman" w:cs="Times New Roman"/>
          <w:b w:val="0"/>
          <w:bCs w:val="0"/>
          <w:sz w:val="22"/>
        </w:rPr>
        <w:t>:</w:t>
      </w:r>
      <w:r w:rsidRPr="0072489B">
        <w:rPr>
          <w:rFonts w:ascii="Times New Roman" w:hAnsi="Times New Roman" w:cs="Times New Roman"/>
          <w:b w:val="0"/>
          <w:bCs w:val="0"/>
          <w:sz w:val="22"/>
        </w:rPr>
        <w:t xml:space="preserve"> CZ00244309</w:t>
      </w:r>
    </w:p>
    <w:p w14:paraId="2DB2BD2C" w14:textId="77777777" w:rsidR="0072489B" w:rsidRPr="0072489B" w:rsidRDefault="0072489B" w:rsidP="0072489B">
      <w:pPr>
        <w:pStyle w:val="Nadpis1"/>
        <w:jc w:val="left"/>
        <w:rPr>
          <w:rFonts w:ascii="Times New Roman" w:hAnsi="Times New Roman" w:cs="Times New Roman"/>
          <w:b w:val="0"/>
          <w:sz w:val="22"/>
          <w:szCs w:val="22"/>
        </w:rPr>
      </w:pPr>
      <w:r w:rsidRPr="00883B84">
        <w:rPr>
          <w:rFonts w:ascii="Times New Roman" w:hAnsi="Times New Roman" w:cs="Times New Roman"/>
          <w:sz w:val="22"/>
          <w:szCs w:val="22"/>
        </w:rPr>
        <w:br/>
      </w:r>
      <w:r w:rsidRPr="00883B84">
        <w:rPr>
          <w:rFonts w:ascii="Times New Roman" w:hAnsi="Times New Roman" w:cs="Times New Roman"/>
          <w:b w:val="0"/>
          <w:sz w:val="22"/>
          <w:szCs w:val="22"/>
        </w:rPr>
        <w:t xml:space="preserve">dále jen </w:t>
      </w:r>
      <w:r w:rsidRPr="00883B84">
        <w:rPr>
          <w:rFonts w:ascii="Times New Roman" w:hAnsi="Times New Roman" w:cs="Times New Roman"/>
          <w:sz w:val="22"/>
          <w:szCs w:val="22"/>
        </w:rPr>
        <w:t>„příkazce“</w:t>
      </w:r>
      <w:r w:rsidRPr="00883B84">
        <w:rPr>
          <w:rFonts w:ascii="Times New Roman" w:hAnsi="Times New Roman" w:cs="Times New Roman"/>
          <w:b w:val="0"/>
          <w:sz w:val="22"/>
          <w:szCs w:val="22"/>
        </w:rPr>
        <w:t xml:space="preserve"> nebo </w:t>
      </w:r>
      <w:r w:rsidRPr="00883B84">
        <w:rPr>
          <w:rFonts w:ascii="Times New Roman" w:hAnsi="Times New Roman" w:cs="Times New Roman"/>
          <w:sz w:val="22"/>
          <w:szCs w:val="22"/>
        </w:rPr>
        <w:t>„zadavatel“</w:t>
      </w:r>
    </w:p>
    <w:p w14:paraId="3D101940" w14:textId="77777777" w:rsidR="0072489B" w:rsidRDefault="0072489B" w:rsidP="00853457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14:paraId="2DA5908B" w14:textId="77777777" w:rsidR="0072489B" w:rsidRPr="0072489B" w:rsidRDefault="0072489B" w:rsidP="0072489B">
      <w:pPr>
        <w:jc w:val="both"/>
        <w:rPr>
          <w:rFonts w:ascii="Times New Roman" w:hAnsi="Times New Roman" w:cs="Times New Roman"/>
          <w:sz w:val="22"/>
          <w:szCs w:val="22"/>
        </w:rPr>
      </w:pPr>
      <w:r w:rsidRPr="0072489B">
        <w:rPr>
          <w:rFonts w:ascii="Times New Roman" w:hAnsi="Times New Roman" w:cs="Times New Roman"/>
          <w:sz w:val="22"/>
          <w:szCs w:val="22"/>
        </w:rPr>
        <w:t>a</w:t>
      </w:r>
    </w:p>
    <w:p w14:paraId="43A6F006" w14:textId="77777777" w:rsidR="0072489B" w:rsidRPr="0072489B" w:rsidRDefault="0072489B" w:rsidP="0072489B">
      <w:pPr>
        <w:jc w:val="both"/>
        <w:rPr>
          <w:rFonts w:ascii="Times New Roman" w:hAnsi="Times New Roman" w:cs="Times New Roman"/>
          <w:b/>
          <w:sz w:val="22"/>
        </w:rPr>
      </w:pPr>
      <w:r w:rsidRPr="0072489B">
        <w:rPr>
          <w:rFonts w:ascii="Times New Roman" w:hAnsi="Times New Roman" w:cs="Times New Roman"/>
          <w:b/>
          <w:sz w:val="22"/>
        </w:rPr>
        <w:t xml:space="preserve"> </w:t>
      </w:r>
    </w:p>
    <w:p w14:paraId="3A6A6065" w14:textId="77777777" w:rsidR="003B0431" w:rsidRPr="00ED2BBE" w:rsidRDefault="003B0431" w:rsidP="003B0431">
      <w:pPr>
        <w:pStyle w:val="Default"/>
        <w:rPr>
          <w:rFonts w:ascii="Times New Roman" w:hAnsi="Times New Roman" w:cs="Times New Roman"/>
          <w:b/>
          <w:color w:val="auto"/>
        </w:rPr>
      </w:pPr>
      <w:r w:rsidRPr="00ED2BBE">
        <w:rPr>
          <w:rFonts w:ascii="Times New Roman" w:hAnsi="Times New Roman" w:cs="Times New Roman"/>
          <w:b/>
          <w:color w:val="auto"/>
        </w:rPr>
        <w:t>Jaroslav Kodeš</w:t>
      </w:r>
    </w:p>
    <w:p w14:paraId="1E00E85F" w14:textId="77777777" w:rsidR="003B0431" w:rsidRPr="00ED2BBE" w:rsidRDefault="003B0431" w:rsidP="003B0431">
      <w:pPr>
        <w:pStyle w:val="Default"/>
        <w:rPr>
          <w:rFonts w:ascii="Times New Roman" w:hAnsi="Times New Roman" w:cs="Times New Roman"/>
          <w:color w:val="auto"/>
        </w:rPr>
      </w:pPr>
      <w:r w:rsidRPr="00ED2BBE">
        <w:rPr>
          <w:rFonts w:ascii="Times New Roman" w:hAnsi="Times New Roman" w:cs="Times New Roman"/>
          <w:color w:val="auto"/>
        </w:rPr>
        <w:t xml:space="preserve">se sídlem Bezděkov 1017, 269 01 Rakovník </w:t>
      </w:r>
    </w:p>
    <w:p w14:paraId="23DF4AA6" w14:textId="77777777" w:rsidR="003B0431" w:rsidRPr="00ED2BBE" w:rsidRDefault="003B0431" w:rsidP="003B0431">
      <w:pPr>
        <w:pStyle w:val="Default"/>
        <w:rPr>
          <w:rFonts w:ascii="Times New Roman" w:hAnsi="Times New Roman" w:cs="Times New Roman"/>
          <w:color w:val="auto"/>
        </w:rPr>
      </w:pPr>
      <w:r w:rsidRPr="00ED2BBE">
        <w:rPr>
          <w:rFonts w:ascii="Times New Roman" w:hAnsi="Times New Roman" w:cs="Times New Roman"/>
          <w:color w:val="auto"/>
        </w:rPr>
        <w:t>bankovní spojení: Equa bank a. s.</w:t>
      </w:r>
    </w:p>
    <w:p w14:paraId="483F7661" w14:textId="77777777" w:rsidR="003B0431" w:rsidRPr="00ED2BBE" w:rsidRDefault="003B0431" w:rsidP="003B0431">
      <w:pPr>
        <w:pStyle w:val="Default"/>
        <w:rPr>
          <w:rFonts w:ascii="Times New Roman" w:hAnsi="Times New Roman" w:cs="Times New Roman"/>
          <w:color w:val="auto"/>
        </w:rPr>
      </w:pPr>
      <w:r w:rsidRPr="00ED2BBE">
        <w:rPr>
          <w:rFonts w:ascii="Times New Roman" w:hAnsi="Times New Roman" w:cs="Times New Roman"/>
          <w:color w:val="auto"/>
        </w:rPr>
        <w:t>číslo účtu: 1022293064/6100</w:t>
      </w:r>
    </w:p>
    <w:p w14:paraId="45AD4A4B" w14:textId="742219A4" w:rsidR="003B0431" w:rsidRDefault="003B0431" w:rsidP="003B0431">
      <w:pPr>
        <w:pStyle w:val="Default"/>
        <w:rPr>
          <w:rFonts w:ascii="Times New Roman" w:hAnsi="Times New Roman" w:cs="Times New Roman"/>
          <w:color w:val="auto"/>
        </w:rPr>
      </w:pPr>
      <w:r w:rsidRPr="00ED2BBE">
        <w:rPr>
          <w:rFonts w:ascii="Times New Roman" w:hAnsi="Times New Roman" w:cs="Times New Roman"/>
          <w:color w:val="auto"/>
        </w:rPr>
        <w:t xml:space="preserve">IČ 71694838, DIČ </w:t>
      </w:r>
      <w:r w:rsidR="00851F04">
        <w:rPr>
          <w:rFonts w:ascii="Times New Roman" w:hAnsi="Times New Roman" w:cs="Times New Roman"/>
          <w:color w:val="auto"/>
        </w:rPr>
        <w:t>xxx</w:t>
      </w:r>
    </w:p>
    <w:p w14:paraId="2407FE08" w14:textId="77777777" w:rsidR="003B0431" w:rsidRDefault="003B0431" w:rsidP="003B0431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zapsán v živnostenském rejstříku MěÚ Rakovník</w:t>
      </w:r>
    </w:p>
    <w:p w14:paraId="1A0C5AF1" w14:textId="77777777" w:rsidR="001A09E4" w:rsidRPr="0072489B" w:rsidRDefault="001A09E4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7098652" w14:textId="77777777" w:rsidR="00853457" w:rsidRPr="0072489B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  <w:r w:rsidRPr="00883B84">
        <w:rPr>
          <w:rFonts w:ascii="Times New Roman" w:hAnsi="Times New Roman" w:cs="Times New Roman"/>
          <w:sz w:val="22"/>
          <w:szCs w:val="22"/>
        </w:rPr>
        <w:t>dále jen „</w:t>
      </w:r>
      <w:r w:rsidRPr="00883B84">
        <w:rPr>
          <w:rFonts w:ascii="Times New Roman" w:hAnsi="Times New Roman" w:cs="Times New Roman"/>
          <w:b/>
          <w:sz w:val="22"/>
          <w:szCs w:val="22"/>
        </w:rPr>
        <w:t>příkazník</w:t>
      </w:r>
      <w:r w:rsidR="00883B84" w:rsidRPr="00883B84">
        <w:rPr>
          <w:rFonts w:ascii="Times New Roman" w:hAnsi="Times New Roman" w:cs="Times New Roman"/>
          <w:sz w:val="22"/>
          <w:szCs w:val="22"/>
        </w:rPr>
        <w:t>“</w:t>
      </w:r>
    </w:p>
    <w:p w14:paraId="7372EF86" w14:textId="77777777" w:rsidR="00853457" w:rsidRPr="0072489B" w:rsidRDefault="00853457" w:rsidP="00853457">
      <w:pPr>
        <w:rPr>
          <w:rFonts w:ascii="Times New Roman" w:hAnsi="Times New Roman" w:cs="Times New Roman"/>
          <w:sz w:val="22"/>
          <w:szCs w:val="22"/>
        </w:rPr>
      </w:pPr>
    </w:p>
    <w:p w14:paraId="1B5BCB90" w14:textId="77777777" w:rsidR="00853457" w:rsidRPr="0072489B" w:rsidRDefault="00853457" w:rsidP="00853457">
      <w:pPr>
        <w:rPr>
          <w:rFonts w:ascii="Times New Roman" w:hAnsi="Times New Roman" w:cs="Times New Roman"/>
          <w:sz w:val="22"/>
          <w:szCs w:val="22"/>
        </w:rPr>
      </w:pPr>
    </w:p>
    <w:p w14:paraId="2B9D0BBC" w14:textId="77777777" w:rsidR="00853457" w:rsidRPr="0072489B" w:rsidRDefault="00853457" w:rsidP="00853457">
      <w:pPr>
        <w:tabs>
          <w:tab w:val="left" w:pos="468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72489B">
        <w:rPr>
          <w:rFonts w:ascii="Times New Roman" w:hAnsi="Times New Roman" w:cs="Times New Roman"/>
          <w:sz w:val="22"/>
          <w:szCs w:val="22"/>
        </w:rPr>
        <w:t>uzavírají níže uvedeného dne, měsíce a roku dle ust. § 2430 a násl. zákona č. 89/2012 Sb., občanský zákoník, v platném znění (dále také jako „zákon“) tuto příkazní smlouvu:</w:t>
      </w:r>
    </w:p>
    <w:p w14:paraId="42D7FC85" w14:textId="77777777" w:rsidR="0009564E" w:rsidRPr="0072489B" w:rsidRDefault="0009564E" w:rsidP="00853457">
      <w:pPr>
        <w:rPr>
          <w:rFonts w:ascii="Times New Roman" w:hAnsi="Times New Roman" w:cs="Times New Roman"/>
          <w:sz w:val="22"/>
          <w:szCs w:val="22"/>
        </w:rPr>
      </w:pPr>
    </w:p>
    <w:p w14:paraId="72FF5042" w14:textId="77777777" w:rsidR="00853457" w:rsidRPr="0072489B" w:rsidRDefault="00853457" w:rsidP="00853457">
      <w:pPr>
        <w:pStyle w:val="Nadpis9"/>
        <w:rPr>
          <w:rFonts w:ascii="Times New Roman" w:hAnsi="Times New Roman" w:cs="Times New Roman"/>
          <w:sz w:val="22"/>
          <w:szCs w:val="22"/>
        </w:rPr>
      </w:pPr>
      <w:r w:rsidRPr="0072489B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7B6DAEE" w14:textId="77777777" w:rsidR="00853457" w:rsidRPr="00A3733D" w:rsidRDefault="00853457" w:rsidP="009C588B">
      <w:pPr>
        <w:pStyle w:val="Nadpis1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Předmět smlouvy</w:t>
      </w:r>
    </w:p>
    <w:p w14:paraId="4CF9A61D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D7E28F" w14:textId="4D802428" w:rsidR="003B0431" w:rsidRPr="006C687B" w:rsidRDefault="003B0431" w:rsidP="006C687B">
      <w:pPr>
        <w:pStyle w:val="Default"/>
        <w:numPr>
          <w:ilvl w:val="1"/>
          <w:numId w:val="32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Předmětem této smlouvy je zajištění souboru výkonů inženýrské činnosti – technického dozoru stavebníka pro úplné a kvalitní provedení stavby „</w:t>
      </w:r>
      <w:r w:rsidRPr="006C687B">
        <w:rPr>
          <w:rFonts w:ascii="Times New Roman" w:hAnsi="Times New Roman" w:cs="Times New Roman"/>
          <w:b/>
          <w:sz w:val="22"/>
          <w:szCs w:val="22"/>
        </w:rPr>
        <w:t>Rekonstrukce ulice Zd. Štěpánka – II. etapa, Rakovník</w:t>
      </w:r>
      <w:r w:rsidRPr="006C687B">
        <w:rPr>
          <w:rFonts w:ascii="Times New Roman" w:hAnsi="Times New Roman" w:cs="Times New Roman"/>
          <w:color w:val="auto"/>
          <w:sz w:val="22"/>
          <w:szCs w:val="22"/>
        </w:rPr>
        <w:t>“</w:t>
      </w:r>
      <w:r w:rsidRPr="006C687B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Pr="006C687B">
        <w:rPr>
          <w:rFonts w:ascii="Times New Roman" w:hAnsi="Times New Roman" w:cs="Times New Roman"/>
          <w:color w:val="auto"/>
          <w:sz w:val="22"/>
          <w:szCs w:val="22"/>
        </w:rPr>
        <w:t>(dále jen „DÍLO“) příkazníkem ve prospěch města Rakovník jako příkazce v rozsahu dle čl. II této smlouvy při její realizaci.</w:t>
      </w:r>
    </w:p>
    <w:p w14:paraId="1A852FF3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28D4750" w14:textId="2AD62033" w:rsidR="00853457" w:rsidRPr="006C687B" w:rsidRDefault="00853457" w:rsidP="006C687B">
      <w:pPr>
        <w:pStyle w:val="Odstavecseseznamem"/>
        <w:numPr>
          <w:ilvl w:val="1"/>
          <w:numId w:val="3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6C687B">
        <w:rPr>
          <w:rFonts w:ascii="Times New Roman" w:hAnsi="Times New Roman" w:cs="Times New Roman"/>
          <w:sz w:val="22"/>
          <w:szCs w:val="22"/>
        </w:rPr>
        <w:t>Příkazník, v rámci své obchodní činnost</w:t>
      </w:r>
      <w:r w:rsidR="00555B6C" w:rsidRPr="006C687B">
        <w:rPr>
          <w:rFonts w:ascii="Times New Roman" w:hAnsi="Times New Roman" w:cs="Times New Roman"/>
          <w:sz w:val="22"/>
          <w:szCs w:val="22"/>
        </w:rPr>
        <w:t>i zajistí</w:t>
      </w:r>
      <w:r w:rsidRPr="006C687B">
        <w:rPr>
          <w:rFonts w:ascii="Times New Roman" w:hAnsi="Times New Roman" w:cs="Times New Roman"/>
          <w:sz w:val="22"/>
          <w:szCs w:val="22"/>
        </w:rPr>
        <w:t xml:space="preserve"> </w:t>
      </w:r>
      <w:r w:rsidR="00555B6C" w:rsidRPr="006C687B">
        <w:rPr>
          <w:rFonts w:ascii="Times New Roman" w:hAnsi="Times New Roman" w:cs="Times New Roman"/>
          <w:sz w:val="22"/>
          <w:szCs w:val="22"/>
        </w:rPr>
        <w:t>výkon technického dozoru stavebníka při realizaci stavby, jejíž rozsah je definován projektovou dokumentací:</w:t>
      </w:r>
    </w:p>
    <w:p w14:paraId="00F566DD" w14:textId="77777777" w:rsidR="00853457" w:rsidRPr="00555B6C" w:rsidRDefault="00853457" w:rsidP="00853457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11"/>
      </w:tblGrid>
      <w:tr w:rsidR="00853457" w:rsidRPr="00A3733D" w14:paraId="4CD35B66" w14:textId="77777777" w:rsidTr="008B2877">
        <w:trPr>
          <w:trHeight w:val="515"/>
        </w:trPr>
        <w:tc>
          <w:tcPr>
            <w:tcW w:w="9813" w:type="dxa"/>
            <w:shd w:val="clear" w:color="auto" w:fill="D9D9D9"/>
            <w:vAlign w:val="center"/>
          </w:tcPr>
          <w:p w14:paraId="6177D280" w14:textId="77777777" w:rsidR="00853457" w:rsidRPr="00A3733D" w:rsidRDefault="00853457" w:rsidP="008B28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733D">
              <w:rPr>
                <w:rFonts w:ascii="Times New Roman" w:hAnsi="Times New Roman" w:cs="Times New Roman"/>
                <w:b/>
                <w:sz w:val="22"/>
                <w:szCs w:val="22"/>
              </w:rPr>
              <w:t>Název zadávacího řízení</w:t>
            </w:r>
          </w:p>
        </w:tc>
      </w:tr>
      <w:tr w:rsidR="00853457" w:rsidRPr="00A3733D" w14:paraId="641EBE25" w14:textId="77777777" w:rsidTr="008B2877">
        <w:trPr>
          <w:trHeight w:val="689"/>
        </w:trPr>
        <w:tc>
          <w:tcPr>
            <w:tcW w:w="9813" w:type="dxa"/>
            <w:vAlign w:val="center"/>
          </w:tcPr>
          <w:p w14:paraId="63663C28" w14:textId="38204352" w:rsidR="00853457" w:rsidRPr="00B038C5" w:rsidRDefault="003C186B" w:rsidP="003E3A38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Rekonstrukce ulice Zdeňka Štěpánka – II. etapa, Rakovník</w:t>
            </w:r>
          </w:p>
        </w:tc>
      </w:tr>
    </w:tbl>
    <w:p w14:paraId="0A7175B3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DBD08DA" w14:textId="15E54142" w:rsidR="00853457" w:rsidRPr="00A3733D" w:rsidRDefault="00853457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3733D">
        <w:rPr>
          <w:rFonts w:ascii="Times New Roman" w:hAnsi="Times New Roman" w:cs="Times New Roman"/>
          <w:sz w:val="22"/>
          <w:szCs w:val="22"/>
        </w:rPr>
        <w:t>zadávané příkazcem jako jejím zadavatelem dle zákona č.</w:t>
      </w:r>
      <w:r w:rsidR="000F2E8E">
        <w:rPr>
          <w:rFonts w:ascii="Times New Roman" w:hAnsi="Times New Roman" w:cs="Times New Roman"/>
          <w:sz w:val="22"/>
          <w:szCs w:val="22"/>
        </w:rPr>
        <w:t xml:space="preserve"> </w:t>
      </w:r>
      <w:r w:rsidRPr="00A3733D">
        <w:rPr>
          <w:rFonts w:ascii="Times New Roman" w:hAnsi="Times New Roman" w:cs="Times New Roman"/>
          <w:sz w:val="22"/>
          <w:szCs w:val="22"/>
        </w:rPr>
        <w:t>134/2016 Sb., o zadávání veřejných zakázek, v platném znění (dále jen „zákon“) v rozsahu požadovaném zákonem. Úkony zahrnují především:</w:t>
      </w:r>
    </w:p>
    <w:p w14:paraId="18096F36" w14:textId="77777777" w:rsidR="001972CD" w:rsidRPr="00A3733D" w:rsidRDefault="001972CD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F6BCCC5" w14:textId="37B65EEC" w:rsidR="001972CD" w:rsidRDefault="00555B6C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55B6C">
        <w:rPr>
          <w:rFonts w:ascii="Times New Roman" w:hAnsi="Times New Roman" w:cs="Times New Roman"/>
          <w:sz w:val="22"/>
          <w:szCs w:val="22"/>
        </w:rPr>
        <w:t>Výkonu technického dozoru stavebníka při realizaci stavby, jejíž rozsah je definován projektovou dokumentací, se vymezují následující úkony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2849B7DC" w14:textId="77777777" w:rsidR="00555B6C" w:rsidRPr="00555B6C" w:rsidRDefault="00555B6C" w:rsidP="00144CB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2F0AA4D5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Seznámení se s dokumentací akce, smlouvou o dílo s vybraným zhotovitelem,</w:t>
      </w:r>
    </w:p>
    <w:p w14:paraId="46624570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zajištění organizace předání staveniště dodavateli včetně sepsání zápisu o těchto řízeních</w:t>
      </w:r>
    </w:p>
    <w:p w14:paraId="430EAD28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 xml:space="preserve">průběžné sledování aktuálnosti projektové dokumentace, včetně případných změn a dodatků, v průběhu realizace stavby, </w:t>
      </w:r>
    </w:p>
    <w:p w14:paraId="2515BEB6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 xml:space="preserve">ověření prostavěnosti dle rozpočtu stavby, a to na základě fyzického plnění a ve vztahu k projektové </w:t>
      </w:r>
      <w:r w:rsidRPr="00555B6C">
        <w:rPr>
          <w:sz w:val="22"/>
          <w:szCs w:val="22"/>
        </w:rPr>
        <w:lastRenderedPageBreak/>
        <w:t>dokumentaci. Základním podkladem pro fakturaci jsou smluvní a cenové podklady mezi investorem a zhotovitelem stavby, popř. další ujednání a dispozice stanovené investorem v průběhu výstavby. Sledování a porovnávání nákladů stavby v jejím průběhu s dohodnutou smluvní cenou díla nebo jeho částí,</w:t>
      </w:r>
    </w:p>
    <w:p w14:paraId="4E42042A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sledování průběhu stavebních prací, dodržování projektované kvality a souladu s projektovou dokumentací,</w:t>
      </w:r>
    </w:p>
    <w:p w14:paraId="55A69400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kontrola plnění průběhu realizace ve vztahu na harmonogram výstavby,</w:t>
      </w:r>
    </w:p>
    <w:p w14:paraId="7288AE8C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kontrola zjišťovacích protokolů a oprávněnosti vystavených faktur zhotovitele</w:t>
      </w:r>
    </w:p>
    <w:p w14:paraId="009D15F1" w14:textId="3DDB71D0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 xml:space="preserve">případné změny v projektu stavby a zjištěné při realizaci stavby budou projednány za přítomnosti účastníků výstavby (zhotovitel stavby, projektant, investor a TDS) na kontrolních dnech stavby. O navrhovaných odchylkách od rozpočtu stavby bude informován investor. Pověřenými pracovníky příkazce (investora) jsou </w:t>
      </w:r>
      <w:r w:rsidR="00851F04">
        <w:rPr>
          <w:sz w:val="22"/>
          <w:szCs w:val="22"/>
        </w:rPr>
        <w:t>xxx</w:t>
      </w:r>
      <w:r w:rsidRPr="00555B6C">
        <w:rPr>
          <w:sz w:val="22"/>
          <w:szCs w:val="22"/>
        </w:rPr>
        <w:t xml:space="preserve"> a </w:t>
      </w:r>
      <w:r w:rsidR="00851F04">
        <w:rPr>
          <w:sz w:val="22"/>
          <w:szCs w:val="22"/>
        </w:rPr>
        <w:t>xxx</w:t>
      </w:r>
      <w:r w:rsidRPr="00555B6C">
        <w:rPr>
          <w:sz w:val="22"/>
          <w:szCs w:val="22"/>
        </w:rPr>
        <w:t xml:space="preserve">,  </w:t>
      </w:r>
    </w:p>
    <w:p w14:paraId="255F7361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 xml:space="preserve">kontrolování a přejímání těch částí dodávek, které budou v dalším postupu výstavby zakryty, sledování řádného vykonávání předepsaných zkoušek materiálu, konstrukcí a prací, </w:t>
      </w:r>
    </w:p>
    <w:p w14:paraId="59DA05E3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sledování a kontrola řádného vedení stavebního a montážního deníku včetně příslušných zápisů do nich. Bezodkladné předávání informací o stavbě pověřeným pracovníkům investora,</w:t>
      </w:r>
    </w:p>
    <w:p w14:paraId="1C20BCE8" w14:textId="77777777" w:rsidR="00555B6C" w:rsidRPr="00555B6C" w:rsidRDefault="00555B6C" w:rsidP="00555B6C">
      <w:pPr>
        <w:pStyle w:val="Zkladntext"/>
        <w:widowControl w:val="0"/>
        <w:numPr>
          <w:ilvl w:val="0"/>
          <w:numId w:val="24"/>
        </w:numPr>
        <w:ind w:left="709" w:hanging="283"/>
        <w:jc w:val="both"/>
        <w:rPr>
          <w:sz w:val="22"/>
          <w:szCs w:val="22"/>
        </w:rPr>
      </w:pPr>
      <w:r w:rsidRPr="00555B6C">
        <w:rPr>
          <w:sz w:val="22"/>
          <w:szCs w:val="22"/>
        </w:rPr>
        <w:t>sledování řádného provádění předepsaných a dohodnutých zkoušek materiálů, konstrukcí a prací zhotovitelem stavby, kontrolování jejich výsledků a vyžadování dokladů prokazujících kvalitu prováděných prací a dodávek (certifikáty, atesty, protokoly apod.),</w:t>
      </w:r>
    </w:p>
    <w:p w14:paraId="2EFBCD93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provádění průběžné kontroly plnění podmínek stanovených ve stavebním povolení pro realizaci stavby,</w:t>
      </w:r>
    </w:p>
    <w:p w14:paraId="0D0A4A36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upozorňování zhotovitele stavby na zjištěné nedostatky v kvalitě díla, požaduje zjednání nápravy,</w:t>
      </w:r>
    </w:p>
    <w:p w14:paraId="5ECDA9DF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 xml:space="preserve">v případě ohrožení zdraví nebo majetku je oprávněn nařídit zhotoviteli stavby zastavení prací </w:t>
      </w:r>
    </w:p>
    <w:p w14:paraId="12FAA8F4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provádění hlášení archeologických nálezů,</w:t>
      </w:r>
    </w:p>
    <w:p w14:paraId="3530636C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kontrolování řádného uskladnění materiálů, strojů a konstrukcí,</w:t>
      </w:r>
    </w:p>
    <w:p w14:paraId="1C62E45A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kompletace dokladů předkládaných zhotovitelem stavby v průběhu výstavby a dokladů potřebných k odevzdání a převzetí dokončené stavby, kontrolování dokladů, které předloží zhotovitel stavby k odevzdání a převzetí dokončené stavby,</w:t>
      </w:r>
    </w:p>
    <w:p w14:paraId="18DF1A6D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kontrolování odstraňování vad a nedodělků zjištěných při přebírání v dohodnutých termínech,</w:t>
      </w:r>
    </w:p>
    <w:p w14:paraId="4205973F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v případě potřeby zajišťování projednávání změn a doplňků s příslušnými orgány státní správy, včetně zajištění platných dokladů nutných pro souhlasná stanoviska potřebných pro realizaci díla,</w:t>
      </w:r>
    </w:p>
    <w:p w14:paraId="6B8828F2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svolávání kontrolních dnů stavby za účasti příkazce (investora), zhotovitele stavby a projektanta – minimálně 1x za 14 dní a dále dle stavu rozestavěnosti a aktuálních potřeb pro zajištění plánovaného postupu výstavby. Součástí kontrolních dnů bude kontrola případných projektových a rozpočtových změn, harmonogramu postupu výstavby a prostavěnosti,</w:t>
      </w:r>
    </w:p>
    <w:p w14:paraId="6197BCAE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 xml:space="preserve">pravidelná účast na stavbě a dále na kontrolních dnech – minimálně 1x za 14 dní v počtu dle očekávaného harmonogramu výstavby (předpoklad zahájení realizace </w:t>
      </w:r>
      <w:r w:rsidRPr="00555B6C">
        <w:rPr>
          <w:rFonts w:ascii="Times New Roman" w:hAnsi="Times New Roman"/>
          <w:color w:val="FF0000"/>
          <w:sz w:val="22"/>
          <w:szCs w:val="22"/>
        </w:rPr>
        <w:t>srpen 2023</w:t>
      </w:r>
      <w:r w:rsidRPr="00555B6C">
        <w:rPr>
          <w:rFonts w:ascii="Times New Roman" w:hAnsi="Times New Roman"/>
          <w:sz w:val="22"/>
          <w:szCs w:val="22"/>
        </w:rPr>
        <w:t xml:space="preserve">, předpoklad ukončení realizace </w:t>
      </w:r>
      <w:r w:rsidRPr="00555B6C">
        <w:rPr>
          <w:rFonts w:ascii="Times New Roman" w:hAnsi="Times New Roman"/>
          <w:color w:val="FF0000"/>
          <w:sz w:val="22"/>
          <w:szCs w:val="22"/>
        </w:rPr>
        <w:t>prosinec 2023</w:t>
      </w:r>
      <w:r w:rsidRPr="00555B6C">
        <w:rPr>
          <w:rFonts w:ascii="Times New Roman" w:hAnsi="Times New Roman"/>
          <w:sz w:val="22"/>
          <w:szCs w:val="22"/>
        </w:rPr>
        <w:t>, resp. do skutečného dokončení stavby)</w:t>
      </w:r>
    </w:p>
    <w:p w14:paraId="152E474A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provádění zápisů do stavebního deníku a provádění zápisů z kontrolních dnů,</w:t>
      </w:r>
    </w:p>
    <w:p w14:paraId="2B71A0D3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zpracování zpráv o postupu výstavby s hodnocením plnění časového harmonogramu a prostavěnosti stavby, případně při zjištění závažných problémů, na výzvu příkazce (investora),</w:t>
      </w:r>
    </w:p>
    <w:p w14:paraId="4133884F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průběžné pořizování fotodokumentace rozhodujících částí a detailů stavby (předávání příkazci v digitální formě na CD nosiči),</w:t>
      </w:r>
    </w:p>
    <w:p w14:paraId="71010761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příprava podkladů pro odevzdání a převzetí stavby mezi zhotovitelem a investorem, účast na přejímkách a návazné vyhotovení soupisu vad a nedodělků,</w:t>
      </w:r>
    </w:p>
    <w:p w14:paraId="4F84F56B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vypracování žádosti o kolaudaci, příprava podkladů ke kolaudaci a účast na kolaudaci,</w:t>
      </w:r>
    </w:p>
    <w:p w14:paraId="3AC7FA57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provádění kontroly odstranění závad vyplývajících z kolaudačního řízení, kontrolování vyklizení staveniště zhotovitelem stavby,</w:t>
      </w:r>
    </w:p>
    <w:p w14:paraId="24DBA7BC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spolupráci s příkazcem na závěrečném vyúčtování stavby a celkovém vyhodnocení stavby,</w:t>
      </w:r>
    </w:p>
    <w:p w14:paraId="19BE9FC1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 xml:space="preserve"> vypracovat stanoviska k uvažovaným změnám v průběhu realizace stavby a k vícepracím, zvyšujícím náklady stavby</w:t>
      </w:r>
    </w:p>
    <w:p w14:paraId="41037B64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kontrolovat vliv stavby na životní prostředí v okolí stavby a v případě zjištění nedostatků navrhnout řešení</w:t>
      </w:r>
    </w:p>
    <w:p w14:paraId="3DA181B9" w14:textId="77777777" w:rsidR="00555B6C" w:rsidRPr="00555B6C" w:rsidRDefault="00555B6C" w:rsidP="00555B6C">
      <w:pPr>
        <w:numPr>
          <w:ilvl w:val="0"/>
          <w:numId w:val="24"/>
        </w:numPr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 xml:space="preserve"> v případě potřeby zajistit technický dozor stavebníka při činnostech zhotovitele stavby i mimo obvyklou pracovní dobu</w:t>
      </w:r>
    </w:p>
    <w:p w14:paraId="77FA5A3D" w14:textId="77777777" w:rsidR="00555B6C" w:rsidRDefault="00555B6C" w:rsidP="00555B6C">
      <w:pPr>
        <w:numPr>
          <w:ilvl w:val="0"/>
          <w:numId w:val="24"/>
        </w:numPr>
        <w:tabs>
          <w:tab w:val="num" w:pos="709"/>
        </w:tabs>
        <w:ind w:left="709" w:hanging="283"/>
        <w:jc w:val="both"/>
        <w:rPr>
          <w:rFonts w:ascii="Times New Roman" w:hAnsi="Times New Roman"/>
          <w:sz w:val="22"/>
          <w:szCs w:val="22"/>
        </w:rPr>
      </w:pPr>
      <w:r w:rsidRPr="00555B6C">
        <w:rPr>
          <w:rFonts w:ascii="Times New Roman" w:hAnsi="Times New Roman"/>
          <w:sz w:val="22"/>
          <w:szCs w:val="22"/>
        </w:rPr>
        <w:t>další činnosti vyplývající z průběhu realizace stavby a případných požadavků příkazce</w:t>
      </w:r>
    </w:p>
    <w:p w14:paraId="6AF1A22A" w14:textId="77777777" w:rsidR="00555B6C" w:rsidRPr="00555B6C" w:rsidRDefault="00555B6C" w:rsidP="00555B6C">
      <w:pPr>
        <w:ind w:left="709"/>
        <w:jc w:val="both"/>
        <w:rPr>
          <w:rFonts w:ascii="Times New Roman" w:hAnsi="Times New Roman"/>
          <w:sz w:val="22"/>
          <w:szCs w:val="22"/>
        </w:rPr>
      </w:pPr>
    </w:p>
    <w:p w14:paraId="6FF3CE6C" w14:textId="77777777" w:rsidR="007F4E8A" w:rsidRPr="006C687B" w:rsidRDefault="007F4E8A" w:rsidP="007F4E8A">
      <w:pPr>
        <w:pStyle w:val="Odstavecseseznamem"/>
        <w:ind w:left="1276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C556E7" w14:textId="38F440BA" w:rsidR="00555B6C" w:rsidRPr="006C687B" w:rsidRDefault="00555B6C" w:rsidP="00555B6C">
      <w:p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6C687B">
        <w:rPr>
          <w:rFonts w:ascii="Times New Roman" w:hAnsi="Times New Roman"/>
          <w:sz w:val="22"/>
          <w:szCs w:val="22"/>
        </w:rPr>
        <w:t>1.3 Předmět plnění, ujednaný v této smlouvě, je splněný řádným vykonáním činností, ke kterým se příkazník zavázal v čl. II odst. 1 této smlouvy.</w:t>
      </w:r>
    </w:p>
    <w:p w14:paraId="5CA3D6B9" w14:textId="77777777" w:rsidR="00555B6C" w:rsidRPr="006C687B" w:rsidRDefault="00555B6C" w:rsidP="00555B6C">
      <w:pPr>
        <w:jc w:val="both"/>
        <w:rPr>
          <w:rFonts w:ascii="Times New Roman" w:hAnsi="Times New Roman"/>
          <w:sz w:val="22"/>
          <w:szCs w:val="22"/>
        </w:rPr>
      </w:pPr>
    </w:p>
    <w:p w14:paraId="14716C53" w14:textId="2976B169" w:rsidR="00555B6C" w:rsidRPr="006C687B" w:rsidRDefault="00555B6C" w:rsidP="00555B6C">
      <w:pPr>
        <w:pStyle w:val="Default"/>
        <w:ind w:left="426" w:hanging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 xml:space="preserve">1.4. </w:t>
      </w:r>
      <w:r w:rsidRPr="006C687B">
        <w:rPr>
          <w:rFonts w:ascii="Times New Roman" w:hAnsi="Times New Roman" w:cs="Times New Roman"/>
          <w:color w:val="auto"/>
          <w:sz w:val="22"/>
          <w:szCs w:val="22"/>
        </w:rPr>
        <w:tab/>
        <w:t>Příkazník předmět smlouvy zabezpečuje jménem a na účet příkazce.</w:t>
      </w:r>
    </w:p>
    <w:p w14:paraId="7737AF6D" w14:textId="77777777" w:rsidR="00633E79" w:rsidRPr="00A3733D" w:rsidRDefault="00633E79" w:rsidP="00633E79">
      <w:pPr>
        <w:ind w:left="36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E51F1A5" w14:textId="77777777" w:rsidR="0009564E" w:rsidRPr="00A3733D" w:rsidRDefault="0009564E" w:rsidP="0009564E">
      <w:pPr>
        <w:rPr>
          <w:rFonts w:ascii="Times New Roman" w:hAnsi="Times New Roman" w:cs="Times New Roman"/>
          <w:sz w:val="22"/>
          <w:szCs w:val="22"/>
        </w:rPr>
      </w:pPr>
    </w:p>
    <w:p w14:paraId="18B002F6" w14:textId="77777777" w:rsidR="00853457" w:rsidRPr="00A3733D" w:rsidRDefault="00853457" w:rsidP="009C588B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3733D">
        <w:rPr>
          <w:rFonts w:ascii="Times New Roman" w:hAnsi="Times New Roman" w:cs="Times New Roman"/>
          <w:b/>
          <w:sz w:val="22"/>
          <w:szCs w:val="22"/>
        </w:rPr>
        <w:t>Práva a povinnosti účastníků</w:t>
      </w:r>
    </w:p>
    <w:p w14:paraId="336E5DCD" w14:textId="77777777" w:rsidR="00853457" w:rsidRPr="00A3733D" w:rsidRDefault="00853457" w:rsidP="00853457">
      <w:pPr>
        <w:ind w:left="360"/>
        <w:rPr>
          <w:rFonts w:ascii="Times New Roman" w:hAnsi="Times New Roman" w:cs="Times New Roman"/>
          <w:b/>
          <w:sz w:val="22"/>
          <w:szCs w:val="22"/>
        </w:rPr>
      </w:pPr>
    </w:p>
    <w:p w14:paraId="4BC664DB" w14:textId="1190367C" w:rsidR="00555B6C" w:rsidRPr="006C687B" w:rsidRDefault="00555B6C" w:rsidP="00555B6C">
      <w:pPr>
        <w:pStyle w:val="Default"/>
        <w:numPr>
          <w:ilvl w:val="1"/>
          <w:numId w:val="20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Příkazník se zavazuje při plnění smlouvy postupovat s odbornou péčí a chránit zájmy příkazce. Odborná péče příkazníka musí být v souladu s příslušnými zákony a platnými právními předpisy.</w:t>
      </w:r>
    </w:p>
    <w:p w14:paraId="1517FCA1" w14:textId="7C27A5F9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Inženýrskou činnost, k níž se příkazník zavázal, je povinen uskutečňovat podle pokynů příkazce a v souladu s jeho zájmy. Příkazník je povinen oznámit příkazci všechny okolnosti, které zjistil při zařizování záležitostí, týkajících se této smlouvy a které mohou mít vliv na změnu pokynů příkazce. Zjistí-li příkazník při plnění předmětu smlouvy vhodnost jiného řešení, které není touto smlouvou upraveno, je povinen informovat příkazce a zároveň mu předložit návrh řešení a případně vypracovat návrh dodatku smlouvy.</w:t>
      </w:r>
    </w:p>
    <w:p w14:paraId="54436283" w14:textId="15FA72C4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Příkazník je povinen uchovávat doklady, které nabyl v souvislosti s činností podle této smlouvy, a to do doby předání veškeré dokumentace po ukončení činností.</w:t>
      </w:r>
    </w:p>
    <w:p w14:paraId="38271402" w14:textId="30697982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Příkazník se zavazuje předat veškeré doklady příkazci a vrátit zapůjčené podklady ihned po ukončení stavby nebo po ukončení činností.</w:t>
      </w:r>
    </w:p>
    <w:p w14:paraId="4E375117" w14:textId="563E404E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Za škodu způsobenou příkazci porušením povinnosti dle této smlouvy odpovídá příkazník dle příslušných ustanovení občanského zákoníku.</w:t>
      </w:r>
    </w:p>
    <w:p w14:paraId="2AA2A37F" w14:textId="047C32F4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Příkazce je oprávněn znát veškeré skutečnosti, týkající se plnění smlouvy.</w:t>
      </w:r>
    </w:p>
    <w:p w14:paraId="3C6715D4" w14:textId="3C8433A4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Příkazce je oprávněn si u příkazníka kdykoli ověřit plnění smlouvy.</w:t>
      </w:r>
    </w:p>
    <w:p w14:paraId="59BD45EC" w14:textId="0A84FFF4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Příkazce je povinen poskytovat příkazníkovi účinnou součinnost pro vykonávání činností dle čl. II. této smlouvy.</w:t>
      </w:r>
    </w:p>
    <w:p w14:paraId="4D305BC1" w14:textId="71191279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Příkazce zplnomocňuje příkazníka ke všem činnostem, souvisejícím s plněním smlouvy.</w:t>
      </w:r>
    </w:p>
    <w:p w14:paraId="533CDFF7" w14:textId="2EAE0764" w:rsidR="00555B6C" w:rsidRPr="006C687B" w:rsidRDefault="00555B6C" w:rsidP="00555B6C">
      <w:pPr>
        <w:pStyle w:val="Default"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C687B">
        <w:rPr>
          <w:rFonts w:ascii="Times New Roman" w:hAnsi="Times New Roman" w:cs="Times New Roman"/>
          <w:color w:val="auto"/>
          <w:sz w:val="22"/>
          <w:szCs w:val="22"/>
        </w:rPr>
        <w:t>Příkazce se zavazuje předat příkazníkovi podklady nezbytné pro splnění díla dle této smlouvy při podpisu smlouvy.</w:t>
      </w:r>
    </w:p>
    <w:p w14:paraId="7EE82364" w14:textId="77777777" w:rsidR="00555B6C" w:rsidRPr="006C687B" w:rsidRDefault="00555B6C" w:rsidP="00555B6C">
      <w:pPr>
        <w:pStyle w:val="Default"/>
        <w:ind w:left="42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504C8C4C" w14:textId="77777777" w:rsidR="0009564E" w:rsidRPr="006C687B" w:rsidRDefault="0009564E" w:rsidP="00555B6C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23AF2477" w14:textId="478460D2" w:rsidR="00853457" w:rsidRPr="00555B6C" w:rsidRDefault="00853457" w:rsidP="00555B6C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55B6C">
        <w:rPr>
          <w:rFonts w:ascii="Times New Roman" w:hAnsi="Times New Roman" w:cs="Times New Roman"/>
          <w:b/>
          <w:sz w:val="22"/>
          <w:szCs w:val="22"/>
        </w:rPr>
        <w:t>Odměna, platební podmínky</w:t>
      </w:r>
    </w:p>
    <w:p w14:paraId="1116AF71" w14:textId="77777777" w:rsidR="00853457" w:rsidRPr="00A3733D" w:rsidRDefault="00853457" w:rsidP="0085345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5D5B414" w14:textId="23E1FB7D" w:rsidR="00555B6C" w:rsidRPr="00EF19C2" w:rsidRDefault="00555B6C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bookmarkStart w:id="0" w:name="OLE_LINK1"/>
      <w:r w:rsidRPr="00EF19C2">
        <w:rPr>
          <w:rFonts w:ascii="Times New Roman" w:hAnsi="Times New Roman" w:cs="Times New Roman"/>
          <w:color w:val="auto"/>
          <w:sz w:val="22"/>
          <w:szCs w:val="22"/>
        </w:rPr>
        <w:t>Cena za inženýrskou činnost v rozsahu čl. II. této smlouvy je smluvní a je stanovena jako cena pevná nejvýše přípustná, příkazce nestanovil žádné podmínky k možnosti jejího překročení. Cena činí:</w:t>
      </w:r>
    </w:p>
    <w:p w14:paraId="1715A0A8" w14:textId="77777777" w:rsidR="00853457" w:rsidRPr="00A3733D" w:rsidRDefault="00853457" w:rsidP="00853457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tbl>
      <w:tblPr>
        <w:tblW w:w="9639" w:type="dxa"/>
        <w:tblInd w:w="6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4820"/>
        <w:gridCol w:w="1606"/>
        <w:gridCol w:w="1606"/>
        <w:gridCol w:w="1607"/>
      </w:tblGrid>
      <w:tr w:rsidR="00853457" w:rsidRPr="00A3733D" w14:paraId="5FF5C21A" w14:textId="77777777" w:rsidTr="008B2877">
        <w:trPr>
          <w:trHeight w:hRule="exact" w:val="851"/>
        </w:trPr>
        <w:tc>
          <w:tcPr>
            <w:tcW w:w="4820" w:type="dxa"/>
            <w:shd w:val="clear" w:color="auto" w:fill="D9D9D9"/>
            <w:vAlign w:val="center"/>
          </w:tcPr>
          <w:p w14:paraId="33C105D4" w14:textId="77777777" w:rsidR="00853457" w:rsidRPr="00A3733D" w:rsidRDefault="00853457" w:rsidP="008B287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3733D">
              <w:rPr>
                <w:rFonts w:ascii="Times New Roman" w:hAnsi="Times New Roman" w:cs="Times New Roman"/>
                <w:b/>
                <w:sz w:val="22"/>
                <w:szCs w:val="22"/>
              </w:rPr>
              <w:t>Název zadávacího řízení</w:t>
            </w:r>
          </w:p>
        </w:tc>
        <w:tc>
          <w:tcPr>
            <w:tcW w:w="1606" w:type="dxa"/>
            <w:shd w:val="clear" w:color="auto" w:fill="D9D9D9"/>
            <w:vAlign w:val="center"/>
          </w:tcPr>
          <w:p w14:paraId="0F0963B8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Cena bez DPH</w:t>
            </w:r>
          </w:p>
        </w:tc>
        <w:tc>
          <w:tcPr>
            <w:tcW w:w="1606" w:type="dxa"/>
            <w:shd w:val="clear" w:color="auto" w:fill="D9D9D9"/>
            <w:vAlign w:val="center"/>
          </w:tcPr>
          <w:p w14:paraId="76434B2E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Samostatně DPH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0EA80C8A" w14:textId="77777777" w:rsidR="00853457" w:rsidRPr="00A3733D" w:rsidRDefault="00853457" w:rsidP="008B2877">
            <w:pPr>
              <w:pStyle w:val="ZkladntextIMP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A3733D">
              <w:rPr>
                <w:b/>
                <w:sz w:val="22"/>
                <w:szCs w:val="22"/>
              </w:rPr>
              <w:t>Cena včetně DPH</w:t>
            </w:r>
          </w:p>
        </w:tc>
      </w:tr>
      <w:tr w:rsidR="00853457" w:rsidRPr="008C6CA1" w14:paraId="0D640694" w14:textId="77777777" w:rsidTr="008B2877">
        <w:trPr>
          <w:trHeight w:hRule="exact" w:val="1095"/>
        </w:trPr>
        <w:tc>
          <w:tcPr>
            <w:tcW w:w="4820" w:type="dxa"/>
            <w:shd w:val="clear" w:color="auto" w:fill="FFFFFF"/>
            <w:vAlign w:val="center"/>
          </w:tcPr>
          <w:p w14:paraId="72245395" w14:textId="45C1D137" w:rsidR="00853457" w:rsidRPr="008C6CA1" w:rsidRDefault="003C186B" w:rsidP="009D659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Rekonstrukce ulice Zdeňka Štěpánka – II. etapa, Rakovník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76A769CC" w14:textId="3DDD84DA" w:rsidR="00853457" w:rsidRPr="008C6CA1" w:rsidRDefault="00952C20" w:rsidP="00AC395E">
            <w:pPr>
              <w:pStyle w:val="ZkladntextIMP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102 000</w:t>
            </w:r>
            <w:r w:rsidR="00853457" w:rsidRPr="008C6CA1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06" w:type="dxa"/>
            <w:shd w:val="clear" w:color="auto" w:fill="FFFFFF"/>
            <w:vAlign w:val="center"/>
          </w:tcPr>
          <w:p w14:paraId="0F929BE4" w14:textId="1251750A" w:rsidR="00853457" w:rsidRPr="008C6CA1" w:rsidRDefault="00952C20" w:rsidP="000E7583">
            <w:pPr>
              <w:pStyle w:val="ZkladntextIMP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21 420</w:t>
            </w:r>
            <w:r w:rsidR="000C6EF5" w:rsidRPr="008C6CA1">
              <w:rPr>
                <w:sz w:val="22"/>
                <w:szCs w:val="22"/>
              </w:rPr>
              <w:t xml:space="preserve"> Kč</w:t>
            </w:r>
          </w:p>
        </w:tc>
        <w:tc>
          <w:tcPr>
            <w:tcW w:w="1607" w:type="dxa"/>
            <w:shd w:val="clear" w:color="auto" w:fill="FFFFFF"/>
            <w:vAlign w:val="center"/>
          </w:tcPr>
          <w:p w14:paraId="06733925" w14:textId="52E78414" w:rsidR="00853457" w:rsidRPr="008C6CA1" w:rsidRDefault="00EF19C2" w:rsidP="00952C20">
            <w:pPr>
              <w:pStyle w:val="ZkladntextIMP"/>
              <w:numPr>
                <w:ilvl w:val="0"/>
                <w:numId w:val="31"/>
              </w:numPr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  <w:r w:rsidR="00952C20">
              <w:rPr>
                <w:sz w:val="22"/>
                <w:szCs w:val="22"/>
              </w:rPr>
              <w:t>0</w:t>
            </w:r>
            <w:r w:rsidR="00853457" w:rsidRPr="008C6CA1">
              <w:rPr>
                <w:sz w:val="22"/>
                <w:szCs w:val="22"/>
              </w:rPr>
              <w:t xml:space="preserve"> Kč</w:t>
            </w:r>
          </w:p>
        </w:tc>
      </w:tr>
    </w:tbl>
    <w:p w14:paraId="515D0FD7" w14:textId="77777777" w:rsidR="00853457" w:rsidRPr="008C6CA1" w:rsidRDefault="00853457" w:rsidP="00853457">
      <w:pPr>
        <w:pStyle w:val="ZkladntextIMP"/>
        <w:spacing w:line="240" w:lineRule="auto"/>
        <w:jc w:val="both"/>
        <w:rPr>
          <w:sz w:val="22"/>
          <w:szCs w:val="22"/>
        </w:rPr>
      </w:pPr>
    </w:p>
    <w:p w14:paraId="7A358E28" w14:textId="77777777" w:rsidR="00853457" w:rsidRPr="008C6CA1" w:rsidRDefault="00853457" w:rsidP="00853457">
      <w:pPr>
        <w:pStyle w:val="ZkladntextIMP"/>
        <w:spacing w:line="240" w:lineRule="auto"/>
        <w:jc w:val="both"/>
        <w:rPr>
          <w:sz w:val="22"/>
          <w:szCs w:val="22"/>
        </w:rPr>
      </w:pPr>
    </w:p>
    <w:bookmarkEnd w:id="0"/>
    <w:p w14:paraId="25458837" w14:textId="1143FF67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 xml:space="preserve">Odměna příkazníka bude uhrazena na základě dílčích faktur vystavených příkazníkem. </w:t>
      </w:r>
    </w:p>
    <w:p w14:paraId="77876DAF" w14:textId="3C7315AB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Oprávněně vystavená faktura musí obsahovat náležitosti daňového dokladu včetně těchto údajů:</w:t>
      </w:r>
    </w:p>
    <w:p w14:paraId="2187CC43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údaje příkazníka, obchodní jméno, sídlo, IČ, DIČ, bankovní spojení, registrační číslo v obchodním rejstříku (číslo vložky, oddíl) a údaj osvědčení o registraci k DPH,</w:t>
      </w:r>
    </w:p>
    <w:p w14:paraId="71B3D937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číslo smlouvy,</w:t>
      </w:r>
    </w:p>
    <w:p w14:paraId="1BA0F9A3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číslo a název stavby, číslo a název etapy,</w:t>
      </w:r>
    </w:p>
    <w:p w14:paraId="09959000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předmět díla,</w:t>
      </w:r>
    </w:p>
    <w:p w14:paraId="49C202CD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číslo faktury,</w:t>
      </w:r>
    </w:p>
    <w:p w14:paraId="32F25228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fakturovanou částku,</w:t>
      </w:r>
    </w:p>
    <w:p w14:paraId="1546A0A6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datum zdanitelného plnění za fakturovanou částku,</w:t>
      </w:r>
    </w:p>
    <w:p w14:paraId="518DCB28" w14:textId="77777777" w:rsidR="00952C20" w:rsidRPr="00EF19C2" w:rsidRDefault="00952C20" w:rsidP="00952C20">
      <w:pPr>
        <w:pStyle w:val="Default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lastRenderedPageBreak/>
        <w:t>razítko a podpis oprávněné osoby, stvrzující oprávněnost, formální a věcnou správnost faktury.</w:t>
      </w:r>
    </w:p>
    <w:p w14:paraId="47B7A8FA" w14:textId="0FD37E19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V případě, že faktura nebude obsahovat náležitosti daňového dokladu a údaje uvedené v odst. 3. tohoto článku, je příkazce oprávněn vrátit ji příkazníkovi k odstranění vad nebo k doplnění. V takovém případě se přeruší plynutí lhůty splatnosti a nová lhůta splatnosti začne plynout doručením opravené faktury příkazci.</w:t>
      </w:r>
    </w:p>
    <w:p w14:paraId="6BDA6ACA" w14:textId="187914C7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Dílčí faktury je příkazník oprávněn vystavovat za dílčí poskytnuté plnění čtvrtletně.</w:t>
      </w:r>
    </w:p>
    <w:p w14:paraId="353FBDC5" w14:textId="1752C3ED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Smluvní strany vzájemně dohodly lhůtu splatnosti jednotlivých faktur, které budou uhrazeny převodem na výše uvedený účet příkazníka, a to nejpozději 30 dní od doručení příkazci. Faktury budou zasílány ve dvojím vyhotovení na adresu příkazce: Město Rakovník, Husovo nám. 27/I, 269 18 Rakovník.</w:t>
      </w:r>
    </w:p>
    <w:p w14:paraId="6960081A" w14:textId="12D26CA2" w:rsidR="00952C20" w:rsidRPr="00EF19C2" w:rsidRDefault="00952C20" w:rsidP="00EF19C2">
      <w:pPr>
        <w:pStyle w:val="Default"/>
        <w:numPr>
          <w:ilvl w:val="1"/>
          <w:numId w:val="29"/>
        </w:numPr>
        <w:ind w:left="567" w:hanging="567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EF19C2">
        <w:rPr>
          <w:rFonts w:ascii="Times New Roman" w:hAnsi="Times New Roman" w:cs="Times New Roman"/>
          <w:color w:val="auto"/>
          <w:sz w:val="22"/>
          <w:szCs w:val="22"/>
        </w:rPr>
        <w:t>Celková cena za provedené inženýrské činnosti (úkony TDS) je pevná a neměnná, a to i pro případ, že by došlo k prodloužení termínu pro dokončení stavby.</w:t>
      </w:r>
    </w:p>
    <w:p w14:paraId="2423CFF9" w14:textId="77777777" w:rsidR="00952C20" w:rsidRPr="00EF19C2" w:rsidRDefault="00952C20" w:rsidP="00EF19C2">
      <w:pPr>
        <w:pStyle w:val="Default"/>
        <w:ind w:left="567" w:hanging="567"/>
        <w:rPr>
          <w:rFonts w:ascii="Times New Roman" w:hAnsi="Times New Roman" w:cs="Times New Roman"/>
          <w:color w:val="auto"/>
          <w:sz w:val="22"/>
          <w:szCs w:val="22"/>
        </w:rPr>
      </w:pPr>
    </w:p>
    <w:p w14:paraId="4D39591A" w14:textId="77777777" w:rsidR="0009564E" w:rsidRPr="00EF19C2" w:rsidRDefault="0009564E" w:rsidP="0009564E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2C1C2452" w14:textId="77777777" w:rsidR="009C588B" w:rsidRPr="008C6CA1" w:rsidRDefault="009C588B" w:rsidP="0009564E">
      <w:pPr>
        <w:pStyle w:val="ZkladntextIMP"/>
        <w:spacing w:line="240" w:lineRule="auto"/>
        <w:ind w:left="540"/>
        <w:jc w:val="both"/>
        <w:rPr>
          <w:sz w:val="22"/>
          <w:szCs w:val="22"/>
        </w:rPr>
      </w:pPr>
    </w:p>
    <w:p w14:paraId="4EAA2A84" w14:textId="77777777" w:rsidR="00853457" w:rsidRPr="008C6CA1" w:rsidRDefault="00853457" w:rsidP="00555B6C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6CA1">
        <w:rPr>
          <w:rFonts w:ascii="Times New Roman" w:hAnsi="Times New Roman" w:cs="Times New Roman"/>
          <w:b/>
          <w:sz w:val="22"/>
          <w:szCs w:val="22"/>
        </w:rPr>
        <w:t>Záruka, smluvní pokuty</w:t>
      </w:r>
    </w:p>
    <w:p w14:paraId="712DE3CA" w14:textId="77777777" w:rsidR="00853457" w:rsidRPr="008C6CA1" w:rsidRDefault="00853457" w:rsidP="00853457">
      <w:pPr>
        <w:pStyle w:val="Zkladntext"/>
        <w:rPr>
          <w:color w:val="auto"/>
          <w:sz w:val="22"/>
          <w:szCs w:val="22"/>
        </w:rPr>
      </w:pPr>
    </w:p>
    <w:p w14:paraId="0888B46C" w14:textId="77777777" w:rsidR="00853457" w:rsidRPr="00EF19C2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>Odpovědnost příkazníka za škodu při poskytování služeb příkazci se řídí právními předpisy ČR. Příkazník odpovídá za škody prokazatelně vzniklé v důsledku neplnění smluvních podmínek</w:t>
      </w:r>
      <w:r w:rsidR="005E051E" w:rsidRPr="00EF19C2">
        <w:rPr>
          <w:rFonts w:ascii="Times New Roman" w:hAnsi="Times New Roman" w:cs="Times New Roman"/>
          <w:sz w:val="22"/>
          <w:szCs w:val="22"/>
        </w:rPr>
        <w:t>,</w:t>
      </w:r>
      <w:r w:rsidR="002F63B5" w:rsidRPr="00EF19C2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2F63B5" w:rsidRPr="00EF19C2">
        <w:rPr>
          <w:rFonts w:ascii="Times New Roman" w:hAnsi="Times New Roman" w:cs="Times New Roman"/>
          <w:sz w:val="22"/>
          <w:szCs w:val="22"/>
        </w:rPr>
        <w:t>zákon</w:t>
      </w:r>
      <w:r w:rsidR="005E051E" w:rsidRPr="00EF19C2">
        <w:rPr>
          <w:rFonts w:ascii="Times New Roman" w:hAnsi="Times New Roman" w:cs="Times New Roman"/>
          <w:sz w:val="22"/>
          <w:szCs w:val="22"/>
        </w:rPr>
        <w:t>ných ustanovení</w:t>
      </w:r>
      <w:r w:rsidR="00D26936" w:rsidRPr="00EF19C2">
        <w:rPr>
          <w:rFonts w:ascii="Times New Roman" w:hAnsi="Times New Roman" w:cs="Times New Roman"/>
          <w:sz w:val="22"/>
          <w:szCs w:val="22"/>
        </w:rPr>
        <w:br/>
      </w:r>
      <w:r w:rsidR="002F63B5" w:rsidRPr="00EF19C2">
        <w:rPr>
          <w:rFonts w:ascii="Times New Roman" w:hAnsi="Times New Roman" w:cs="Times New Roman"/>
          <w:sz w:val="22"/>
          <w:szCs w:val="22"/>
        </w:rPr>
        <w:t>a podmínek</w:t>
      </w:r>
      <w:r w:rsidR="00D90438" w:rsidRPr="00EF19C2">
        <w:rPr>
          <w:rFonts w:ascii="Times New Roman" w:hAnsi="Times New Roman" w:cs="Times New Roman"/>
          <w:sz w:val="22"/>
          <w:szCs w:val="22"/>
        </w:rPr>
        <w:t xml:space="preserve"> poskytovatele dotace</w:t>
      </w:r>
      <w:r w:rsidR="002F63B5" w:rsidRPr="00EF19C2">
        <w:rPr>
          <w:rFonts w:ascii="Times New Roman" w:hAnsi="Times New Roman" w:cs="Times New Roman"/>
          <w:sz w:val="22"/>
          <w:szCs w:val="22"/>
        </w:rPr>
        <w:t xml:space="preserve"> </w:t>
      </w:r>
      <w:r w:rsidRPr="00EF19C2">
        <w:rPr>
          <w:rFonts w:ascii="Times New Roman" w:hAnsi="Times New Roman" w:cs="Times New Roman"/>
          <w:sz w:val="22"/>
          <w:szCs w:val="22"/>
        </w:rPr>
        <w:t xml:space="preserve">ze strany příkazníka. </w:t>
      </w:r>
    </w:p>
    <w:p w14:paraId="7F7E4668" w14:textId="77777777" w:rsidR="00853457" w:rsidRPr="00EF19C2" w:rsidRDefault="00853457" w:rsidP="0009564E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2A60064F" w14:textId="77777777" w:rsidR="00853457" w:rsidRPr="00EF19C2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 xml:space="preserve">V případě zrušení zadávacího řízení Úřadem pro ochranu hospodářské soutěže na základě prokazatelného porušení smluvních povinností výlučně na straně příkazníka, se příkazník zavazuje následné organizační zajištění ve stejné věci provést bezplatně. V případě uznání návrhu </w:t>
      </w:r>
      <w:r w:rsidR="00D26936" w:rsidRPr="00EF19C2">
        <w:rPr>
          <w:rFonts w:ascii="Times New Roman" w:hAnsi="Times New Roman" w:cs="Times New Roman"/>
          <w:sz w:val="22"/>
          <w:szCs w:val="22"/>
        </w:rPr>
        <w:t>stěžovatele za oprávněný Úřadem</w:t>
      </w:r>
      <w:r w:rsidR="00D26936" w:rsidRPr="00EF19C2">
        <w:rPr>
          <w:rFonts w:ascii="Times New Roman" w:hAnsi="Times New Roman" w:cs="Times New Roman"/>
          <w:sz w:val="22"/>
          <w:szCs w:val="22"/>
        </w:rPr>
        <w:br/>
      </w:r>
      <w:r w:rsidRPr="00EF19C2">
        <w:rPr>
          <w:rFonts w:ascii="Times New Roman" w:hAnsi="Times New Roman" w:cs="Times New Roman"/>
          <w:sz w:val="22"/>
          <w:szCs w:val="22"/>
        </w:rPr>
        <w:t>pro ochranu hospodářské soutěže a následného nařízení nového úkonu v rámci zadávacího řízení nebo provedení nápravných opatření, tato příkazník provede výlučně na svoje náklady.</w:t>
      </w:r>
    </w:p>
    <w:p w14:paraId="40DEC85C" w14:textId="77777777" w:rsidR="00853457" w:rsidRPr="00EF19C2" w:rsidRDefault="00853457" w:rsidP="0009564E">
      <w:pPr>
        <w:pStyle w:val="Odstavecseseznamem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3DB94C16" w14:textId="77777777" w:rsidR="00853457" w:rsidRPr="00EF19C2" w:rsidRDefault="00853457" w:rsidP="0009564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 xml:space="preserve">Příkazník odpovídá za vady předmětu plnění po dobu platnosti a účinnosti legislativní úpravy platné v době, kdy byly jednotlivé činnosti provedeny. </w:t>
      </w:r>
    </w:p>
    <w:p w14:paraId="08A8B998" w14:textId="77777777" w:rsidR="00853457" w:rsidRPr="00EF19C2" w:rsidRDefault="00853457" w:rsidP="0009564E">
      <w:pPr>
        <w:pStyle w:val="Odstavecseseznamem"/>
        <w:ind w:left="567" w:hanging="567"/>
        <w:rPr>
          <w:rFonts w:ascii="Times New Roman" w:hAnsi="Times New Roman" w:cs="Times New Roman"/>
          <w:sz w:val="22"/>
          <w:szCs w:val="22"/>
        </w:rPr>
      </w:pPr>
    </w:p>
    <w:p w14:paraId="4BE4A847" w14:textId="05358029" w:rsidR="00853457" w:rsidRPr="00EF19C2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>Příkazník neodpovídá za vady, které byly způsobeny použitím podkladů převzatých (zejména projektová dokumentace a výkazy výměr, technické specifikace) od příkazce, u kterých příkazník ani při vynaložení veškeré odborné péče nemohl zjistit jejich nevhodnost, případně na ně upozornil příkazce, ale ten na jejich použití trval. Jedná se zejména o stavebně technickou dokumentaci</w:t>
      </w:r>
      <w:r w:rsidR="00A21DF5" w:rsidRPr="00EF19C2">
        <w:rPr>
          <w:rFonts w:ascii="Times New Roman" w:hAnsi="Times New Roman" w:cs="Times New Roman"/>
          <w:sz w:val="22"/>
          <w:szCs w:val="22"/>
        </w:rPr>
        <w:t>,</w:t>
      </w:r>
      <w:r w:rsidRPr="00EF19C2">
        <w:rPr>
          <w:rFonts w:ascii="Times New Roman" w:hAnsi="Times New Roman" w:cs="Times New Roman"/>
          <w:sz w:val="22"/>
          <w:szCs w:val="22"/>
        </w:rPr>
        <w:t xml:space="preserve"> </w:t>
      </w:r>
      <w:r w:rsidR="00D26936" w:rsidRPr="00EF19C2">
        <w:rPr>
          <w:rFonts w:ascii="Times New Roman" w:hAnsi="Times New Roman" w:cs="Times New Roman"/>
          <w:sz w:val="22"/>
          <w:szCs w:val="22"/>
        </w:rPr>
        <w:t>a to včetně výkazu výměr. Pokud</w:t>
      </w:r>
      <w:r w:rsidR="00D26936" w:rsidRPr="00EF19C2">
        <w:rPr>
          <w:rFonts w:ascii="Times New Roman" w:hAnsi="Times New Roman" w:cs="Times New Roman"/>
          <w:sz w:val="22"/>
          <w:szCs w:val="22"/>
        </w:rPr>
        <w:br/>
      </w:r>
      <w:r w:rsidRPr="00EF19C2">
        <w:rPr>
          <w:rFonts w:ascii="Times New Roman" w:hAnsi="Times New Roman" w:cs="Times New Roman"/>
          <w:sz w:val="22"/>
          <w:szCs w:val="22"/>
        </w:rPr>
        <w:t xml:space="preserve">by tyto podklady byly důvodem pro námitky, zrušení výběrového řízení nebo sankci ze strany Úřadu pro ochranu hospodářské soutěže </w:t>
      </w:r>
      <w:r w:rsidR="00212763" w:rsidRPr="00EF19C2">
        <w:rPr>
          <w:rFonts w:ascii="Times New Roman" w:hAnsi="Times New Roman" w:cs="Times New Roman"/>
          <w:sz w:val="22"/>
          <w:szCs w:val="22"/>
        </w:rPr>
        <w:t xml:space="preserve">či </w:t>
      </w:r>
      <w:r w:rsidRPr="00EF19C2">
        <w:rPr>
          <w:rFonts w:ascii="Times New Roman" w:hAnsi="Times New Roman" w:cs="Times New Roman"/>
          <w:sz w:val="22"/>
          <w:szCs w:val="22"/>
        </w:rPr>
        <w:t xml:space="preserve">jiného orgánu udělujícího sankce, neaplikuje se ustanovení dle </w:t>
      </w:r>
      <w:r w:rsidR="005471A7" w:rsidRPr="00EF19C2">
        <w:rPr>
          <w:rFonts w:ascii="Times New Roman" w:hAnsi="Times New Roman" w:cs="Times New Roman"/>
          <w:sz w:val="22"/>
          <w:szCs w:val="22"/>
        </w:rPr>
        <w:t xml:space="preserve">Čl. IV. odst. </w:t>
      </w:r>
      <w:r w:rsidRPr="00EF19C2">
        <w:rPr>
          <w:rFonts w:ascii="Times New Roman" w:hAnsi="Times New Roman" w:cs="Times New Roman"/>
          <w:sz w:val="22"/>
          <w:szCs w:val="22"/>
        </w:rPr>
        <w:t xml:space="preserve">4.2 této smlouvy a je příkazce povinen příkazníkovi uhradit celou cenu plnění dle </w:t>
      </w:r>
      <w:r w:rsidR="005471A7" w:rsidRPr="00EF19C2">
        <w:rPr>
          <w:rFonts w:ascii="Times New Roman" w:hAnsi="Times New Roman" w:cs="Times New Roman"/>
          <w:sz w:val="22"/>
          <w:szCs w:val="22"/>
        </w:rPr>
        <w:t xml:space="preserve">Čl. III. odst. </w:t>
      </w:r>
      <w:r w:rsidRPr="00EF19C2">
        <w:rPr>
          <w:rFonts w:ascii="Times New Roman" w:hAnsi="Times New Roman" w:cs="Times New Roman"/>
          <w:sz w:val="22"/>
          <w:szCs w:val="22"/>
        </w:rPr>
        <w:t>3.1 této smlouvy.</w:t>
      </w:r>
    </w:p>
    <w:p w14:paraId="1E187E24" w14:textId="77777777" w:rsidR="00853457" w:rsidRPr="00EF19C2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2CABF675" w14:textId="77777777" w:rsidR="00853457" w:rsidRPr="00EF19C2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>Smluvní strany tímto výslovně ujednávají, že v případě prodlení příkazce s úhradou jakékoliv splatné faktury příkazníka za provedené služby, uhradí příkazce příkazníkovi smluvní pokutu ve výši 0,05 % z fakturované částky, a to za každý započatý den prodlení.</w:t>
      </w:r>
    </w:p>
    <w:p w14:paraId="5C1AB600" w14:textId="77777777" w:rsidR="00853457" w:rsidRPr="00EF19C2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07C5137E" w14:textId="77777777" w:rsidR="00853457" w:rsidRPr="00EF19C2" w:rsidRDefault="00853457" w:rsidP="00EA584D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>V případě udělení finanční sankce Úřadem pro ochranu hospodářské soutěže na základě pochybení prokazatelně zaviněného příkazníkem, jde tato sankce v plné výši k tíži příkazníka. V případě udělení finanční sankce jiným kompetentním orgánem</w:t>
      </w:r>
      <w:r w:rsidR="00F45751" w:rsidRPr="00EF19C2">
        <w:rPr>
          <w:rFonts w:ascii="Times New Roman" w:hAnsi="Times New Roman" w:cs="Times New Roman"/>
          <w:sz w:val="22"/>
          <w:szCs w:val="22"/>
        </w:rPr>
        <w:t xml:space="preserve"> či poskytovatelem dotace,</w:t>
      </w:r>
      <w:r w:rsidRPr="00EF19C2">
        <w:rPr>
          <w:rFonts w:ascii="Times New Roman" w:hAnsi="Times New Roman" w:cs="Times New Roman"/>
          <w:sz w:val="22"/>
          <w:szCs w:val="22"/>
        </w:rPr>
        <w:t xml:space="preserve"> jejíž udělení by přímo souviselo se zadávacím řízením dle této smlouvy na základě prokazatelného pochybení příkazníka, jde tato sankce v plné výši k tíži příkazníka.</w:t>
      </w:r>
      <w:r w:rsidR="005E051E" w:rsidRPr="00EF19C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E89750F" w14:textId="77777777" w:rsidR="00853457" w:rsidRPr="00EF19C2" w:rsidRDefault="00853457" w:rsidP="00EA584D">
      <w:pPr>
        <w:pStyle w:val="Odstavecseseznamem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</w:p>
    <w:p w14:paraId="6A5C8156" w14:textId="7C3EFE79" w:rsidR="00E2067E" w:rsidRDefault="00853457" w:rsidP="00E2067E">
      <w:pPr>
        <w:pStyle w:val="Odstavecseseznamem"/>
        <w:numPr>
          <w:ilvl w:val="1"/>
          <w:numId w:val="8"/>
        </w:numPr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 xml:space="preserve">Příkazník čestně prohlašuje, že v době podepsání této příkazní smlouvy má uzavřenou platnou pojistnou smlouvu o pojištění profesní odpovědnosti za škodu č. </w:t>
      </w:r>
      <w:r w:rsidR="005E6A99" w:rsidRPr="00EF19C2">
        <w:rPr>
          <w:rFonts w:ascii="Times New Roman" w:hAnsi="Times New Roman" w:cs="Times New Roman"/>
          <w:sz w:val="22"/>
          <w:szCs w:val="22"/>
        </w:rPr>
        <w:t>2904309313, resp. smlouvu o připojištění č.</w:t>
      </w:r>
      <w:r w:rsidR="00357EA7" w:rsidRPr="00EF19C2">
        <w:rPr>
          <w:rFonts w:ascii="Times New Roman" w:hAnsi="Times New Roman" w:cs="Times New Roman"/>
          <w:sz w:val="22"/>
          <w:szCs w:val="22"/>
        </w:rPr>
        <w:t> </w:t>
      </w:r>
      <w:r w:rsidR="005E6A99" w:rsidRPr="00EF19C2">
        <w:rPr>
          <w:rFonts w:ascii="Times New Roman" w:hAnsi="Times New Roman" w:cs="Times New Roman"/>
          <w:sz w:val="22"/>
          <w:szCs w:val="22"/>
        </w:rPr>
        <w:t>2963881053</w:t>
      </w:r>
      <w:r w:rsidR="009C588B" w:rsidRPr="00EF19C2">
        <w:rPr>
          <w:rFonts w:ascii="Times New Roman" w:hAnsi="Times New Roman" w:cs="Times New Roman"/>
          <w:sz w:val="22"/>
          <w:szCs w:val="22"/>
        </w:rPr>
        <w:t xml:space="preserve"> 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u společnosti </w:t>
      </w:r>
      <w:r w:rsidR="005E6A99" w:rsidRPr="00EF19C2">
        <w:rPr>
          <w:rFonts w:ascii="Times New Roman" w:hAnsi="Times New Roman" w:cs="Times New Roman"/>
          <w:sz w:val="22"/>
          <w:szCs w:val="22"/>
        </w:rPr>
        <w:t>Generali Pojišťovna a.s. pojistné smlouvy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 výše uveden</w:t>
      </w:r>
      <w:r w:rsidR="005E6A99" w:rsidRPr="00EF19C2">
        <w:rPr>
          <w:rFonts w:ascii="Times New Roman" w:hAnsi="Times New Roman" w:cs="Times New Roman"/>
          <w:sz w:val="22"/>
          <w:szCs w:val="22"/>
        </w:rPr>
        <w:t>ých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 čís</w:t>
      </w:r>
      <w:r w:rsidR="005E6A99" w:rsidRPr="00EF19C2">
        <w:rPr>
          <w:rFonts w:ascii="Times New Roman" w:hAnsi="Times New Roman" w:cs="Times New Roman"/>
          <w:sz w:val="22"/>
          <w:szCs w:val="22"/>
        </w:rPr>
        <w:t>el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 je uzavřena na</w:t>
      </w:r>
      <w:r w:rsidR="00357EA7" w:rsidRPr="00EF19C2">
        <w:rPr>
          <w:rFonts w:ascii="Times New Roman" w:hAnsi="Times New Roman" w:cs="Times New Roman"/>
          <w:sz w:val="22"/>
          <w:szCs w:val="22"/>
        </w:rPr>
        <w:t> 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pojistnou částku </w:t>
      </w:r>
      <w:r w:rsidR="005E6A99" w:rsidRPr="00EF19C2">
        <w:rPr>
          <w:rFonts w:ascii="Times New Roman" w:hAnsi="Times New Roman" w:cs="Times New Roman"/>
          <w:sz w:val="22"/>
          <w:szCs w:val="22"/>
        </w:rPr>
        <w:t>52 000 000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 Kč (slovy: </w:t>
      </w:r>
      <w:r w:rsidR="005E6A99" w:rsidRPr="00EF19C2">
        <w:rPr>
          <w:rFonts w:ascii="Times New Roman" w:hAnsi="Times New Roman" w:cs="Times New Roman"/>
          <w:sz w:val="22"/>
          <w:szCs w:val="22"/>
        </w:rPr>
        <w:t>padesát dva milionů</w:t>
      </w:r>
      <w:r w:rsidR="00E2067E" w:rsidRPr="00EF19C2">
        <w:rPr>
          <w:rFonts w:ascii="Times New Roman" w:hAnsi="Times New Roman" w:cs="Times New Roman"/>
          <w:sz w:val="22"/>
          <w:szCs w:val="22"/>
        </w:rPr>
        <w:t xml:space="preserve"> korun českých). Příkazník čestně prohlašuje, že bude pojištěn po celou dobu trvání zadávacího řízení.</w:t>
      </w:r>
    </w:p>
    <w:p w14:paraId="32F104C2" w14:textId="77777777" w:rsidR="00EF19C2" w:rsidRPr="00EF19C2" w:rsidRDefault="00EF19C2" w:rsidP="00EF19C2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24357C5F" w14:textId="77777777" w:rsidR="00EF19C2" w:rsidRDefault="00EF19C2" w:rsidP="00EF19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6A0D143" w14:textId="77777777" w:rsidR="00EF19C2" w:rsidRPr="00EF19C2" w:rsidRDefault="00EF19C2" w:rsidP="00EF19C2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9DAA59E" w14:textId="77777777" w:rsidR="00853457" w:rsidRPr="00EF19C2" w:rsidRDefault="00853457" w:rsidP="00E2067E">
      <w:pPr>
        <w:pStyle w:val="Odstavecseseznamem"/>
        <w:ind w:left="567"/>
        <w:jc w:val="both"/>
        <w:rPr>
          <w:rFonts w:ascii="Times New Roman" w:hAnsi="Times New Roman" w:cs="Times New Roman"/>
          <w:sz w:val="22"/>
          <w:szCs w:val="22"/>
        </w:rPr>
      </w:pPr>
    </w:p>
    <w:p w14:paraId="52AE461D" w14:textId="77777777" w:rsidR="00853457" w:rsidRPr="008C6CA1" w:rsidRDefault="00853457" w:rsidP="00555B6C">
      <w:pPr>
        <w:pStyle w:val="Odstavecseseznamem"/>
        <w:numPr>
          <w:ilvl w:val="0"/>
          <w:numId w:val="2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C6CA1">
        <w:rPr>
          <w:rFonts w:ascii="Times New Roman" w:hAnsi="Times New Roman" w:cs="Times New Roman"/>
          <w:b/>
          <w:sz w:val="22"/>
          <w:szCs w:val="22"/>
        </w:rPr>
        <w:lastRenderedPageBreak/>
        <w:t>Závěrečná ustanovení</w:t>
      </w:r>
    </w:p>
    <w:p w14:paraId="02C49BF5" w14:textId="77777777" w:rsidR="00F45751" w:rsidRPr="008C6CA1" w:rsidRDefault="00F45751" w:rsidP="000152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02F0B4" w14:textId="77777777" w:rsidR="007267A4" w:rsidRPr="00EF19C2" w:rsidRDefault="007267A4" w:rsidP="002E50A0">
      <w:pPr>
        <w:jc w:val="both"/>
        <w:rPr>
          <w:rFonts w:ascii="Times New Roman" w:hAnsi="Times New Roman" w:cs="Times New Roman"/>
          <w:vanish/>
          <w:sz w:val="22"/>
          <w:szCs w:val="22"/>
        </w:rPr>
      </w:pPr>
    </w:p>
    <w:p w14:paraId="68B55A93" w14:textId="75BDCB22" w:rsidR="002E50A0" w:rsidRPr="00EF19C2" w:rsidRDefault="006330CE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/>
          <w:sz w:val="22"/>
          <w:szCs w:val="22"/>
        </w:rPr>
        <w:t xml:space="preserve">Tato smlouva nabývá platnosti dnem připojení podpisu obou smluvních stran a účinnosti okamžikem zveřejnění v registru smluv podle zákona č. 340/2015 Sb., zvláštních podmínkách účinnost některých smluv, uveřejňování těchto smluv a o registru smluv (zákon o registru smluv), ve znění pozdějších předpisů, je-li tímto zákonem zveřejnění smlouvy vyžadováno, jinak dnem podpisu smluvních stran. Zveřejnění smlouvy v registru zajistí </w:t>
      </w:r>
      <w:r w:rsidR="00BB1152" w:rsidRPr="00EF19C2">
        <w:rPr>
          <w:rFonts w:ascii="Times New Roman" w:hAnsi="Times New Roman"/>
          <w:sz w:val="22"/>
          <w:szCs w:val="22"/>
        </w:rPr>
        <w:t>příkazce</w:t>
      </w:r>
      <w:r w:rsidRPr="00EF19C2">
        <w:rPr>
          <w:rFonts w:ascii="Times New Roman" w:hAnsi="Times New Roman"/>
          <w:sz w:val="22"/>
          <w:szCs w:val="22"/>
        </w:rPr>
        <w:t>. Smluvní strany prohlašují, že výslovně souhlasí se zveřejněním smlouvy v plném rozsahu.</w:t>
      </w:r>
      <w:r w:rsidR="006C687B" w:rsidRPr="00EF19C2">
        <w:rPr>
          <w:rFonts w:ascii="Times New Roman" w:hAnsi="Times New Roman"/>
          <w:sz w:val="22"/>
          <w:szCs w:val="22"/>
        </w:rPr>
        <w:t xml:space="preserve"> </w:t>
      </w:r>
      <w:r w:rsidR="006C687B" w:rsidRPr="00EF19C2">
        <w:rPr>
          <w:rFonts w:ascii="Times New Roman" w:hAnsi="Times New Roman" w:cs="Times New Roman"/>
          <w:sz w:val="22"/>
          <w:szCs w:val="22"/>
        </w:rPr>
        <w:t>Tato smlouva se uzavírá na dobu určitou, do splnění všech závazků vyplývajících z této smlouvy.</w:t>
      </w:r>
    </w:p>
    <w:p w14:paraId="69CBA055" w14:textId="77777777" w:rsidR="002E50A0" w:rsidRPr="00EF19C2" w:rsidRDefault="002E50A0" w:rsidP="002E50A0">
      <w:pPr>
        <w:pStyle w:val="Odstavecseseznamem"/>
        <w:overflowPunct w:val="0"/>
        <w:autoSpaceDE w:val="0"/>
        <w:autoSpaceDN w:val="0"/>
        <w:adjustRightInd w:val="0"/>
        <w:ind w:left="567"/>
        <w:jc w:val="both"/>
        <w:textAlignment w:val="baseline"/>
        <w:rPr>
          <w:rFonts w:ascii="Times New Roman" w:hAnsi="Times New Roman"/>
          <w:sz w:val="22"/>
          <w:szCs w:val="22"/>
        </w:rPr>
      </w:pPr>
    </w:p>
    <w:p w14:paraId="7C66657A" w14:textId="77777777" w:rsidR="002E50A0" w:rsidRPr="00EF19C2" w:rsidRDefault="005471A7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Příkazník je podle § 2 písm. e) zákona č. 320/2001 Sb., o finanční kontrole ve veřejné správě, ve znění pozdějších předpisů, osobou povinnou spolupůsobit při výkonu finanční kontroly, a to v případě, že taková povinnost podle tohoto zákona vznikne. </w:t>
      </w:r>
    </w:p>
    <w:p w14:paraId="7F4FF9AB" w14:textId="77777777" w:rsidR="002E50A0" w:rsidRPr="00EF19C2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</w:pPr>
    </w:p>
    <w:p w14:paraId="4D0D98DB" w14:textId="77777777" w:rsidR="002E50A0" w:rsidRPr="00EF19C2" w:rsidRDefault="007267A4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Účastníci této smlouvy se zavazují řešit všechny spory, které by v budoucnu mohly vzni</w:t>
      </w:r>
      <w:r w:rsidR="006A2989"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knout z plnění</w:t>
      </w:r>
      <w:r w:rsidR="006A2989"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br/>
      </w:r>
      <w:r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na základě</w:t>
      </w:r>
      <w:r w:rsidR="006A2989"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</w:t>
      </w:r>
      <w:r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>této</w:t>
      </w:r>
      <w:r w:rsidR="006A2989"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</w:t>
      </w:r>
      <w:r w:rsidRPr="00EF19C2">
        <w:rPr>
          <w:rFonts w:ascii="Times New Roman" w:hAnsi="Times New Roman" w:cs="Times New Roman"/>
          <w:color w:val="000000"/>
          <w:spacing w:val="-5"/>
          <w:w w:val="105"/>
          <w:sz w:val="22"/>
          <w:szCs w:val="22"/>
        </w:rPr>
        <w:t>smlouvy, zásadně smírnou cestou.</w:t>
      </w:r>
    </w:p>
    <w:p w14:paraId="1DADF36F" w14:textId="77777777" w:rsidR="002E50A0" w:rsidRPr="00EF19C2" w:rsidRDefault="002E50A0" w:rsidP="002E50A0">
      <w:pPr>
        <w:pStyle w:val="Odstavecseseznamem"/>
        <w:rPr>
          <w:rFonts w:ascii="Times New Roman" w:hAnsi="Times New Roman" w:cs="Times New Roman"/>
          <w:sz w:val="22"/>
          <w:szCs w:val="22"/>
        </w:rPr>
      </w:pPr>
    </w:p>
    <w:p w14:paraId="3AEADF3A" w14:textId="77777777" w:rsidR="002E50A0" w:rsidRPr="00EF19C2" w:rsidRDefault="007267A4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sz w:val="22"/>
          <w:szCs w:val="22"/>
        </w:rPr>
        <w:t xml:space="preserve">Účastníci této smlouvy </w:t>
      </w:r>
      <w:r w:rsidRPr="00EF19C2">
        <w:rPr>
          <w:rFonts w:ascii="Times New Roman" w:hAnsi="Times New Roman" w:cs="Times New Roman"/>
          <w:color w:val="000000"/>
          <w:spacing w:val="1"/>
          <w:w w:val="105"/>
          <w:sz w:val="22"/>
          <w:szCs w:val="22"/>
        </w:rPr>
        <w:t xml:space="preserve">prohlašují, že neplatnost některého ujednání této smlouvy nezakládá neplatnost ostatních ujednání či této smlouvy jako celku. </w:t>
      </w:r>
      <w:r w:rsidRPr="00EF19C2">
        <w:rPr>
          <w:rFonts w:ascii="Times New Roman" w:hAnsi="Times New Roman" w:cs="Times New Roman"/>
          <w:color w:val="000000"/>
          <w:w w:val="105"/>
          <w:sz w:val="22"/>
          <w:szCs w:val="22"/>
        </w:rPr>
        <w:t>Pro tento případ se obě smluvní strany bez výhrad zavazují, že neplatné</w:t>
      </w:r>
      <w:r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 ustanovení bude upraveno do rozsahu nezb</w:t>
      </w:r>
      <w:r w:rsidR="006A2989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ytného k odstranění neplatnosti</w:t>
      </w:r>
      <w:r w:rsidR="006A2989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br/>
      </w:r>
      <w:r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či bude vymazáno a nahrazeno </w:t>
      </w:r>
      <w:r w:rsidRPr="00EF19C2">
        <w:rPr>
          <w:rFonts w:ascii="Times New Roman" w:hAnsi="Times New Roman" w:cs="Times New Roman"/>
          <w:color w:val="000000"/>
          <w:spacing w:val="-2"/>
          <w:w w:val="105"/>
          <w:sz w:val="22"/>
          <w:szCs w:val="22"/>
        </w:rPr>
        <w:t>ustanovením novým, aby účel a cíl této smlouvy mohl být řádně prováděn a aby platnost a účinnost této smlouvy</w:t>
      </w:r>
      <w:r w:rsidRPr="00EF19C2">
        <w:rPr>
          <w:rFonts w:ascii="Times New Roman" w:hAnsi="Times New Roman" w:cs="Times New Roman"/>
          <w:color w:val="000000"/>
          <w:spacing w:val="-4"/>
          <w:w w:val="105"/>
          <w:sz w:val="22"/>
          <w:szCs w:val="22"/>
        </w:rPr>
        <w:t xml:space="preserve"> nebyla tímto nijak dotčena.</w:t>
      </w:r>
    </w:p>
    <w:p w14:paraId="5F8297CC" w14:textId="77777777" w:rsidR="002E50A0" w:rsidRPr="00EF19C2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</w:pPr>
    </w:p>
    <w:p w14:paraId="1AFF6A9F" w14:textId="77777777" w:rsidR="002E50A0" w:rsidRPr="00EF19C2" w:rsidRDefault="007267A4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Odstoupení od smlouvy se řídí obecnými ustanoveními zákona č. 89/2012 Sb., občanský zákoník, v</w:t>
      </w:r>
      <w:r w:rsidR="00C70BD8" w:rsidRPr="00EF19C2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 </w:t>
      </w:r>
      <w:r w:rsidRPr="00EF19C2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platném znění.</w:t>
      </w:r>
    </w:p>
    <w:p w14:paraId="53AA093D" w14:textId="77777777" w:rsidR="002E50A0" w:rsidRPr="00EF19C2" w:rsidRDefault="002E50A0" w:rsidP="002E50A0">
      <w:pPr>
        <w:pStyle w:val="Odstavecseseznamem"/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</w:pPr>
    </w:p>
    <w:p w14:paraId="47BD24BA" w14:textId="6D863B20" w:rsidR="0071559C" w:rsidRPr="00EF19C2" w:rsidRDefault="006A2989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Uzavření této smlouvy bylo schváleno radou města dne </w:t>
      </w:r>
      <w:r w:rsidR="00BB174F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19</w:t>
      </w:r>
      <w:r w:rsidR="00A80E6C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. </w:t>
      </w:r>
      <w:r w:rsidR="00EF19C2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7</w:t>
      </w:r>
      <w:r w:rsidR="00A80E6C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. 2023</w:t>
      </w:r>
      <w:r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 xml:space="preserve"> usnesením č. </w:t>
      </w:r>
      <w:r w:rsidR="00DD6CFA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440</w:t>
      </w:r>
      <w:r w:rsidR="002E50A0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/23</w:t>
      </w:r>
      <w:r w:rsidR="007267A4" w:rsidRPr="00EF19C2">
        <w:rPr>
          <w:rFonts w:ascii="Times New Roman" w:hAnsi="Times New Roman" w:cs="Times New Roman"/>
          <w:color w:val="000000"/>
          <w:spacing w:val="2"/>
          <w:w w:val="105"/>
          <w:sz w:val="22"/>
          <w:szCs w:val="22"/>
        </w:rPr>
        <w:t>.</w:t>
      </w:r>
    </w:p>
    <w:p w14:paraId="3E36DA26" w14:textId="77777777" w:rsidR="0071559C" w:rsidRPr="00EF19C2" w:rsidRDefault="0071559C" w:rsidP="0071559C">
      <w:pPr>
        <w:pStyle w:val="Odstavecseseznamem"/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</w:pPr>
    </w:p>
    <w:p w14:paraId="035182B7" w14:textId="77777777" w:rsidR="0071559C" w:rsidRPr="00EF19C2" w:rsidRDefault="0071559C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Tato smlouva je vyhotovena a podepsána v elektronické podobě. Smluvní strany se dohodly, že k podpisu smlouvy bude použit kvalifikovaný elektronický podpis, který bude obsahovat otisk kvalifikovaného časového razítka, obojí ve smyslu Nařízení Evropského parlamentu a Rady (EU) č. 910/2014 (eIDAS).</w:t>
      </w:r>
    </w:p>
    <w:p w14:paraId="69105875" w14:textId="77777777" w:rsidR="0071559C" w:rsidRPr="00EF19C2" w:rsidRDefault="0071559C" w:rsidP="0071559C">
      <w:pPr>
        <w:pStyle w:val="Odstavecseseznamem"/>
        <w:rPr>
          <w:rFonts w:ascii="Times New Roman" w:hAnsi="Times New Roman" w:cs="Times New Roman"/>
          <w:color w:val="000000"/>
          <w:w w:val="105"/>
          <w:sz w:val="22"/>
          <w:szCs w:val="22"/>
        </w:rPr>
      </w:pPr>
    </w:p>
    <w:p w14:paraId="04391B4E" w14:textId="0211E381" w:rsidR="007267A4" w:rsidRPr="00EF19C2" w:rsidRDefault="007267A4" w:rsidP="00555B6C">
      <w:pPr>
        <w:pStyle w:val="Odstavecseseznamem"/>
        <w:numPr>
          <w:ilvl w:val="1"/>
          <w:numId w:val="20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="Times New Roman" w:hAnsi="Times New Roman"/>
          <w:sz w:val="22"/>
          <w:szCs w:val="22"/>
        </w:rPr>
      </w:pPr>
      <w:r w:rsidRPr="00EF19C2">
        <w:rPr>
          <w:rFonts w:ascii="Times New Roman" w:hAnsi="Times New Roman" w:cs="Times New Roman"/>
          <w:color w:val="000000"/>
          <w:w w:val="105"/>
          <w:sz w:val="22"/>
          <w:szCs w:val="22"/>
        </w:rPr>
        <w:t xml:space="preserve">Účastníci této smlouvy prohlašují, že si smlouvu přečetli, s jejím obsahem souhlasí, tato je důkazem jejich pravé a </w:t>
      </w:r>
      <w:r w:rsidRPr="00EF19C2">
        <w:rPr>
          <w:rFonts w:ascii="Times New Roman" w:hAnsi="Times New Roman" w:cs="Times New Roman"/>
          <w:color w:val="000000"/>
          <w:spacing w:val="-3"/>
          <w:w w:val="105"/>
          <w:sz w:val="22"/>
          <w:szCs w:val="22"/>
        </w:rPr>
        <w:t>svobodné vůle a na důkaz toho připojují své vlastnoruční podpisy.</w:t>
      </w:r>
    </w:p>
    <w:p w14:paraId="1DD93DD4" w14:textId="77777777" w:rsidR="007267A4" w:rsidRPr="00EF19C2" w:rsidRDefault="007267A4" w:rsidP="0001520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B7FD01D" w14:textId="77777777" w:rsidR="007267A4" w:rsidRPr="008C6CA1" w:rsidRDefault="007267A4" w:rsidP="002E50A0">
      <w:pPr>
        <w:pStyle w:val="Odstavecseseznamem"/>
        <w:ind w:left="360"/>
        <w:jc w:val="both"/>
        <w:rPr>
          <w:rFonts w:ascii="Times New Roman" w:hAnsi="Times New Roman" w:cs="Times New Roman"/>
          <w:b/>
          <w:vanish/>
          <w:sz w:val="22"/>
          <w:szCs w:val="22"/>
        </w:rPr>
      </w:pPr>
    </w:p>
    <w:p w14:paraId="215FC779" w14:textId="77777777" w:rsidR="00853457" w:rsidRPr="008C6CA1" w:rsidRDefault="00853457" w:rsidP="00EA584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27425D3" w14:textId="2DDDF83C" w:rsidR="006A2989" w:rsidRPr="008C6CA1" w:rsidRDefault="006A2989" w:rsidP="006A2989">
      <w:pPr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>V</w:t>
      </w:r>
      <w:r w:rsidR="00851F04">
        <w:rPr>
          <w:rFonts w:ascii="Times New Roman" w:hAnsi="Times New Roman"/>
          <w:sz w:val="22"/>
          <w:szCs w:val="22"/>
        </w:rPr>
        <w:t> </w:t>
      </w:r>
      <w:r w:rsidRPr="008C6CA1">
        <w:rPr>
          <w:rFonts w:ascii="Times New Roman" w:hAnsi="Times New Roman"/>
          <w:sz w:val="22"/>
          <w:szCs w:val="22"/>
        </w:rPr>
        <w:t>Rakovníku</w:t>
      </w:r>
      <w:r w:rsidR="00851F04">
        <w:rPr>
          <w:rFonts w:ascii="Times New Roman" w:hAnsi="Times New Roman"/>
          <w:sz w:val="22"/>
          <w:szCs w:val="22"/>
        </w:rPr>
        <w:t xml:space="preserve"> dne 28. 7. 2023</w:t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="004F133E" w:rsidRPr="008C6CA1">
        <w:rPr>
          <w:rFonts w:ascii="Times New Roman" w:hAnsi="Times New Roman"/>
          <w:sz w:val="22"/>
          <w:szCs w:val="22"/>
        </w:rPr>
        <w:tab/>
      </w:r>
      <w:r w:rsidRPr="008C6CA1">
        <w:rPr>
          <w:rFonts w:ascii="Times New Roman" w:hAnsi="Times New Roman"/>
          <w:sz w:val="22"/>
          <w:szCs w:val="22"/>
        </w:rPr>
        <w:t>V</w:t>
      </w:r>
      <w:r w:rsidR="00851F04">
        <w:rPr>
          <w:rFonts w:ascii="Times New Roman" w:hAnsi="Times New Roman"/>
          <w:sz w:val="22"/>
          <w:szCs w:val="22"/>
        </w:rPr>
        <w:t> </w:t>
      </w:r>
      <w:r w:rsidR="006C687B">
        <w:rPr>
          <w:rFonts w:ascii="Times New Roman" w:hAnsi="Times New Roman"/>
          <w:sz w:val="22"/>
          <w:szCs w:val="22"/>
        </w:rPr>
        <w:t>Rakovníku</w:t>
      </w:r>
      <w:r w:rsidR="00851F04">
        <w:rPr>
          <w:rFonts w:ascii="Times New Roman" w:hAnsi="Times New Roman"/>
          <w:sz w:val="22"/>
          <w:szCs w:val="22"/>
        </w:rPr>
        <w:t xml:space="preserve"> dne 27. 7. 2023</w:t>
      </w:r>
    </w:p>
    <w:p w14:paraId="26C35B54" w14:textId="502870F4" w:rsidR="006A2989" w:rsidRPr="008C6CA1" w:rsidRDefault="006A2989" w:rsidP="006A2989">
      <w:pPr>
        <w:rPr>
          <w:rFonts w:ascii="Times New Roman" w:hAnsi="Times New Roman"/>
          <w:sz w:val="22"/>
          <w:szCs w:val="22"/>
        </w:rPr>
      </w:pPr>
    </w:p>
    <w:p w14:paraId="3A821456" w14:textId="2B52FCF6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29BF3B6A" w14:textId="28572761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328E6DDC" w14:textId="1D195E8D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714D0197" w14:textId="77777777" w:rsidR="002E3A7E" w:rsidRPr="008C6CA1" w:rsidRDefault="002E3A7E" w:rsidP="006A2989">
      <w:pPr>
        <w:rPr>
          <w:rFonts w:ascii="Times New Roman" w:hAnsi="Times New Roman"/>
          <w:sz w:val="22"/>
          <w:szCs w:val="22"/>
        </w:rPr>
      </w:pPr>
    </w:p>
    <w:p w14:paraId="2F936D26" w14:textId="77777777" w:rsidR="006A2989" w:rsidRPr="008C6CA1" w:rsidRDefault="004F133E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 xml:space="preserve">…………………………………. </w:t>
      </w:r>
      <w:r w:rsidRPr="008C6CA1">
        <w:rPr>
          <w:rFonts w:ascii="Times New Roman" w:hAnsi="Times New Roman"/>
          <w:sz w:val="22"/>
          <w:szCs w:val="22"/>
        </w:rPr>
        <w:tab/>
      </w:r>
      <w:r w:rsidR="006A2989" w:rsidRPr="008C6CA1">
        <w:rPr>
          <w:rFonts w:ascii="Times New Roman" w:hAnsi="Times New Roman"/>
          <w:sz w:val="22"/>
          <w:szCs w:val="22"/>
        </w:rPr>
        <w:t>…………………………………….</w:t>
      </w:r>
    </w:p>
    <w:p w14:paraId="45CF1728" w14:textId="77777777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příkazce</w:t>
      </w:r>
      <w:r w:rsidRPr="008C6CA1">
        <w:rPr>
          <w:rFonts w:ascii="Times New Roman" w:hAnsi="Times New Roman"/>
          <w:sz w:val="22"/>
          <w:szCs w:val="22"/>
        </w:rPr>
        <w:tab/>
        <w:t>příkazník</w:t>
      </w:r>
    </w:p>
    <w:p w14:paraId="34B836E5" w14:textId="17DACF06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Město Rakovník</w:t>
      </w:r>
      <w:r w:rsidRPr="008C6CA1">
        <w:rPr>
          <w:rFonts w:ascii="Times New Roman" w:hAnsi="Times New Roman"/>
          <w:sz w:val="22"/>
          <w:szCs w:val="22"/>
        </w:rPr>
        <w:tab/>
      </w:r>
      <w:r w:rsidR="006C687B">
        <w:rPr>
          <w:rFonts w:ascii="Times New Roman" w:hAnsi="Times New Roman" w:cs="Times New Roman"/>
          <w:sz w:val="22"/>
          <w:szCs w:val="22"/>
        </w:rPr>
        <w:t>Jaroslav Kodeš</w:t>
      </w:r>
    </w:p>
    <w:p w14:paraId="1A1EAF1C" w14:textId="4ECA4976" w:rsidR="006A2989" w:rsidRPr="008C6CA1" w:rsidRDefault="006A2989" w:rsidP="006A2989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</w:r>
      <w:r w:rsidRPr="008C6CA1">
        <w:rPr>
          <w:rFonts w:ascii="Times New Roman" w:hAnsi="Times New Roman" w:cs="Times New Roman"/>
          <w:sz w:val="22"/>
          <w:szCs w:val="22"/>
        </w:rPr>
        <w:t>PaedDr. Luděk Štíbr</w:t>
      </w:r>
      <w:r w:rsidRPr="008C6CA1">
        <w:rPr>
          <w:rFonts w:ascii="Times New Roman" w:hAnsi="Times New Roman"/>
          <w:sz w:val="22"/>
          <w:szCs w:val="22"/>
        </w:rPr>
        <w:tab/>
      </w:r>
      <w:r w:rsidR="006C687B">
        <w:rPr>
          <w:rFonts w:ascii="Times New Roman" w:hAnsi="Times New Roman" w:cs="Times New Roman"/>
          <w:sz w:val="22"/>
          <w:szCs w:val="22"/>
        </w:rPr>
        <w:t>TDS</w:t>
      </w:r>
    </w:p>
    <w:p w14:paraId="45EF6925" w14:textId="61B97E3D" w:rsidR="00114F68" w:rsidRPr="008C6CA1" w:rsidRDefault="006A2989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  <w:r w:rsidRPr="008C6CA1">
        <w:rPr>
          <w:rFonts w:ascii="Times New Roman" w:hAnsi="Times New Roman"/>
          <w:sz w:val="22"/>
          <w:szCs w:val="22"/>
        </w:rPr>
        <w:tab/>
        <w:t>starosta</w:t>
      </w:r>
      <w:r w:rsidRPr="008C6CA1">
        <w:rPr>
          <w:rFonts w:ascii="Times New Roman" w:hAnsi="Times New Roman"/>
          <w:sz w:val="22"/>
          <w:szCs w:val="22"/>
        </w:rPr>
        <w:tab/>
      </w:r>
    </w:p>
    <w:p w14:paraId="242CCCB1" w14:textId="65B576AB" w:rsidR="00C70BD8" w:rsidRPr="008C6CA1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7D966C30" w14:textId="0EC16720" w:rsidR="00C70BD8" w:rsidRPr="008C6CA1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p w14:paraId="2C9DE981" w14:textId="4113BA27" w:rsidR="00C70BD8" w:rsidRDefault="00C70BD8" w:rsidP="00576B93">
      <w:pPr>
        <w:tabs>
          <w:tab w:val="center" w:pos="1560"/>
          <w:tab w:val="center" w:pos="6804"/>
        </w:tabs>
        <w:rPr>
          <w:rFonts w:ascii="Times New Roman" w:hAnsi="Times New Roman"/>
          <w:sz w:val="22"/>
          <w:szCs w:val="22"/>
        </w:rPr>
      </w:pPr>
    </w:p>
    <w:sectPr w:rsidR="00C70BD8" w:rsidSect="0009564E">
      <w:headerReference w:type="default" r:id="rId8"/>
      <w:footerReference w:type="default" r:id="rId9"/>
      <w:pgSz w:w="11906" w:h="16838"/>
      <w:pgMar w:top="567" w:right="748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8DEE" w14:textId="77777777" w:rsidR="00A77927" w:rsidRDefault="00A77927">
      <w:r>
        <w:separator/>
      </w:r>
    </w:p>
  </w:endnote>
  <w:endnote w:type="continuationSeparator" w:id="0">
    <w:p w14:paraId="5191EDE2" w14:textId="77777777" w:rsidR="00A77927" w:rsidRDefault="00A7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936E" w14:textId="77777777" w:rsidR="00434812" w:rsidRPr="00434812" w:rsidRDefault="00434812" w:rsidP="00434812">
    <w:pPr>
      <w:pStyle w:val="Zpat"/>
      <w:pBdr>
        <w:top w:val="single" w:sz="4" w:space="4" w:color="auto"/>
      </w:pBdr>
      <w:ind w:left="720"/>
      <w:jc w:val="right"/>
      <w:rPr>
        <w:rFonts w:ascii="Times New Roman" w:hAnsi="Times New Roman" w:cs="Times New Roman"/>
        <w:sz w:val="22"/>
        <w:szCs w:val="22"/>
      </w:rPr>
    </w:pPr>
    <w:r w:rsidRPr="00434812">
      <w:rPr>
        <w:rFonts w:ascii="Times New Roman" w:hAnsi="Times New Roman" w:cs="Times New Roman"/>
        <w:sz w:val="22"/>
        <w:szCs w:val="22"/>
      </w:rPr>
      <w:t xml:space="preserve">Stránka </w:t>
    </w:r>
    <w:r w:rsidRPr="00434812">
      <w:rPr>
        <w:rFonts w:ascii="Times New Roman" w:hAnsi="Times New Roman" w:cs="Times New Roman"/>
        <w:sz w:val="22"/>
        <w:szCs w:val="22"/>
      </w:rPr>
      <w:fldChar w:fldCharType="begin"/>
    </w:r>
    <w:r w:rsidRPr="00434812">
      <w:rPr>
        <w:rFonts w:ascii="Times New Roman" w:hAnsi="Times New Roman" w:cs="Times New Roman"/>
        <w:sz w:val="22"/>
        <w:szCs w:val="22"/>
      </w:rPr>
      <w:instrText>PAGE</w:instrText>
    </w:r>
    <w:r w:rsidRPr="00434812">
      <w:rPr>
        <w:rFonts w:ascii="Times New Roman" w:hAnsi="Times New Roman" w:cs="Times New Roman"/>
        <w:sz w:val="22"/>
        <w:szCs w:val="22"/>
      </w:rPr>
      <w:fldChar w:fldCharType="separate"/>
    </w:r>
    <w:r w:rsidRPr="00434812">
      <w:rPr>
        <w:rFonts w:ascii="Times New Roman" w:hAnsi="Times New Roman" w:cs="Times New Roman"/>
        <w:sz w:val="22"/>
        <w:szCs w:val="22"/>
      </w:rPr>
      <w:t>1</w:t>
    </w:r>
    <w:r w:rsidRPr="00434812">
      <w:rPr>
        <w:rFonts w:ascii="Times New Roman" w:hAnsi="Times New Roman" w:cs="Times New Roman"/>
        <w:sz w:val="22"/>
        <w:szCs w:val="22"/>
      </w:rPr>
      <w:fldChar w:fldCharType="end"/>
    </w:r>
    <w:r w:rsidRPr="00434812">
      <w:rPr>
        <w:rFonts w:ascii="Times New Roman" w:hAnsi="Times New Roman" w:cs="Times New Roman"/>
        <w:sz w:val="22"/>
        <w:szCs w:val="22"/>
      </w:rPr>
      <w:t xml:space="preserve"> z </w:t>
    </w:r>
    <w:r w:rsidRPr="00434812">
      <w:rPr>
        <w:rFonts w:ascii="Times New Roman" w:hAnsi="Times New Roman" w:cs="Times New Roman"/>
        <w:sz w:val="22"/>
        <w:szCs w:val="22"/>
      </w:rPr>
      <w:fldChar w:fldCharType="begin"/>
    </w:r>
    <w:r w:rsidRPr="00434812">
      <w:rPr>
        <w:rFonts w:ascii="Times New Roman" w:hAnsi="Times New Roman" w:cs="Times New Roman"/>
        <w:sz w:val="22"/>
        <w:szCs w:val="22"/>
      </w:rPr>
      <w:instrText>NUMPAGES</w:instrText>
    </w:r>
    <w:r w:rsidRPr="00434812">
      <w:rPr>
        <w:rFonts w:ascii="Times New Roman" w:hAnsi="Times New Roman" w:cs="Times New Roman"/>
        <w:sz w:val="22"/>
        <w:szCs w:val="22"/>
      </w:rPr>
      <w:fldChar w:fldCharType="separate"/>
    </w:r>
    <w:r w:rsidRPr="00434812">
      <w:rPr>
        <w:rFonts w:ascii="Times New Roman" w:hAnsi="Times New Roman" w:cs="Times New Roman"/>
        <w:sz w:val="22"/>
        <w:szCs w:val="22"/>
      </w:rPr>
      <w:t>5</w:t>
    </w:r>
    <w:r w:rsidRPr="00434812">
      <w:rPr>
        <w:rFonts w:ascii="Times New Roman" w:hAnsi="Times New Roman" w:cs="Times New Roman"/>
        <w:sz w:val="22"/>
        <w:szCs w:val="22"/>
      </w:rPr>
      <w:fldChar w:fldCharType="end"/>
    </w:r>
  </w:p>
  <w:p w14:paraId="5F974C34" w14:textId="77777777" w:rsidR="00434812" w:rsidRDefault="0043481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19C0B" w14:textId="77777777" w:rsidR="00A77927" w:rsidRDefault="00A77927">
      <w:r>
        <w:separator/>
      </w:r>
    </w:p>
  </w:footnote>
  <w:footnote w:type="continuationSeparator" w:id="0">
    <w:p w14:paraId="2EA94F7E" w14:textId="77777777" w:rsidR="00A77927" w:rsidRDefault="00A7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F71B" w14:textId="7704D6DF" w:rsidR="00434812" w:rsidRDefault="00434812" w:rsidP="00434812">
    <w:pPr>
      <w:pStyle w:val="Zhlav"/>
      <w:jc w:val="right"/>
      <w:rPr>
        <w:rFonts w:ascii="Times New Roman" w:hAnsi="Times New Roman" w:cs="Times New Roman"/>
        <w:sz w:val="22"/>
        <w:szCs w:val="22"/>
      </w:rPr>
    </w:pPr>
    <w:r w:rsidRPr="00434812">
      <w:rPr>
        <w:rFonts w:ascii="Times New Roman" w:hAnsi="Times New Roman" w:cs="Times New Roman"/>
        <w:sz w:val="22"/>
        <w:szCs w:val="22"/>
      </w:rPr>
      <w:t>OSM-D/</w:t>
    </w:r>
    <w:r w:rsidR="00DD6CFA">
      <w:rPr>
        <w:rFonts w:ascii="Times New Roman" w:hAnsi="Times New Roman" w:cs="Times New Roman"/>
        <w:sz w:val="22"/>
        <w:szCs w:val="22"/>
      </w:rPr>
      <w:t>0089</w:t>
    </w:r>
    <w:r w:rsidRPr="00434812">
      <w:rPr>
        <w:rFonts w:ascii="Times New Roman" w:hAnsi="Times New Roman" w:cs="Times New Roman"/>
        <w:sz w:val="22"/>
        <w:szCs w:val="22"/>
      </w:rPr>
      <w:t>/202</w:t>
    </w:r>
    <w:r w:rsidR="009C30AB">
      <w:rPr>
        <w:rFonts w:ascii="Times New Roman" w:hAnsi="Times New Roman" w:cs="Times New Roman"/>
        <w:sz w:val="22"/>
        <w:szCs w:val="22"/>
      </w:rPr>
      <w:t>3</w:t>
    </w:r>
  </w:p>
  <w:p w14:paraId="53F76770" w14:textId="77777777" w:rsidR="00434812" w:rsidRPr="00434812" w:rsidRDefault="00434812" w:rsidP="0007461B">
    <w:pPr>
      <w:pStyle w:val="Zhlav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7374"/>
    <w:multiLevelType w:val="hybridMultilevel"/>
    <w:tmpl w:val="D1EA84F8"/>
    <w:lvl w:ilvl="0" w:tplc="9D544240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A4F0D"/>
    <w:multiLevelType w:val="multilevel"/>
    <w:tmpl w:val="39FAA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E44986"/>
    <w:multiLevelType w:val="hybridMultilevel"/>
    <w:tmpl w:val="D63E86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200F3C"/>
    <w:multiLevelType w:val="hybridMultilevel"/>
    <w:tmpl w:val="E912E5B0"/>
    <w:lvl w:ilvl="0" w:tplc="5B82EA74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4643A"/>
    <w:multiLevelType w:val="hybridMultilevel"/>
    <w:tmpl w:val="066E05A2"/>
    <w:lvl w:ilvl="0" w:tplc="FFFFFFFF">
      <w:start w:val="1"/>
      <w:numFmt w:val="decimal"/>
      <w:lvlText w:val="3.%1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B5471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01502E"/>
    <w:multiLevelType w:val="multilevel"/>
    <w:tmpl w:val="6F56C8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47856C3"/>
    <w:multiLevelType w:val="hybridMultilevel"/>
    <w:tmpl w:val="DD083FC0"/>
    <w:lvl w:ilvl="0" w:tplc="3C82B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D436C"/>
    <w:multiLevelType w:val="multilevel"/>
    <w:tmpl w:val="39FAA2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0A0132"/>
    <w:multiLevelType w:val="hybridMultilevel"/>
    <w:tmpl w:val="384C171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2DD52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AD5876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44635E"/>
    <w:multiLevelType w:val="multilevel"/>
    <w:tmpl w:val="9C5E6A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BC125D0"/>
    <w:multiLevelType w:val="hybridMultilevel"/>
    <w:tmpl w:val="175C83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47FDD"/>
    <w:multiLevelType w:val="hybridMultilevel"/>
    <w:tmpl w:val="207CB5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3B9"/>
    <w:multiLevelType w:val="hybridMultilevel"/>
    <w:tmpl w:val="4A0AEC6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820347"/>
    <w:multiLevelType w:val="multilevel"/>
    <w:tmpl w:val="F9D8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6" w15:restartNumberingAfterBreak="0">
    <w:nsid w:val="46683FC5"/>
    <w:multiLevelType w:val="hybridMultilevel"/>
    <w:tmpl w:val="3A2C232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2F36B25"/>
    <w:multiLevelType w:val="multilevel"/>
    <w:tmpl w:val="A600F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55C94AAF"/>
    <w:multiLevelType w:val="multilevel"/>
    <w:tmpl w:val="DC0A2E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6792CFC"/>
    <w:multiLevelType w:val="multilevel"/>
    <w:tmpl w:val="4BBE48D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0" w15:restartNumberingAfterBreak="0">
    <w:nsid w:val="5849220F"/>
    <w:multiLevelType w:val="multilevel"/>
    <w:tmpl w:val="6DEED4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1" w15:restartNumberingAfterBreak="0">
    <w:nsid w:val="590E266D"/>
    <w:multiLevelType w:val="hybridMultilevel"/>
    <w:tmpl w:val="BFF23B0A"/>
    <w:lvl w:ilvl="0" w:tplc="04050001">
      <w:start w:val="1"/>
      <w:numFmt w:val="bullet"/>
      <w:lvlText w:val=""/>
      <w:lvlJc w:val="left"/>
      <w:pPr>
        <w:ind w:left="130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22" w15:restartNumberingAfterBreak="0">
    <w:nsid w:val="59AA05E2"/>
    <w:multiLevelType w:val="multilevel"/>
    <w:tmpl w:val="4E4C089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FFD2D53"/>
    <w:multiLevelType w:val="multilevel"/>
    <w:tmpl w:val="4BBE48D2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60421880"/>
    <w:multiLevelType w:val="multilevel"/>
    <w:tmpl w:val="A600F70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636C6612"/>
    <w:multiLevelType w:val="multilevel"/>
    <w:tmpl w:val="1BB2ED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40D0363"/>
    <w:multiLevelType w:val="hybridMultilevel"/>
    <w:tmpl w:val="5418B792"/>
    <w:lvl w:ilvl="0" w:tplc="040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79925F5"/>
    <w:multiLevelType w:val="hybridMultilevel"/>
    <w:tmpl w:val="9F88AA8A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hAnsi="Aria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2" w:tplc="FFFFFFFF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Arial" w:eastAsia="Times New Roman" w:hAnsi="Arial" w:cs="Arial" w:hint="default"/>
      </w:rPr>
    </w:lvl>
    <w:lvl w:ilvl="4" w:tplc="FFFFFFFF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28" w15:restartNumberingAfterBreak="0">
    <w:nsid w:val="68A666C1"/>
    <w:multiLevelType w:val="singleLevel"/>
    <w:tmpl w:val="0405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B2B16DE"/>
    <w:multiLevelType w:val="hybridMultilevel"/>
    <w:tmpl w:val="E5349A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1B202A"/>
    <w:multiLevelType w:val="multilevel"/>
    <w:tmpl w:val="970C25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76F1E67"/>
    <w:multiLevelType w:val="multilevel"/>
    <w:tmpl w:val="5BCAB1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492986443">
    <w:abstractNumId w:val="23"/>
  </w:num>
  <w:num w:numId="2" w16cid:durableId="1407873120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652594">
    <w:abstractNumId w:val="0"/>
  </w:num>
  <w:num w:numId="4" w16cid:durableId="1419713068">
    <w:abstractNumId w:val="31"/>
  </w:num>
  <w:num w:numId="5" w16cid:durableId="847328537">
    <w:abstractNumId w:val="27"/>
  </w:num>
  <w:num w:numId="6" w16cid:durableId="425224692">
    <w:abstractNumId w:val="9"/>
  </w:num>
  <w:num w:numId="7" w16cid:durableId="2048598731">
    <w:abstractNumId w:val="15"/>
  </w:num>
  <w:num w:numId="8" w16cid:durableId="769935930">
    <w:abstractNumId w:val="25"/>
  </w:num>
  <w:num w:numId="9" w16cid:durableId="66347687">
    <w:abstractNumId w:val="13"/>
  </w:num>
  <w:num w:numId="10" w16cid:durableId="68969459">
    <w:abstractNumId w:val="29"/>
  </w:num>
  <w:num w:numId="11" w16cid:durableId="204297621">
    <w:abstractNumId w:val="14"/>
  </w:num>
  <w:num w:numId="12" w16cid:durableId="932471286">
    <w:abstractNumId w:val="2"/>
  </w:num>
  <w:num w:numId="13" w16cid:durableId="771973434">
    <w:abstractNumId w:val="21"/>
  </w:num>
  <w:num w:numId="14" w16cid:durableId="1688216750">
    <w:abstractNumId w:val="26"/>
  </w:num>
  <w:num w:numId="15" w16cid:durableId="1976639717">
    <w:abstractNumId w:val="7"/>
  </w:num>
  <w:num w:numId="16" w16cid:durableId="446124697">
    <w:abstractNumId w:val="4"/>
  </w:num>
  <w:num w:numId="17" w16cid:durableId="292640563">
    <w:abstractNumId w:val="8"/>
  </w:num>
  <w:num w:numId="18" w16cid:durableId="849754874">
    <w:abstractNumId w:val="1"/>
  </w:num>
  <w:num w:numId="19" w16cid:durableId="1488085022">
    <w:abstractNumId w:val="30"/>
  </w:num>
  <w:num w:numId="20" w16cid:durableId="931398253">
    <w:abstractNumId w:val="24"/>
  </w:num>
  <w:num w:numId="21" w16cid:durableId="1282150944">
    <w:abstractNumId w:val="22"/>
  </w:num>
  <w:num w:numId="22" w16cid:durableId="1170296373">
    <w:abstractNumId w:val="17"/>
  </w:num>
  <w:num w:numId="23" w16cid:durableId="1752699547">
    <w:abstractNumId w:val="19"/>
  </w:num>
  <w:num w:numId="24" w16cid:durableId="715157841">
    <w:abstractNumId w:val="28"/>
  </w:num>
  <w:num w:numId="25" w16cid:durableId="1500736259">
    <w:abstractNumId w:val="10"/>
  </w:num>
  <w:num w:numId="26" w16cid:durableId="479545851">
    <w:abstractNumId w:val="18"/>
  </w:num>
  <w:num w:numId="27" w16cid:durableId="501050171">
    <w:abstractNumId w:val="12"/>
  </w:num>
  <w:num w:numId="28" w16cid:durableId="1844200356">
    <w:abstractNumId w:val="5"/>
  </w:num>
  <w:num w:numId="29" w16cid:durableId="388114041">
    <w:abstractNumId w:val="11"/>
  </w:num>
  <w:num w:numId="30" w16cid:durableId="656767148">
    <w:abstractNumId w:val="16"/>
  </w:num>
  <w:num w:numId="31" w16cid:durableId="1128084914">
    <w:abstractNumId w:val="3"/>
  </w:num>
  <w:num w:numId="32" w16cid:durableId="2076975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7"/>
    <w:rsid w:val="00003D12"/>
    <w:rsid w:val="000045BE"/>
    <w:rsid w:val="00013BD8"/>
    <w:rsid w:val="0001520D"/>
    <w:rsid w:val="00015C18"/>
    <w:rsid w:val="00022289"/>
    <w:rsid w:val="0003765E"/>
    <w:rsid w:val="000512E7"/>
    <w:rsid w:val="00056452"/>
    <w:rsid w:val="00057140"/>
    <w:rsid w:val="0006017D"/>
    <w:rsid w:val="0007461B"/>
    <w:rsid w:val="000865BC"/>
    <w:rsid w:val="00092359"/>
    <w:rsid w:val="000923B4"/>
    <w:rsid w:val="000925B5"/>
    <w:rsid w:val="0009564E"/>
    <w:rsid w:val="000B4BE7"/>
    <w:rsid w:val="000C2FAF"/>
    <w:rsid w:val="000C6EF5"/>
    <w:rsid w:val="000E7583"/>
    <w:rsid w:val="000F2E8E"/>
    <w:rsid w:val="000F3BA1"/>
    <w:rsid w:val="00114F68"/>
    <w:rsid w:val="00126633"/>
    <w:rsid w:val="00140A5E"/>
    <w:rsid w:val="001427AC"/>
    <w:rsid w:val="00144CBA"/>
    <w:rsid w:val="00151C05"/>
    <w:rsid w:val="00151C44"/>
    <w:rsid w:val="001564EC"/>
    <w:rsid w:val="001972CD"/>
    <w:rsid w:val="001A09E4"/>
    <w:rsid w:val="001B4E53"/>
    <w:rsid w:val="001F170F"/>
    <w:rsid w:val="001F46A5"/>
    <w:rsid w:val="0020580F"/>
    <w:rsid w:val="00212763"/>
    <w:rsid w:val="00215E5E"/>
    <w:rsid w:val="00252432"/>
    <w:rsid w:val="00261C3D"/>
    <w:rsid w:val="002B40F4"/>
    <w:rsid w:val="002C6F4F"/>
    <w:rsid w:val="002E3A7E"/>
    <w:rsid w:val="002E50A0"/>
    <w:rsid w:val="002F63B5"/>
    <w:rsid w:val="00311297"/>
    <w:rsid w:val="003119F1"/>
    <w:rsid w:val="00314919"/>
    <w:rsid w:val="003324B6"/>
    <w:rsid w:val="00335958"/>
    <w:rsid w:val="003426B6"/>
    <w:rsid w:val="00344AF2"/>
    <w:rsid w:val="003459BD"/>
    <w:rsid w:val="00353088"/>
    <w:rsid w:val="00353CC9"/>
    <w:rsid w:val="00357EA7"/>
    <w:rsid w:val="00371CB6"/>
    <w:rsid w:val="0037636E"/>
    <w:rsid w:val="003969D6"/>
    <w:rsid w:val="003B0431"/>
    <w:rsid w:val="003C186B"/>
    <w:rsid w:val="003C5E2E"/>
    <w:rsid w:val="003E3A38"/>
    <w:rsid w:val="003F07CA"/>
    <w:rsid w:val="004120CD"/>
    <w:rsid w:val="0041521E"/>
    <w:rsid w:val="004209FB"/>
    <w:rsid w:val="00420E30"/>
    <w:rsid w:val="004315A7"/>
    <w:rsid w:val="00434812"/>
    <w:rsid w:val="00437C57"/>
    <w:rsid w:val="00460739"/>
    <w:rsid w:val="004B25CF"/>
    <w:rsid w:val="004D051C"/>
    <w:rsid w:val="004D540F"/>
    <w:rsid w:val="004E6F32"/>
    <w:rsid w:val="004F133E"/>
    <w:rsid w:val="004F62AE"/>
    <w:rsid w:val="0050479A"/>
    <w:rsid w:val="00514E61"/>
    <w:rsid w:val="005205C2"/>
    <w:rsid w:val="005425EA"/>
    <w:rsid w:val="00544D41"/>
    <w:rsid w:val="005471A7"/>
    <w:rsid w:val="00551837"/>
    <w:rsid w:val="00555B6C"/>
    <w:rsid w:val="00576B93"/>
    <w:rsid w:val="0059768E"/>
    <w:rsid w:val="005A0EA1"/>
    <w:rsid w:val="005B6BD9"/>
    <w:rsid w:val="005C3032"/>
    <w:rsid w:val="005D5073"/>
    <w:rsid w:val="005E0378"/>
    <w:rsid w:val="005E051E"/>
    <w:rsid w:val="005E6A99"/>
    <w:rsid w:val="00604856"/>
    <w:rsid w:val="00611320"/>
    <w:rsid w:val="00612EFC"/>
    <w:rsid w:val="00625C55"/>
    <w:rsid w:val="006330CE"/>
    <w:rsid w:val="00633E79"/>
    <w:rsid w:val="006344B8"/>
    <w:rsid w:val="006410B3"/>
    <w:rsid w:val="00644565"/>
    <w:rsid w:val="00654742"/>
    <w:rsid w:val="00665FBE"/>
    <w:rsid w:val="00682409"/>
    <w:rsid w:val="00684B66"/>
    <w:rsid w:val="00685BF6"/>
    <w:rsid w:val="006A2989"/>
    <w:rsid w:val="006C687B"/>
    <w:rsid w:val="006C76BD"/>
    <w:rsid w:val="006E22C7"/>
    <w:rsid w:val="006E2786"/>
    <w:rsid w:val="0071559C"/>
    <w:rsid w:val="0071562F"/>
    <w:rsid w:val="0072489B"/>
    <w:rsid w:val="007267A4"/>
    <w:rsid w:val="007575AD"/>
    <w:rsid w:val="00757FB8"/>
    <w:rsid w:val="0077145A"/>
    <w:rsid w:val="00794AE8"/>
    <w:rsid w:val="007A4130"/>
    <w:rsid w:val="007B3C19"/>
    <w:rsid w:val="007E12D4"/>
    <w:rsid w:val="007F4E8A"/>
    <w:rsid w:val="0080566D"/>
    <w:rsid w:val="00826265"/>
    <w:rsid w:val="00843806"/>
    <w:rsid w:val="00851F04"/>
    <w:rsid w:val="00853457"/>
    <w:rsid w:val="008640CC"/>
    <w:rsid w:val="0088221F"/>
    <w:rsid w:val="008823F4"/>
    <w:rsid w:val="00883B84"/>
    <w:rsid w:val="00884510"/>
    <w:rsid w:val="008B2877"/>
    <w:rsid w:val="008C422E"/>
    <w:rsid w:val="008C6CA1"/>
    <w:rsid w:val="008E112E"/>
    <w:rsid w:val="008E526B"/>
    <w:rsid w:val="008E5930"/>
    <w:rsid w:val="008F7551"/>
    <w:rsid w:val="00906C78"/>
    <w:rsid w:val="0093255D"/>
    <w:rsid w:val="0094320C"/>
    <w:rsid w:val="009453B4"/>
    <w:rsid w:val="00952C20"/>
    <w:rsid w:val="00961317"/>
    <w:rsid w:val="00967A28"/>
    <w:rsid w:val="00972E69"/>
    <w:rsid w:val="009905E6"/>
    <w:rsid w:val="009B65CC"/>
    <w:rsid w:val="009C30AB"/>
    <w:rsid w:val="009C588B"/>
    <w:rsid w:val="009C6ED9"/>
    <w:rsid w:val="009D1FCD"/>
    <w:rsid w:val="009D27D6"/>
    <w:rsid w:val="009D6599"/>
    <w:rsid w:val="009E2A6A"/>
    <w:rsid w:val="009E3783"/>
    <w:rsid w:val="009F23F6"/>
    <w:rsid w:val="00A02840"/>
    <w:rsid w:val="00A15795"/>
    <w:rsid w:val="00A1637A"/>
    <w:rsid w:val="00A21DF5"/>
    <w:rsid w:val="00A23F85"/>
    <w:rsid w:val="00A3733D"/>
    <w:rsid w:val="00A53821"/>
    <w:rsid w:val="00A651A8"/>
    <w:rsid w:val="00A71527"/>
    <w:rsid w:val="00A73B63"/>
    <w:rsid w:val="00A773A6"/>
    <w:rsid w:val="00A77927"/>
    <w:rsid w:val="00A80E6C"/>
    <w:rsid w:val="00AB407C"/>
    <w:rsid w:val="00AC3377"/>
    <w:rsid w:val="00AC395E"/>
    <w:rsid w:val="00AC7B4C"/>
    <w:rsid w:val="00AD5D12"/>
    <w:rsid w:val="00AE471F"/>
    <w:rsid w:val="00AF09ED"/>
    <w:rsid w:val="00AF542B"/>
    <w:rsid w:val="00B038C5"/>
    <w:rsid w:val="00B039C8"/>
    <w:rsid w:val="00B04241"/>
    <w:rsid w:val="00B13BDF"/>
    <w:rsid w:val="00B17AAD"/>
    <w:rsid w:val="00B35337"/>
    <w:rsid w:val="00B36440"/>
    <w:rsid w:val="00B4609D"/>
    <w:rsid w:val="00B462FE"/>
    <w:rsid w:val="00B543B7"/>
    <w:rsid w:val="00B85F2E"/>
    <w:rsid w:val="00BB00E0"/>
    <w:rsid w:val="00BB1152"/>
    <w:rsid w:val="00BB174F"/>
    <w:rsid w:val="00BB2EC0"/>
    <w:rsid w:val="00BC68F2"/>
    <w:rsid w:val="00C1713C"/>
    <w:rsid w:val="00C24B7A"/>
    <w:rsid w:val="00C301CC"/>
    <w:rsid w:val="00C31441"/>
    <w:rsid w:val="00C34C1C"/>
    <w:rsid w:val="00C4353C"/>
    <w:rsid w:val="00C604F1"/>
    <w:rsid w:val="00C70BD8"/>
    <w:rsid w:val="00C71C42"/>
    <w:rsid w:val="00C806CC"/>
    <w:rsid w:val="00C80709"/>
    <w:rsid w:val="00C81F84"/>
    <w:rsid w:val="00C85AD9"/>
    <w:rsid w:val="00C9310D"/>
    <w:rsid w:val="00C9348E"/>
    <w:rsid w:val="00C95567"/>
    <w:rsid w:val="00CB6C2C"/>
    <w:rsid w:val="00CC40B8"/>
    <w:rsid w:val="00CE7273"/>
    <w:rsid w:val="00CF4590"/>
    <w:rsid w:val="00D101F5"/>
    <w:rsid w:val="00D13A62"/>
    <w:rsid w:val="00D22223"/>
    <w:rsid w:val="00D26936"/>
    <w:rsid w:val="00D32B3F"/>
    <w:rsid w:val="00D34685"/>
    <w:rsid w:val="00D44E45"/>
    <w:rsid w:val="00D45553"/>
    <w:rsid w:val="00D4706B"/>
    <w:rsid w:val="00D50C9A"/>
    <w:rsid w:val="00D62FEC"/>
    <w:rsid w:val="00D75253"/>
    <w:rsid w:val="00D81FD7"/>
    <w:rsid w:val="00D90438"/>
    <w:rsid w:val="00DA3C02"/>
    <w:rsid w:val="00DB0960"/>
    <w:rsid w:val="00DB39D3"/>
    <w:rsid w:val="00DC5FE9"/>
    <w:rsid w:val="00DD6CFA"/>
    <w:rsid w:val="00E2067E"/>
    <w:rsid w:val="00E21766"/>
    <w:rsid w:val="00E252F6"/>
    <w:rsid w:val="00E26059"/>
    <w:rsid w:val="00E26803"/>
    <w:rsid w:val="00E37143"/>
    <w:rsid w:val="00E504F1"/>
    <w:rsid w:val="00E622A1"/>
    <w:rsid w:val="00E7054F"/>
    <w:rsid w:val="00E96ADD"/>
    <w:rsid w:val="00EA584D"/>
    <w:rsid w:val="00EE6FAF"/>
    <w:rsid w:val="00EF19C2"/>
    <w:rsid w:val="00F05BEF"/>
    <w:rsid w:val="00F357F3"/>
    <w:rsid w:val="00F45751"/>
    <w:rsid w:val="00F51048"/>
    <w:rsid w:val="00F5598A"/>
    <w:rsid w:val="00F63975"/>
    <w:rsid w:val="00F65BAD"/>
    <w:rsid w:val="00FB19F9"/>
    <w:rsid w:val="00FB4B6D"/>
    <w:rsid w:val="00FD3674"/>
    <w:rsid w:val="00FD616A"/>
    <w:rsid w:val="00FF640C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78815B01"/>
  <w15:docId w15:val="{1798B50B-7321-443B-B2F4-9ED04096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457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53457"/>
    <w:pPr>
      <w:keepNext/>
      <w:jc w:val="center"/>
      <w:outlineLvl w:val="0"/>
    </w:pPr>
    <w:rPr>
      <w:rFonts w:ascii="Book Antiqua" w:hAnsi="Book Antiqua"/>
      <w:b/>
      <w:bCs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9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9">
    <w:name w:val="heading 9"/>
    <w:basedOn w:val="Normln"/>
    <w:next w:val="Normln"/>
    <w:link w:val="Nadpis9Char"/>
    <w:qFormat/>
    <w:rsid w:val="00853457"/>
    <w:pPr>
      <w:keepNext/>
      <w:jc w:val="center"/>
      <w:outlineLvl w:val="8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53457"/>
    <w:rPr>
      <w:rFonts w:ascii="Book Antiqua" w:eastAsia="Times New Roman" w:hAnsi="Book Antiqua" w:cs="Courier New"/>
      <w:b/>
      <w:bCs/>
      <w:sz w:val="20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53457"/>
    <w:rPr>
      <w:rFonts w:ascii="Courier New" w:eastAsia="Times New Roman" w:hAnsi="Courier New" w:cs="Courier New"/>
      <w:b/>
      <w:bCs/>
      <w:sz w:val="16"/>
      <w:szCs w:val="20"/>
      <w:lang w:eastAsia="cs-CZ"/>
    </w:rPr>
  </w:style>
  <w:style w:type="paragraph" w:customStyle="1" w:styleId="ZkladntextIMP">
    <w:name w:val="Základní text_IMP"/>
    <w:basedOn w:val="Normln"/>
    <w:rsid w:val="00853457"/>
    <w:pPr>
      <w:suppressAutoHyphens/>
      <w:overflowPunct w:val="0"/>
      <w:autoSpaceDE w:val="0"/>
      <w:autoSpaceDN w:val="0"/>
      <w:adjustRightInd w:val="0"/>
      <w:spacing w:line="276" w:lineRule="auto"/>
    </w:pPr>
    <w:rPr>
      <w:rFonts w:ascii="Times New Roman" w:hAnsi="Times New Roman" w:cs="Times New Roman"/>
      <w:sz w:val="24"/>
    </w:rPr>
  </w:style>
  <w:style w:type="paragraph" w:styleId="Zkladntext">
    <w:name w:val="Body Text"/>
    <w:basedOn w:val="Normln"/>
    <w:link w:val="ZkladntextChar"/>
    <w:rsid w:val="00853457"/>
    <w:rPr>
      <w:rFonts w:ascii="Times New Roman" w:hAnsi="Times New Roman" w:cs="Times New Roman"/>
      <w:b/>
      <w:color w:val="000000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53457"/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8534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3457"/>
    <w:rPr>
      <w:rFonts w:ascii="Courier New" w:eastAsia="Times New Roman" w:hAnsi="Courier New" w:cs="Courier New"/>
      <w:sz w:val="16"/>
      <w:szCs w:val="24"/>
      <w:lang w:eastAsia="cs-CZ"/>
    </w:rPr>
  </w:style>
  <w:style w:type="character" w:styleId="slostrnky">
    <w:name w:val="page number"/>
    <w:basedOn w:val="Standardnpsmoodstavce"/>
    <w:rsid w:val="00853457"/>
  </w:style>
  <w:style w:type="paragraph" w:styleId="Prosttext">
    <w:name w:val="Plain Text"/>
    <w:basedOn w:val="Normln"/>
    <w:link w:val="ProsttextChar"/>
    <w:rsid w:val="00853457"/>
    <w:rPr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853457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qFormat/>
    <w:rsid w:val="00853457"/>
    <w:pPr>
      <w:ind w:left="708"/>
    </w:pPr>
  </w:style>
  <w:style w:type="character" w:customStyle="1" w:styleId="OdstavecseseznamemChar">
    <w:name w:val="Odstavec se seznamem Char"/>
    <w:link w:val="Odstavecseseznamem"/>
    <w:rsid w:val="00853457"/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NormalJustified">
    <w:name w:val="Normal (Justified)"/>
    <w:basedOn w:val="Normln"/>
    <w:link w:val="NormalJustifiedChar"/>
    <w:rsid w:val="00853457"/>
    <w:pPr>
      <w:widowControl w:val="0"/>
      <w:jc w:val="both"/>
    </w:pPr>
    <w:rPr>
      <w:kern w:val="28"/>
      <w:sz w:val="24"/>
    </w:rPr>
  </w:style>
  <w:style w:type="character" w:customStyle="1" w:styleId="NormalJustifiedChar">
    <w:name w:val="Normal (Justified) Char"/>
    <w:link w:val="NormalJustified"/>
    <w:rsid w:val="00853457"/>
    <w:rPr>
      <w:rFonts w:ascii="Courier New" w:eastAsia="Times New Roman" w:hAnsi="Courier New" w:cs="Courier New"/>
      <w:kern w:val="28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2840"/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84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266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663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663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66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6633"/>
    <w:rPr>
      <w:rFonts w:ascii="Courier New" w:eastAsia="Times New Roman" w:hAnsi="Courier New" w:cs="Courier New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06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06CC"/>
    <w:rPr>
      <w:rFonts w:ascii="Courier New" w:eastAsia="Times New Roman" w:hAnsi="Courier New" w:cs="Courier New"/>
      <w:sz w:val="16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29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styleId="Bezmezer">
    <w:name w:val="No Spacing"/>
    <w:uiPriority w:val="1"/>
    <w:qFormat/>
    <w:rsid w:val="00B13BDF"/>
    <w:pPr>
      <w:spacing w:after="0" w:line="240" w:lineRule="auto"/>
    </w:pPr>
    <w:rPr>
      <w:rFonts w:ascii="Courier New" w:eastAsia="Times New Roman" w:hAnsi="Courier New" w:cs="Courier New"/>
      <w:sz w:val="16"/>
      <w:szCs w:val="24"/>
      <w:lang w:eastAsia="cs-CZ"/>
    </w:rPr>
  </w:style>
  <w:style w:type="paragraph" w:customStyle="1" w:styleId="Default">
    <w:name w:val="Default"/>
    <w:rsid w:val="003B043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98581-43E9-4017-B3DB-EF327409C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2180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Doubravová Iveta</dc:creator>
  <cp:lastModifiedBy>Kreisslova Romana</cp:lastModifiedBy>
  <cp:revision>4</cp:revision>
  <cp:lastPrinted>2023-03-13T11:51:00Z</cp:lastPrinted>
  <dcterms:created xsi:type="dcterms:W3CDTF">2023-07-13T09:01:00Z</dcterms:created>
  <dcterms:modified xsi:type="dcterms:W3CDTF">2023-07-31T13:23:00Z</dcterms:modified>
</cp:coreProperties>
</file>