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lnweb"/>
        <w:jc w:val="right"/>
        <w:rPr>
          <w:rFonts w:ascii="Arial" w:hAnsi="Arial" w:cs="Arial"/>
          <w:b/>
          <w:bCs/>
          <w:sz w:val="20"/>
          <w:szCs w:val="20"/>
        </w:rPr>
      </w:pPr>
      <w:bookmarkStart w:id="0" w:name="_GoBack"/>
      <w:bookmarkEnd w:id="0"/>
      <w:r>
        <w:rPr>
          <w:rFonts w:ascii="Arial" w:hAnsi="Arial" w:cs="Arial"/>
          <w:b/>
          <w:bCs/>
          <w:color w:val="DA2128"/>
          <w:sz w:val="16"/>
          <w:szCs w:val="16"/>
        </w:rPr>
        <w:t>Č. J.:</w:t>
      </w:r>
      <w:r>
        <w:rPr>
          <w:rFonts w:ascii="Arial" w:hAnsi="Arial" w:cs="Arial"/>
          <w:color w:val="DA0000"/>
          <w:sz w:val="20"/>
          <w:szCs w:val="20"/>
        </w:rPr>
        <w:t xml:space="preserve"> </w:t>
      </w:r>
      <w:sdt>
        <w:sdtPr>
          <w:rPr>
            <w:sz w:val="18"/>
            <w:szCs w:val="18"/>
          </w:rPr>
          <w:alias w:val="cislo_jednaci"/>
          <w:tag w:val="espis_objektsps/evidencni_cislo"/>
          <w:id w:val="2070601832"/>
          <w:placeholder>
            <w:docPart w:val="461841F63C324FCBB40C121BE24CEFC4"/>
          </w:placeholder>
        </w:sdtPr>
        <w:sdtContent>
          <w:r>
            <w:rPr>
              <w:rFonts w:ascii="Arial" w:hAnsi="Arial" w:cs="Arial"/>
              <w:sz w:val="18"/>
              <w:szCs w:val="18"/>
            </w:rPr>
            <w:t>MCBS/2023/0099808/NOVI</w:t>
          </w:r>
        </w:sdtContent>
      </w:sdt>
      <w:r>
        <w:rPr>
          <w:rFonts w:ascii="Arial" w:hAnsi="Arial" w:cs="Arial"/>
          <w:b/>
          <w:bCs/>
          <w:sz w:val="20"/>
          <w:szCs w:val="20"/>
        </w:rPr>
        <w:t xml:space="preserve"> </w:t>
      </w:r>
    </w:p>
    <w:p>
      <w:pPr>
        <w:pStyle w:val="Normlnweb"/>
        <w:jc w:val="right"/>
        <w:rPr>
          <w:rFonts w:ascii="Arial" w:hAnsi="Arial" w:cs="Arial"/>
          <w:sz w:val="18"/>
          <w:szCs w:val="18"/>
        </w:rPr>
      </w:pPr>
      <w:r>
        <w:rPr>
          <w:rFonts w:ascii="Arial" w:hAnsi="Arial" w:cs="Arial"/>
          <w:b/>
          <w:bCs/>
          <w:color w:val="FF0000"/>
          <w:sz w:val="16"/>
          <w:szCs w:val="16"/>
        </w:rPr>
        <w:t>VYŘIZUJE</w:t>
      </w:r>
      <w:r>
        <w:rPr>
          <w:rFonts w:ascii="Arial" w:hAnsi="Arial" w:cs="Arial"/>
          <w:b/>
          <w:bCs/>
          <w:color w:val="FF0000"/>
          <w:sz w:val="20"/>
          <w:szCs w:val="20"/>
        </w:rPr>
        <w:t>:</w:t>
      </w:r>
      <w:r>
        <w:rPr>
          <w:rFonts w:ascii="Arial" w:hAnsi="Arial" w:cs="Arial"/>
          <w:sz w:val="20"/>
          <w:szCs w:val="20"/>
        </w:rPr>
        <w:t xml:space="preserve"> </w:t>
      </w:r>
      <w:sdt>
        <w:sdtPr>
          <w:rPr>
            <w:rFonts w:ascii="Arial" w:hAnsi="Arial" w:cs="Arial"/>
            <w:sz w:val="18"/>
            <w:szCs w:val="18"/>
          </w:rPr>
          <w:alias w:val="zpracovatel"/>
          <w:tag w:val="espis_zpracovatel/pracovnik/full_name"/>
          <w:id w:val="1255785212"/>
          <w:placeholder>
            <w:docPart w:val="C8A96A26E5104FB3AF37C533BC3F4A5E"/>
          </w:placeholder>
        </w:sdtPr>
        <w:sdtContent>
          <w:r>
            <w:rPr>
              <w:rFonts w:ascii="Arial" w:hAnsi="Arial" w:cs="Arial"/>
              <w:sz w:val="18"/>
              <w:szCs w:val="18"/>
            </w:rPr>
            <w:t>Kristýna Nováčková</w:t>
          </w:r>
        </w:sdtContent>
      </w:sdt>
    </w:p>
    <w:p>
      <w:pPr>
        <w:pStyle w:val="Normlnweb"/>
        <w:spacing w:before="0" w:line="300" w:lineRule="auto"/>
        <w:rPr>
          <w:rFonts w:ascii="Arial" w:hAnsi="Arial" w:cs="Arial"/>
          <w:sz w:val="20"/>
          <w:szCs w:val="20"/>
        </w:rPr>
      </w:pPr>
    </w:p>
    <w:p>
      <w:pPr>
        <w:spacing w:line="300" w:lineRule="auto"/>
        <w:ind w:left="567" w:hanging="567"/>
        <w:jc w:val="center"/>
        <w:rPr>
          <w:rFonts w:ascii="Arial" w:hAnsi="Arial" w:cs="Arial"/>
          <w:b/>
          <w:sz w:val="20"/>
          <w:szCs w:val="20"/>
        </w:rPr>
      </w:pPr>
      <w:r>
        <w:rPr>
          <w:rFonts w:ascii="Arial" w:hAnsi="Arial" w:cs="Arial"/>
          <w:b/>
          <w:sz w:val="20"/>
          <w:szCs w:val="20"/>
        </w:rPr>
        <w:t>SMLOUVA O NÁJMU  PROSTORU  SLOUŽÍCÍHO  PODNIKÁNÍ</w:t>
      </w:r>
    </w:p>
    <w:p>
      <w:pPr>
        <w:spacing w:line="300" w:lineRule="auto"/>
        <w:ind w:left="567" w:hanging="567"/>
        <w:jc w:val="center"/>
        <w:rPr>
          <w:rFonts w:ascii="Arial" w:hAnsi="Arial" w:cs="Arial"/>
          <w:b/>
          <w:sz w:val="20"/>
          <w:szCs w:val="20"/>
        </w:rPr>
      </w:pPr>
      <w:r>
        <w:rPr>
          <w:rFonts w:ascii="Arial" w:hAnsi="Arial" w:cs="Arial"/>
          <w:b/>
          <w:sz w:val="20"/>
          <w:szCs w:val="20"/>
        </w:rPr>
        <w:t>uzavřená dle zákona č.</w:t>
      </w:r>
      <w:r>
        <w:rPr>
          <w:rFonts w:ascii="Arial" w:hAnsi="Arial" w:cs="Arial"/>
          <w:sz w:val="20"/>
          <w:szCs w:val="20"/>
        </w:rPr>
        <w:t xml:space="preserve"> </w:t>
      </w:r>
      <w:r>
        <w:rPr>
          <w:rFonts w:ascii="Arial" w:hAnsi="Arial" w:cs="Arial"/>
          <w:b/>
          <w:sz w:val="20"/>
          <w:szCs w:val="20"/>
        </w:rPr>
        <w:t>89/2012 Sb., občanský zákoník, v platném znění</w:t>
      </w:r>
    </w:p>
    <w:p>
      <w:pPr>
        <w:spacing w:line="300" w:lineRule="auto"/>
        <w:jc w:val="both"/>
        <w:rPr>
          <w:rFonts w:ascii="Arial" w:hAnsi="Arial" w:cs="Arial"/>
          <w:sz w:val="20"/>
          <w:szCs w:val="20"/>
        </w:rPr>
      </w:pP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Statutární město Brno, městská část Brno-střed</w:t>
      </w:r>
    </w:p>
    <w:p>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Ing. arch. Vojtěchem Menclem, starostou MČ Brno-střed</w:t>
      </w:r>
    </w:p>
    <w:p>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Dominikánská 2, 601 69 Brno</w:t>
      </w:r>
    </w:p>
    <w:p>
      <w:pPr>
        <w:spacing w:line="30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44992785</w:t>
      </w:r>
    </w:p>
    <w:p>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43-8044220247/0100 (všechny platby s výjimkou platby jistoty)</w:t>
      </w:r>
    </w:p>
    <w:p>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115-9625060207/0100 (platba jistoty) </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a</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Nájemce:</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b/>
            <w:sz w:val="20"/>
            <w:szCs w:val="20"/>
          </w:rPr>
          <w:alias w:val="subjekt_jmeno"/>
          <w:tag w:val="espis_dsb/adresa/full_name"/>
          <w:id w:val="-561025322"/>
          <w:placeholder>
            <w:docPart w:val="496A24B272364967AC248577226E49C8"/>
          </w:placeholder>
        </w:sdtPr>
        <w:sdtContent>
          <w:r>
            <w:rPr>
              <w:rFonts w:ascii="Arial" w:hAnsi="Arial" w:cs="Arial"/>
              <w:b/>
              <w:bCs/>
              <w:color w:val="333333"/>
              <w:sz w:val="20"/>
              <w:szCs w:val="17"/>
              <w:shd w:val="clear" w:color="auto" w:fill="FFFFFF"/>
            </w:rPr>
            <w:t>CIREAL production, s.r.o.</w:t>
          </w:r>
        </w:sdtContent>
      </w:sdt>
      <w:r>
        <w:rPr>
          <w:rFonts w:ascii="Arial" w:hAnsi="Arial" w:cs="Arial"/>
          <w:b/>
          <w:sz w:val="20"/>
          <w:szCs w:val="20"/>
        </w:rPr>
        <w:t xml:space="preserve"> </w:t>
      </w:r>
      <w:sdt>
        <w:sdtPr>
          <w:rPr>
            <w:rFonts w:ascii="Arial" w:hAnsi="Arial" w:cs="Arial"/>
            <w:b/>
            <w:sz w:val="20"/>
            <w:szCs w:val="20"/>
          </w:rPr>
          <w:alias w:val="subjekt_obchodni_nazev"/>
          <w:tag w:val="espis_dsb/adresa/obchodni_nazev"/>
          <w:id w:val="1780839634"/>
          <w:placeholder>
            <w:docPart w:val="496A24B272364967AC248577226E49C8"/>
          </w:placeholder>
        </w:sdtPr>
        <w:sdtContent/>
      </w:sdt>
    </w:p>
    <w:p>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b/>
            <w:sz w:val="28"/>
            <w:szCs w:val="20"/>
          </w:rPr>
          <w:alias w:val="subjekt_ulice"/>
          <w:tag w:val="espis_dsb/adresa/full_ulice"/>
          <w:id w:val="-446158208"/>
          <w:placeholder>
            <w:docPart w:val="EC1EC401D5A64A97B69A65433CED3AF1"/>
          </w:placeholder>
        </w:sdtPr>
        <w:sdtContent/>
      </w:sdt>
      <w:r>
        <w:rPr>
          <w:rFonts w:ascii="Arial" w:hAnsi="Arial" w:cs="Arial"/>
          <w:b/>
          <w:color w:val="333333"/>
          <w:sz w:val="20"/>
          <w:szCs w:val="18"/>
          <w:shd w:val="clear" w:color="auto" w:fill="FFFFFF"/>
        </w:rPr>
        <w:t>Praha 8, Světova 133/19, PSČ 18000</w:t>
      </w:r>
      <w:r>
        <w:rPr>
          <w:rFonts w:ascii="Arial" w:hAnsi="Arial" w:cs="Arial"/>
          <w:sz w:val="28"/>
          <w:szCs w:val="20"/>
        </w:rPr>
        <w:t xml:space="preserve"> </w:t>
      </w:r>
    </w:p>
    <w:p>
      <w:pPr>
        <w:spacing w:line="300" w:lineRule="auto"/>
        <w:jc w:val="both"/>
        <w:rPr>
          <w:rFonts w:ascii="Arial" w:hAnsi="Arial" w:cs="Arial"/>
          <w:b/>
          <w:sz w:val="20"/>
          <w:szCs w:val="20"/>
        </w:rPr>
      </w:pPr>
      <w:r>
        <w:rPr>
          <w:rFonts w:ascii="Arial" w:hAnsi="Arial" w:cs="Arial"/>
          <w:sz w:val="20"/>
          <w:szCs w:val="20"/>
        </w:rPr>
        <w:t>IČO/datum narození:</w:t>
      </w:r>
      <w:r>
        <w:rPr>
          <w:rFonts w:ascii="Arial" w:hAnsi="Arial" w:cs="Arial"/>
          <w:sz w:val="20"/>
          <w:szCs w:val="20"/>
        </w:rPr>
        <w:tab/>
      </w:r>
      <w:r>
        <w:rPr>
          <w:rFonts w:ascii="Arial" w:hAnsi="Arial" w:cs="Arial"/>
          <w:sz w:val="20"/>
          <w:szCs w:val="20"/>
        </w:rPr>
        <w:tab/>
      </w:r>
      <w:r>
        <w:rPr>
          <w:rFonts w:ascii="Arial" w:hAnsi="Arial" w:cs="Arial"/>
          <w:b/>
          <w:sz w:val="20"/>
          <w:szCs w:val="20"/>
        </w:rPr>
        <w:t>271 19 360</w:t>
      </w:r>
    </w:p>
    <w:p>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MgA. Ladislavem Cmíralem, jednatelem společnosti</w:t>
      </w:r>
    </w:p>
    <w:p>
      <w:pPr>
        <w:spacing w:line="300"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1487694001/5500</w:t>
      </w:r>
    </w:p>
    <w:p>
      <w:pPr>
        <w:spacing w:line="300" w:lineRule="auto"/>
        <w:jc w:val="both"/>
        <w:rPr>
          <w:rFonts w:ascii="Arial" w:hAnsi="Arial" w:cs="Arial"/>
          <w:b/>
          <w:sz w:val="20"/>
          <w:szCs w:val="20"/>
        </w:rPr>
      </w:pPr>
      <w:r>
        <w:rPr>
          <w:rFonts w:ascii="Arial" w:hAnsi="Arial" w:cs="Arial"/>
          <w:sz w:val="20"/>
          <w:szCs w:val="20"/>
        </w:rPr>
        <w:t>tel., 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603 467 953, lada@cireal.eu</w:t>
      </w:r>
    </w:p>
    <w:p>
      <w:pPr>
        <w:spacing w:line="300" w:lineRule="auto"/>
        <w:jc w:val="both"/>
        <w:rPr>
          <w:rFonts w:ascii="Arial" w:hAnsi="Arial" w:cs="Arial"/>
          <w:sz w:val="20"/>
          <w:szCs w:val="20"/>
        </w:rPr>
      </w:pPr>
      <w:r>
        <w:rPr>
          <w:rFonts w:ascii="Arial" w:hAnsi="Arial" w:cs="Arial"/>
          <w:sz w:val="20"/>
          <w:szCs w:val="20"/>
        </w:rPr>
        <w:t>datová schránka:</w:t>
      </w:r>
      <w:r>
        <w:rPr>
          <w:rFonts w:ascii="Arial" w:hAnsi="Arial" w:cs="Arial"/>
          <w:sz w:val="20"/>
          <w:szCs w:val="20"/>
        </w:rPr>
        <w:tab/>
      </w:r>
      <w:r>
        <w:rPr>
          <w:rFonts w:ascii="Arial" w:hAnsi="Arial" w:cs="Arial"/>
          <w:sz w:val="20"/>
          <w:szCs w:val="20"/>
        </w:rPr>
        <w:tab/>
      </w:r>
      <w:r>
        <w:rPr>
          <w:rFonts w:ascii="Arial" w:hAnsi="Arial" w:cs="Arial"/>
          <w:b/>
          <w:sz w:val="20"/>
          <w:szCs w:val="20"/>
        </w:rPr>
        <w:t>vsavwrv</w:t>
      </w:r>
    </w:p>
    <w:p>
      <w:pPr>
        <w:spacing w:line="300" w:lineRule="auto"/>
        <w:rPr>
          <w:rFonts w:ascii="Arial" w:hAnsi="Arial" w:cs="Arial"/>
          <w:b/>
          <w:sz w:val="20"/>
          <w:szCs w:val="20"/>
        </w:rPr>
      </w:pPr>
    </w:p>
    <w:p>
      <w:pPr>
        <w:spacing w:line="300" w:lineRule="auto"/>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t>uzavírají</w:t>
      </w:r>
    </w:p>
    <w:p>
      <w:pPr>
        <w:spacing w:line="300" w:lineRule="auto"/>
        <w:jc w:val="both"/>
        <w:rPr>
          <w:rFonts w:ascii="Arial" w:hAnsi="Arial" w:cs="Arial"/>
          <w:sz w:val="20"/>
          <w:szCs w:val="20"/>
        </w:rPr>
      </w:pPr>
      <w:r>
        <w:rPr>
          <w:rFonts w:ascii="Arial" w:hAnsi="Arial" w:cs="Arial"/>
          <w:sz w:val="20"/>
          <w:szCs w:val="20"/>
        </w:rPr>
        <w:t>po vzájemné dohodě a v souladu s § 2302 a násl. zákona č. 89/2012 Sb., občanský zákoník, v platném znění (dále též jen OZ) a předpisy souvisejícími, tuto smlouvu o nájmu prostoru sloužícího podnikání a úhradě služeb spojených s jeho užíváním (dále jen smlouva):</w:t>
      </w:r>
    </w:p>
    <w:p>
      <w:pPr>
        <w:spacing w:line="300" w:lineRule="auto"/>
        <w:rPr>
          <w:rFonts w:ascii="Arial" w:hAnsi="Arial" w:cs="Arial"/>
          <w:b/>
          <w:sz w:val="20"/>
          <w:szCs w:val="20"/>
        </w:rPr>
      </w:pPr>
    </w:p>
    <w:p>
      <w:pPr>
        <w:spacing w:line="300" w:lineRule="auto"/>
        <w:jc w:val="center"/>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t>I.</w:t>
      </w:r>
    </w:p>
    <w:p>
      <w:pPr>
        <w:spacing w:line="300" w:lineRule="auto"/>
        <w:jc w:val="center"/>
        <w:rPr>
          <w:rFonts w:ascii="Arial" w:hAnsi="Arial" w:cs="Arial"/>
          <w:b/>
          <w:sz w:val="20"/>
          <w:szCs w:val="20"/>
        </w:rPr>
      </w:pPr>
      <w:r>
        <w:rPr>
          <w:rFonts w:ascii="Arial" w:hAnsi="Arial" w:cs="Arial"/>
          <w:b/>
          <w:sz w:val="20"/>
          <w:szCs w:val="20"/>
        </w:rPr>
        <w:t>Předmět nájmu</w:t>
      </w:r>
    </w:p>
    <w:p>
      <w:pPr>
        <w:spacing w:line="300" w:lineRule="auto"/>
        <w:rPr>
          <w:rFonts w:ascii="Arial" w:hAnsi="Arial" w:cs="Arial"/>
          <w:b/>
          <w:sz w:val="20"/>
          <w:szCs w:val="20"/>
        </w:rPr>
      </w:pPr>
    </w:p>
    <w:p>
      <w:pPr>
        <w:pStyle w:val="Odstavecseseznamem"/>
        <w:numPr>
          <w:ilvl w:val="0"/>
          <w:numId w:val="1"/>
        </w:numPr>
        <w:spacing w:line="300" w:lineRule="auto"/>
        <w:ind w:left="284" w:hanging="284"/>
        <w:jc w:val="both"/>
        <w:rPr>
          <w:rFonts w:ascii="Arial" w:hAnsi="Arial" w:cs="Arial"/>
          <w:sz w:val="20"/>
          <w:szCs w:val="20"/>
        </w:rPr>
      </w:pPr>
      <w:r>
        <w:rPr>
          <w:rFonts w:ascii="Arial" w:hAnsi="Arial" w:cs="Arial"/>
          <w:sz w:val="20"/>
          <w:szCs w:val="20"/>
        </w:rPr>
        <w:t xml:space="preserve">Pronajímatel dává touto smlouvou nájemci do nájmu prostor </w:t>
      </w:r>
      <w:r>
        <w:rPr>
          <w:rFonts w:ascii="Arial" w:hAnsi="Arial" w:cs="Arial"/>
          <w:b/>
          <w:sz w:val="20"/>
          <w:szCs w:val="20"/>
        </w:rPr>
        <w:t>č. 102</w:t>
      </w:r>
      <w:r>
        <w:rPr>
          <w:rFonts w:ascii="Arial" w:hAnsi="Arial" w:cs="Arial"/>
          <w:sz w:val="20"/>
          <w:szCs w:val="20"/>
        </w:rPr>
        <w:t>, o podlahové ploše 32,90 m</w:t>
      </w:r>
      <w:r>
        <w:rPr>
          <w:rFonts w:ascii="Arial" w:hAnsi="Arial" w:cs="Arial"/>
          <w:sz w:val="20"/>
          <w:szCs w:val="20"/>
          <w:vertAlign w:val="superscript"/>
        </w:rPr>
        <w:t>2</w:t>
      </w:r>
      <w:r>
        <w:rPr>
          <w:rFonts w:ascii="Arial" w:hAnsi="Arial" w:cs="Arial"/>
          <w:sz w:val="20"/>
          <w:szCs w:val="20"/>
        </w:rPr>
        <w:t xml:space="preserve">, nacházející se v I. nadzemním podlaží domu č.p. 328, na pozemku p.č. 1118/2, v k.ú. Trnitá, tedy v domě na ulici </w:t>
      </w:r>
      <w:r>
        <w:rPr>
          <w:rFonts w:ascii="Arial" w:hAnsi="Arial" w:cs="Arial"/>
          <w:b/>
          <w:sz w:val="20"/>
          <w:szCs w:val="20"/>
        </w:rPr>
        <w:t>Rumiště č.or. 11</w:t>
      </w:r>
      <w:r>
        <w:rPr>
          <w:rFonts w:ascii="Arial" w:hAnsi="Arial" w:cs="Arial"/>
          <w:sz w:val="20"/>
          <w:szCs w:val="20"/>
        </w:rPr>
        <w:t xml:space="preserve"> v Brně (dále též jen prostor sloužící podnikání či předmět nájmu). Prostor sloužící podnikání, který je předmětem nájmu dle této smlouvy, je zakreslen v situačním plánku, který je nedílnou součástí této smlouvy jako příloha č. 2.</w:t>
      </w:r>
    </w:p>
    <w:p>
      <w:pPr>
        <w:spacing w:line="300" w:lineRule="auto"/>
        <w:ind w:left="426" w:hanging="426"/>
        <w:jc w:val="both"/>
        <w:rPr>
          <w:rFonts w:ascii="Arial" w:hAnsi="Arial" w:cs="Arial"/>
          <w:sz w:val="20"/>
          <w:szCs w:val="20"/>
        </w:rPr>
      </w:pPr>
    </w:p>
    <w:p>
      <w:pPr>
        <w:pStyle w:val="Odstavecseseznamem"/>
        <w:numPr>
          <w:ilvl w:val="0"/>
          <w:numId w:val="1"/>
        </w:numPr>
        <w:spacing w:line="300" w:lineRule="auto"/>
        <w:ind w:left="284" w:hanging="284"/>
        <w:jc w:val="both"/>
        <w:rPr>
          <w:rFonts w:ascii="Arial" w:hAnsi="Arial" w:cs="Arial"/>
          <w:sz w:val="20"/>
          <w:szCs w:val="20"/>
        </w:rPr>
      </w:pPr>
      <w:r>
        <w:rPr>
          <w:rFonts w:ascii="Arial" w:hAnsi="Arial" w:cs="Arial"/>
          <w:sz w:val="20"/>
          <w:szCs w:val="20"/>
        </w:rPr>
        <w:t>Statutární město Brno je výlučným vlastníkem výše uvedené nemovitosti, ve které se předmětný prostor sloužící podnikání nachází. Městské části Brno-střed byla tato nemovitost svěřena v souladu se Statutem města Brna.</w:t>
      </w: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II.</w:t>
      </w:r>
    </w:p>
    <w:p>
      <w:pPr>
        <w:spacing w:line="300" w:lineRule="auto"/>
        <w:jc w:val="center"/>
        <w:rPr>
          <w:rFonts w:ascii="Arial" w:hAnsi="Arial" w:cs="Arial"/>
          <w:b/>
          <w:sz w:val="20"/>
          <w:szCs w:val="20"/>
        </w:rPr>
      </w:pPr>
      <w:r>
        <w:rPr>
          <w:rFonts w:ascii="Arial" w:hAnsi="Arial" w:cs="Arial"/>
          <w:b/>
          <w:sz w:val="20"/>
          <w:szCs w:val="20"/>
        </w:rPr>
        <w:t>Účel nájmu</w:t>
      </w:r>
    </w:p>
    <w:p>
      <w:pPr>
        <w:spacing w:line="300" w:lineRule="auto"/>
        <w:jc w:val="center"/>
        <w:rPr>
          <w:rFonts w:ascii="Arial" w:hAnsi="Arial" w:cs="Arial"/>
          <w:b/>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 xml:space="preserve">Pronajímatel dává nájemci předmět nájmu specifikovaný v čl. I. této smlouvy do nájmu za účelem podnikání, a to </w:t>
      </w:r>
      <w:r>
        <w:rPr>
          <w:rFonts w:ascii="Arial" w:hAnsi="Arial" w:cs="Arial"/>
          <w:b/>
          <w:sz w:val="20"/>
          <w:szCs w:val="20"/>
        </w:rPr>
        <w:t>provozování únikové hry.</w:t>
      </w:r>
    </w:p>
    <w:p>
      <w:pPr>
        <w:spacing w:line="300" w:lineRule="auto"/>
        <w:ind w:left="284" w:hanging="284"/>
        <w:jc w:val="both"/>
        <w:rPr>
          <w:rFonts w:ascii="Arial" w:hAnsi="Arial" w:cs="Arial"/>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Změna výše dohodnutého účelu nájmu je možná pouze po vzájemné písemné dohodě smluvních stran.</w:t>
      </w:r>
    </w:p>
    <w:p>
      <w:pPr>
        <w:spacing w:line="300" w:lineRule="auto"/>
        <w:ind w:left="284" w:hanging="284"/>
        <w:jc w:val="both"/>
        <w:rPr>
          <w:rFonts w:ascii="Arial" w:hAnsi="Arial" w:cs="Arial"/>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lastRenderedPageBreak/>
        <w:t>Pokud prostor sloužící podnikání není možno dle příslušných právních norem užívat ke sjednanému účelu nájmu, je nájemce povinen zajistit si před zahájením užívání veškerá potřebná povolení orgánů státní správy v souladu s právními předpisy a sjednaným účelem nájmu. Pro případ, že se nájemci nepodaří tato povolení zajistit, nemá taková skutečnost na tuto smlouvu a povinnost platit nájemné a služby vliv, když se jedná o jeho podnikatelské riziko a veškeré náklady i povinnosti si ponese samostatně a plně na svou odpovědnost.</w:t>
      </w:r>
    </w:p>
    <w:p>
      <w:pPr>
        <w:spacing w:line="300" w:lineRule="auto"/>
        <w:ind w:left="284" w:hanging="284"/>
        <w:jc w:val="center"/>
        <w:rPr>
          <w:rFonts w:ascii="Arial" w:hAnsi="Arial" w:cs="Arial"/>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Nájemce v souladu s  § 1765 odst. 2 OZ prohlašuje, že na sebe přebírá nebezpečí změny okolností, a nájemce se nebude v případě eventuální podstatné změny okolností domáhat vůči pronajímateli obnovení jednání o této smlouvě.</w:t>
      </w:r>
    </w:p>
    <w:p>
      <w:pPr>
        <w:spacing w:line="300" w:lineRule="auto"/>
        <w:ind w:left="284" w:hanging="284"/>
        <w:jc w:val="both"/>
        <w:rPr>
          <w:rFonts w:ascii="Arial" w:hAnsi="Arial" w:cs="Arial"/>
          <w:sz w:val="20"/>
          <w:szCs w:val="20"/>
        </w:rPr>
      </w:pPr>
    </w:p>
    <w:p>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Nájemce se zavazuje, že nebude v  předmětu nájmu umístěno, popř. provozováno technické zařízení dle zákona o hazardních hrách, zejména výherní hrací přístroj, koncový interaktivní videoloterní terminál či herní místo lokálního herního systému.</w:t>
      </w:r>
    </w:p>
    <w:p>
      <w:pPr>
        <w:spacing w:line="300" w:lineRule="auto"/>
        <w:rPr>
          <w:rFonts w:ascii="Arial" w:hAnsi="Arial" w:cs="Arial"/>
          <w:b/>
          <w:sz w:val="20"/>
          <w:szCs w:val="20"/>
        </w:rPr>
      </w:pPr>
    </w:p>
    <w:p>
      <w:pPr>
        <w:spacing w:line="300" w:lineRule="auto"/>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t>III.</w:t>
      </w:r>
    </w:p>
    <w:p>
      <w:pPr>
        <w:spacing w:line="300" w:lineRule="auto"/>
        <w:jc w:val="center"/>
        <w:rPr>
          <w:rFonts w:ascii="Arial" w:hAnsi="Arial" w:cs="Arial"/>
          <w:b/>
          <w:sz w:val="20"/>
          <w:szCs w:val="20"/>
        </w:rPr>
      </w:pPr>
      <w:r>
        <w:rPr>
          <w:rFonts w:ascii="Arial" w:hAnsi="Arial" w:cs="Arial"/>
          <w:b/>
          <w:sz w:val="20"/>
          <w:szCs w:val="20"/>
        </w:rPr>
        <w:t>Doba nájmu</w:t>
      </w:r>
    </w:p>
    <w:p>
      <w:pPr>
        <w:spacing w:line="300" w:lineRule="auto"/>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Tato smlouva se uzavírá na dobu neurčitou, ode dne 01.08.2023 (den vzniku nájmu).</w:t>
      </w: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IV.</w:t>
      </w:r>
    </w:p>
    <w:p>
      <w:pPr>
        <w:spacing w:line="300" w:lineRule="auto"/>
        <w:jc w:val="center"/>
        <w:rPr>
          <w:rFonts w:ascii="Arial" w:hAnsi="Arial" w:cs="Arial"/>
          <w:b/>
          <w:sz w:val="20"/>
          <w:szCs w:val="20"/>
        </w:rPr>
      </w:pPr>
      <w:r>
        <w:rPr>
          <w:rFonts w:ascii="Arial" w:hAnsi="Arial" w:cs="Arial"/>
          <w:b/>
          <w:sz w:val="20"/>
          <w:szCs w:val="20"/>
        </w:rPr>
        <w:t>Výše nájemného, úhrady nájemného a služeb (včetně záloh na služby), jistota</w:t>
      </w:r>
    </w:p>
    <w:p>
      <w:pPr>
        <w:spacing w:line="300" w:lineRule="auto"/>
        <w:rPr>
          <w:rFonts w:ascii="Arial" w:hAnsi="Arial" w:cs="Arial"/>
          <w:b/>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za předmět nájmu specifikovaný v čl. I. této smlouvy dohodnuté nájemné ve výši 24.000 Kč ročně, tj. 2.000 Kč měsíčně.</w:t>
      </w:r>
    </w:p>
    <w:p>
      <w:pPr>
        <w:pStyle w:val="Odstavecseseznamem"/>
        <w:spacing w:line="300" w:lineRule="auto"/>
        <w:ind w:left="284"/>
        <w:jc w:val="both"/>
        <w:rPr>
          <w:rFonts w:ascii="Arial" w:hAnsi="Arial" w:cs="Arial"/>
          <w:sz w:val="20"/>
          <w:szCs w:val="20"/>
        </w:rPr>
      </w:pPr>
      <w:r>
        <w:rPr>
          <w:rFonts w:ascii="Arial" w:hAnsi="Arial" w:cs="Arial"/>
          <w:sz w:val="20"/>
          <w:szCs w:val="20"/>
        </w:rPr>
        <w:t>Nájemné, stejně jako zálohy na služby či nedoplatky, může být placeno buď bankovním převodem na příslušný účet pronajímatele uvedený v záhlaví této smlouvy (popř. jiný účet pronajímatele později nájemci pronajímatelem písemně sdělený), popř. po předchozí domluvě s pronajímatelem výjimečně v hotovosti na pokladně pronajímatele. Nájemce je povinen platit nájemné bez ohledu na skutečnost, zda předmět nájmu bude užívat či nikoliv.</w:t>
      </w:r>
    </w:p>
    <w:p>
      <w:pPr>
        <w:pStyle w:val="Odstavecseseznamem"/>
        <w:spacing w:line="300" w:lineRule="auto"/>
        <w:ind w:left="284"/>
        <w:jc w:val="both"/>
        <w:rPr>
          <w:rFonts w:ascii="Arial" w:hAnsi="Arial" w:cs="Arial"/>
          <w:sz w:val="20"/>
          <w:szCs w:val="20"/>
        </w:rPr>
      </w:pPr>
      <w:r>
        <w:rPr>
          <w:rFonts w:ascii="Arial" w:hAnsi="Arial" w:cs="Arial"/>
          <w:sz w:val="20"/>
          <w:szCs w:val="20"/>
        </w:rPr>
        <w:t>Pro účely této smlouvy se za základní nájemné považuje měsíční nájemné vycházející z tohoto odstavce smlouvy, včetně případného postupného zvyšování o inflaci, avšak bez případných slev či snížení, např. skrze umořování schválených nákladů.</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zálohy na úhrady za služby stanovené ve výpočtovém listu, který tvoří nedílnou součást této smlouvy jako příloha č. 1.</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Výši záloh na úhrady za služby spojené s užíváním předmětu nájmu může pronajímatel upravit tehdy, pokud dojde ke změně podmínek, které platily v době uzavření této smlouvy. Tím se rozumí, že pokud dojde ke změně cen či rozsahu služeb od jejich dodavatelů, mohou být tyto změny upraveny ve výpočtovém listu podle aktuálního stavu a takto upravený výpočtový list se nájemce zavazuje akceptovat a platit upravené ceny a zálohy.</w:t>
      </w:r>
    </w:p>
    <w:p>
      <w:pPr>
        <w:spacing w:line="300" w:lineRule="auto"/>
        <w:ind w:left="284" w:hanging="284"/>
        <w:jc w:val="both"/>
        <w:rPr>
          <w:rFonts w:ascii="Arial" w:hAnsi="Arial" w:cs="Arial"/>
          <w:sz w:val="20"/>
          <w:szCs w:val="20"/>
        </w:rPr>
      </w:pPr>
    </w:p>
    <w:p>
      <w:pPr>
        <w:pStyle w:val="Normln0"/>
        <w:numPr>
          <w:ilvl w:val="0"/>
          <w:numId w:val="3"/>
        </w:numPr>
        <w:spacing w:line="300" w:lineRule="auto"/>
        <w:ind w:left="284" w:hanging="284"/>
        <w:jc w:val="both"/>
        <w:rPr>
          <w:rFonts w:ascii="Arial" w:hAnsi="Arial" w:cs="Arial"/>
          <w:sz w:val="20"/>
        </w:rPr>
      </w:pPr>
      <w:r>
        <w:rPr>
          <w:rFonts w:ascii="Arial" w:hAnsi="Arial" w:cs="Arial"/>
          <w:sz w:val="20"/>
        </w:rPr>
        <w:t xml:space="preserve">Nájemce s pronajímatelem se dohodli na tom, že pronajímatel je oprávněn dohodnutou výši základního nájemného vždy s účinností od 01.04. kalendářního roku jednostranně upravit o příslušná procenta, odpovídající procentům průměrné roční míry inflace </w:t>
      </w:r>
      <w:r>
        <w:rPr>
          <w:rFonts w:ascii="Arial" w:hAnsi="Arial" w:cs="Arial"/>
          <w:bCs/>
          <w:sz w:val="20"/>
        </w:rPr>
        <w:t>vyjádřené přírůstkem průměrného ročního indexu spotřebitelských cen,</w:t>
      </w:r>
      <w:r>
        <w:rPr>
          <w:rFonts w:ascii="Arial" w:hAnsi="Arial" w:cs="Arial"/>
          <w:b/>
          <w:bCs/>
          <w:sz w:val="20"/>
        </w:rPr>
        <w:t xml:space="preserve"> </w:t>
      </w:r>
      <w:r>
        <w:rPr>
          <w:rFonts w:ascii="Arial" w:hAnsi="Arial" w:cs="Arial"/>
          <w:sz w:val="20"/>
        </w:rPr>
        <w:t>oznámené Českým statistickým úřadem za uplynulý kalendářní rok. Upravenou výši nájemného se pronajímatel zavazuje nájemci písemně oznámit.</w:t>
      </w:r>
    </w:p>
    <w:p>
      <w:pPr>
        <w:pStyle w:val="Normln0"/>
        <w:spacing w:line="300" w:lineRule="auto"/>
        <w:ind w:left="284"/>
        <w:jc w:val="both"/>
        <w:rPr>
          <w:rFonts w:ascii="Arial" w:hAnsi="Arial" w:cs="Arial"/>
          <w:sz w:val="20"/>
        </w:rPr>
      </w:pPr>
      <w:r>
        <w:rPr>
          <w:rFonts w:ascii="Arial" w:hAnsi="Arial" w:cs="Arial"/>
          <w:sz w:val="20"/>
        </w:rPr>
        <w:t xml:space="preserve">Pokud pronajímatel v některém roce nájemné o inflaci nezvýší, je oprávněn tuto skutečnost zohlednit v rocích následujících (kterémkoliv z nich) a následně nájemné zvýšit o přírůstky indexů, které do roku, ve kterém dochází ke zvýšení nájemného, pronajímatelem doposud využity nebyly. Takové zvýšení </w:t>
      </w:r>
      <w:r>
        <w:rPr>
          <w:rFonts w:ascii="Arial" w:hAnsi="Arial" w:cs="Arial"/>
          <w:sz w:val="20"/>
        </w:rPr>
        <w:lastRenderedPageBreak/>
        <w:t>nájemného je možno provést pouze ve vztahu k nájemnému za kalendářní rok, ve kterém ke zvýšení nájemného dochází a dále do budoucna.</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nájemné po celou dobu nájmu předem, ke 25. dni  měsíce předcházejícího měsíci, za který má být nájemné placeno. Nájemce se zavazuje platit zálohy na úhrady za služby specifikované ve výpočtovém listu po celou dobu nájmu rovněž předem, ke 25. dni v měsíci, s výjimkou prvního měsíce nájmu, kdy je nájemce oprávněn zaplatit zálohu na úhrady za služby ke 25. dni běžícího měsíce.</w:t>
      </w:r>
    </w:p>
    <w:p>
      <w:pPr>
        <w:pStyle w:val="Odstavecseseznamem"/>
        <w:spacing w:line="300" w:lineRule="auto"/>
        <w:ind w:left="284"/>
        <w:jc w:val="both"/>
        <w:rPr>
          <w:rFonts w:ascii="Arial" w:hAnsi="Arial" w:cs="Arial"/>
          <w:sz w:val="20"/>
          <w:szCs w:val="20"/>
        </w:rPr>
      </w:pPr>
      <w:r>
        <w:rPr>
          <w:rFonts w:ascii="Arial" w:hAnsi="Arial" w:cs="Arial"/>
          <w:sz w:val="20"/>
          <w:szCs w:val="20"/>
        </w:rPr>
        <w:t>Při podpisu této smlouvy se nájemce zavazuje zaplatit jednorázově nájemné za první měsíc, poté se nájemce zavazuje platit měsíční nájemné a zálohy na úhradu za služby vždy ke 25. dni v měsíci.</w:t>
      </w:r>
    </w:p>
    <w:p>
      <w:pPr>
        <w:pStyle w:val="Odstavecseseznamem"/>
        <w:spacing w:line="300" w:lineRule="auto"/>
        <w:ind w:left="284"/>
        <w:jc w:val="both"/>
        <w:rPr>
          <w:rFonts w:ascii="Arial" w:hAnsi="Arial" w:cs="Arial"/>
          <w:sz w:val="20"/>
          <w:szCs w:val="20"/>
        </w:rPr>
      </w:pPr>
      <w:r>
        <w:rPr>
          <w:rFonts w:ascii="Arial" w:hAnsi="Arial" w:cs="Arial"/>
          <w:sz w:val="20"/>
          <w:szCs w:val="20"/>
        </w:rPr>
        <w:t>(Tzn. je–li například den vzniku nájmu stanoven ode dne 01.01., popř. 15.01., je nájemce při podpisu této smlouvy povinen zaplatit nájemné za leden příslušného roku, poté je povinen ke 25. lednu zaplatit nájemné za únor příslušného roku a zálohy na úhrady za služby za leden a únor příslušného roku, ke 25. únoru nájemné za březen příslušného roku a zálohu na úhrady za služby za březen příslušného roku atd.).</w:t>
      </w:r>
    </w:p>
    <w:p>
      <w:pPr>
        <w:pStyle w:val="Odstavecseseznamem"/>
        <w:tabs>
          <w:tab w:val="left" w:pos="4746"/>
        </w:tabs>
        <w:spacing w:line="300" w:lineRule="auto"/>
        <w:ind w:left="284"/>
        <w:jc w:val="both"/>
        <w:rPr>
          <w:rFonts w:ascii="Arial" w:hAnsi="Arial" w:cs="Arial"/>
          <w:sz w:val="20"/>
          <w:szCs w:val="20"/>
        </w:rPr>
      </w:pPr>
      <w:r>
        <w:rPr>
          <w:rFonts w:ascii="Arial" w:hAnsi="Arial" w:cs="Arial"/>
          <w:sz w:val="20"/>
          <w:szCs w:val="20"/>
        </w:rPr>
        <w:t>V případě prodlení nájemce se zaplacením nájemného či úhrady za služby spojené s užíváním předmětu nájmu, je nájemce povinen zaplatit pronajímateli zákonný úrok z prodlení.</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Zálohy na úhrady za teplo, teplou užitkovou vodu, vodné a stočné a ostatní služby spojené s užíváním předmětu nájmu, které jsou specifikovány ve výpočtovém listu, budou vyúčtovány dle platných právních předpisů. Nájemce je povinen zaplatit případný nedoplatek nejpozději do 31.07. příslušného kalendářního roku.</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Smluvní strany se dohodly na tom, že řádnost veškerých plateb nájemce dle této smlouvy bude zajištěna zaplacením jistoty ve výši 6.000 Kč. Jistota bude nájemcem zaplacena před podpisem této smlouvy na příslušný účet pronajímatele uvedený v záhlaví této smlouvy. V případě prodlení nájemce s platbami nájemného, služeb a ostatních dlužných částek dle této smlouvy, včetně nákladů na uvedení předmětu nájmu do původního stavu, či jakýchkoliv škod způsobených nájemcem, je pronajímatel oprávněn použít zaplacenou jistotu na úhradu tohoto dluhu, a to včetně příslušenství, sankcí či souvisejících nákladů. V případě čerpání jistoty ze strany pronajímatele je nájemce povinen jistotu doplnit na původní výši nejpozději do 3 dnů ode dne doručení oznámení pronajímatele o čerpání jistoty. Jistota nebude dle dohody smluvních stran nájemci úročena a takto bez zhodnocení bude nájemci vrácena po skončení této smlouvy a řádném protokolárním předání vyklizeného předmětu nájmu ve smyslu čl. VII. odst. 1 této smlouvy.</w:t>
      </w:r>
    </w:p>
    <w:p>
      <w:pPr>
        <w:spacing w:line="300" w:lineRule="auto"/>
        <w:ind w:left="284" w:hanging="284"/>
        <w:jc w:val="both"/>
        <w:rPr>
          <w:rFonts w:ascii="Arial" w:hAnsi="Arial" w:cs="Arial"/>
          <w:sz w:val="20"/>
          <w:szCs w:val="20"/>
        </w:rPr>
      </w:pPr>
    </w:p>
    <w:p>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Veškeré platby dle této smlouvy jsou považovány za zaplacené v okamžiku připsání příslušné částky na příslušný účet pronajímatele uvedený v záhlaví této smlouvy (popř. jiný účet pronajímatele později nájemci pronajímatelem písemně sdělený), popř. zaplacením v hotovosti na pokladně pronajímatele (přičemž smluvní pokuty lze platit pouze na příslušný účet, nikoliv v hotovosti).</w:t>
      </w:r>
    </w:p>
    <w:p>
      <w:pPr>
        <w:spacing w:line="300" w:lineRule="auto"/>
        <w:ind w:left="284" w:hanging="284"/>
        <w:jc w:val="right"/>
        <w:rPr>
          <w:rFonts w:ascii="Arial" w:hAnsi="Arial" w:cs="Arial"/>
          <w:sz w:val="20"/>
          <w:szCs w:val="20"/>
        </w:rPr>
      </w:pP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V.</w:t>
      </w:r>
    </w:p>
    <w:p>
      <w:pPr>
        <w:spacing w:line="300" w:lineRule="auto"/>
        <w:jc w:val="center"/>
        <w:rPr>
          <w:rFonts w:ascii="Arial" w:hAnsi="Arial" w:cs="Arial"/>
          <w:b/>
          <w:sz w:val="20"/>
          <w:szCs w:val="20"/>
        </w:rPr>
      </w:pPr>
      <w:r>
        <w:rPr>
          <w:rFonts w:ascii="Arial" w:hAnsi="Arial" w:cs="Arial"/>
          <w:b/>
          <w:sz w:val="20"/>
          <w:szCs w:val="20"/>
        </w:rPr>
        <w:t>Práva a povinnosti pronajímatele a nájemce</w:t>
      </w:r>
    </w:p>
    <w:p>
      <w:pPr>
        <w:spacing w:line="300" w:lineRule="auto"/>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předává nájemci předmět nájmu specifikovaný v čl. I. této smlouvy ve stavu, se kterým (včetně jeho okolí a přístupu k němu) se nájemce před podpisem této smlouvy podrobně seznámil, neměl proti němu námitek a v tomto stavu jej přebírá.</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 xml:space="preserve">Nájemce je povinen užívat předmět nájmu s péčí řádného hospodáře v rozsahu a k účelu sjednanému v této smlouvě, udržovat jej v čistotě a nenarušovat sousedské vztahy. Nájemce je povinen platit vlastním nákladem náklady spojené s běžnou údržbou předmětu nájmu, a to včetně pravidelného zajišťování a úhrady revizních/kontrolních zpráv určených k předmětu nájmu a jeho vybavení. Pro případ nezajišťování řádných revizí/kontrol odpovídá nájemce za vzniklou škodu. Za drobné opravy se považují opravy do 5.000 Kč (včetně) bez DPH za jednotlivý případ. Za běžnou údržbu se ve zbytku považuje údržba analogicky ve </w:t>
      </w:r>
      <w:r>
        <w:rPr>
          <w:rFonts w:ascii="Arial" w:hAnsi="Arial" w:cs="Arial"/>
          <w:sz w:val="20"/>
          <w:szCs w:val="20"/>
        </w:rPr>
        <w:lastRenderedPageBreak/>
        <w:t>smyslu nařízení vlády č. 308/2015 Sb., v platném znění, a to s vyloučením užití § 6 odst. 1 daného nařízení. Osoba odpovědná za plnění povinností na úseku požární ochrany je nájemce.</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není oprávněn dát předmět nájmu do podnájmu či jiného užívání třetí osobě bez předchozího písemného souhlasu pronajímatele.</w:t>
      </w:r>
    </w:p>
    <w:p>
      <w:pPr>
        <w:spacing w:line="300" w:lineRule="auto"/>
        <w:ind w:left="284" w:hanging="284"/>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nesmí přenechat předmět nájmu třetí osobě, to znamená, že nájemce nemůže přenechat právo nájmu třetí osobě či vložit práva z nájmu předmětného prostoru sloužícího podnikání do jakýchkoliv forem sdružení atp. a umožnit tak vznik práva nájmu, užívání, či spoluužívání třetím osobám. Pro případ převodu obchodního závodu, jehož součástí bude užívací právo dle této smlouvy, je nutný předchozí písemný souhlas pronajímatele.</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Stavební práce a úpravy jakéhokoliv charakteru (tedy změny předmětu nájmu) je nájemce oprávněn provádět pouze s písemným souhlasem pronajímatele a v souladu s příslušnými předpisy. O rozsahu stavebních prací a předpokládané výši finančních nákladů s těmito pracemi spojenými sjednají smluvní strany samostatnou písemnou dohodu, a to smlouvu o právu provést stavbu/práce (inominátní smlouvu).</w:t>
      </w:r>
    </w:p>
    <w:p>
      <w:pPr>
        <w:pStyle w:val="Odstavecseseznamem"/>
        <w:spacing w:line="300" w:lineRule="auto"/>
        <w:ind w:left="284"/>
        <w:jc w:val="both"/>
        <w:rPr>
          <w:rFonts w:ascii="Arial" w:hAnsi="Arial" w:cs="Arial"/>
          <w:sz w:val="20"/>
          <w:szCs w:val="20"/>
        </w:rPr>
      </w:pPr>
      <w:r>
        <w:rPr>
          <w:rFonts w:ascii="Arial" w:hAnsi="Arial" w:cs="Arial"/>
          <w:sz w:val="20"/>
          <w:szCs w:val="20"/>
        </w:rPr>
        <w:t>Smluvní strany se dohodly a nájemce bezvýhradně souhlasí s tím, že veškeré náklady na případně provedené stavební či jiné práce, v jejichž důsledku dojde ke změně předmětu nájmu, nese výhradně nájemce, který nemá právo požadovat po pronajímateli úhradu nákladů, nebude-li písemně sjednáno jinak, a to ani po skončení nájmu. Smluvní strany se rovněž dohodly, že nájemce po skončení nájmu není oprávněn bez písemného souhlasu pronajímatele oddělit od předmětu nájmu to, co do něj vložil vlastním nákladem (tím není dotčeno právo pronajímatele žádat jejich odstranění a uvedení v předešlý stav), a nemá možnost požadovat po skončení nájmu po pronajímateli ani vyrovnání v souvislosti s provedenými změnami, i kdyby tyto měly vliv na zhodnocení předmětu nájmu.</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nebo jím pověřené osoby jsou oprávněny kdykoliv během provozní doby na dobu nezbytně nutnou vstupovat do předmětu nájmu za účelem zjištění, zda předmět nájmu není užíván v rozporu s touto smlouvou či zda na předmětu nájmu nevzniká pronajímateli škoda. Po předchozím upozornění je nájemce povinen pronajímateli či osobě pronajímatelem pověřené umožnit kontrolu užívání předmětu nájmu i mimo provozní dobu. Obé platí i v případech, kdy pronajímatel například potřebuje v předmětu nájmu provést jakákoliv měření, sondy, opravy či jiné práce nebo prohlídku se třetí osobou atp. Předchozí oznámení se nevyžaduje, je-li nezbytné zabránit škodě nebo hrozí-li nebezpečí z prodlení. Pro případ, že nájemce předmětné vstupy neumožní, odpovídá plně za vzniklou škodu.</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Reklamní či podobné zařízení lze umístit na/v nemovitosti, v níž se předmět nájmu nachází, jen s předchozím písemným souhlasem pronajímatele. V žádosti musí nájemce předložit popis a grafické vyobrazení požadovaného reklamního zařízení s tím, že souhlas pronajímatele s umístěním reklamního či podobného zařízení nemá vliv na povinnost nájemce zajistit předchozí souhlas příslušných orgánů státní správy, přičemž odpovědnost za porušení této povinnosti nese nájemce. Pronajímatel může odmítnout udělit svůj souhlas, má-li pro toto vážný důvod, tedy zejména pokud bylo zařízení či jeho obsah dle názoru pronajímatele v rozporu s dobrými mravy či právy jiné osoby atp. Měsíční lhůta ve smyslu § 2305 OZ se neužije. Cena za umístění reklamního nebo obdobného zařízení se sjedná v samostatné písemné dohodě (netýká se označení firmy v souladu se zákonem).</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V souladu se zákonem č. 541/2020 Sb., o odpadech, v platném znění, navazujícími předpisy, obecně platnými vyhláškami statutárního města Brna o nakládání s odpady (vyhláška statutárního města Brna č. 4/2016, o stanovení systému shromažďování, sběru, přepravy, třídění, využívání a odstraňování komunálního odpadu vznikajícího na území statutárního města Brna, v platném znění) a zákonem č. 17/1992 Sb., o životním prostředí, v platném znění, či jinými aktuálními souvisejícími předpisy, je nájemce povinen zajistit likvidaci odpadů přímo s organizacemi oprávněnými k likvidaci odpadů.</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lastRenderedPageBreak/>
        <w:t>Nájemce se zavazuje, že na žádost pronajímatele bezodkladně umožní v potřebné míře a na dobu nezbytně nutnou vstup do předmětu nájmu a užívání předmětu nájmu za účelem odstranění poruch a havárií nebo zajištění nutných stavebních prací či jiných záležitostí zejména ve smyslu odst. 6. Pro případ nesplnění této povinnosti nájemce si smluvní strany sjednávají, že nájemce je povinen platit pronajímateli smluvní pokutu ve výši 500 Kč za každý započatý den prodlení.</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je povinen dodržovat obecně závazné předpisy týkající se veřejného pořádku, zejména vyhlášku statutárního města Brna č. 12/2011, o regulaci veřejné produkce hudby v pohostinských zařízeních a restauračních zahrádkách, za účelem zabezpečení místních záležitostí veřejného pořádku, v platném znění, popř. jiný navazující předpis.</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nese rizika vyplývající z podnikatelské činnosti a je na jeho odpovědnost, aby si sjednal mj. adekvátní pojištění škod a ztrát vlastnictví majetku v předmětu nájmu a udržoval jejich platnost po celou dobu trvání této smlouvy, a to alespoň na částku pořizovací poškozeného majetku. Pronajímatel nedopovídá za jakékoliv škody na majetku nájemce či třetí osoby vneseného do předmětu nájmu a není povinen uzavírat v tomto smyslu žádné pojistné smlouvy. Nájemce se zavazuje informovat pronajímatele bez zbytečného odkladu po vzniku každé jednotlivé pojistné události, dotýkající se předmětu nájmu, a doložit mu bez zbytečného odkladu od vzniku každé takové jednotlivé pojistné události veškeré podklady (např. fotodokumentaci, zápis o vzniku škody apod.) nezbytné pro ohlášení pojistné události pojišťovací společnosti.</w:t>
      </w:r>
    </w:p>
    <w:p>
      <w:pPr>
        <w:spacing w:line="300" w:lineRule="auto"/>
        <w:ind w:left="284" w:hanging="284"/>
        <w:jc w:val="both"/>
        <w:rPr>
          <w:rFonts w:ascii="Arial" w:hAnsi="Arial" w:cs="Arial"/>
          <w:sz w:val="20"/>
          <w:szCs w:val="20"/>
        </w:rPr>
      </w:pPr>
    </w:p>
    <w:p>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neprodleně, nejpozději do 1 týdne, informuje pronajímatele o všech změnách a skutečnostech, týkajících se identifikace nájemce (kupř. změna sídla, změna právní formy nájemce, přeměna nájemce), dále též o jeho vstupu do likvidace a o zahájení insolvenčního řízení na něj nebo o zahájení exekučního řízení proti němu.</w:t>
      </w:r>
    </w:p>
    <w:p>
      <w:pPr>
        <w:spacing w:line="300" w:lineRule="auto"/>
        <w:ind w:left="284" w:hanging="284"/>
        <w:jc w:val="both"/>
        <w:rPr>
          <w:rFonts w:ascii="Arial" w:hAnsi="Arial" w:cs="Arial"/>
          <w:sz w:val="20"/>
          <w:szCs w:val="20"/>
        </w:rPr>
      </w:pPr>
    </w:p>
    <w:p>
      <w:pPr>
        <w:spacing w:line="300" w:lineRule="auto"/>
        <w:ind w:left="284" w:hanging="284"/>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VI.</w:t>
      </w:r>
    </w:p>
    <w:p>
      <w:pPr>
        <w:spacing w:line="300" w:lineRule="auto"/>
        <w:jc w:val="center"/>
        <w:rPr>
          <w:rFonts w:ascii="Arial" w:hAnsi="Arial" w:cs="Arial"/>
          <w:b/>
          <w:sz w:val="20"/>
          <w:szCs w:val="20"/>
        </w:rPr>
      </w:pPr>
      <w:r>
        <w:rPr>
          <w:rFonts w:ascii="Arial" w:hAnsi="Arial" w:cs="Arial"/>
          <w:b/>
          <w:sz w:val="20"/>
          <w:szCs w:val="20"/>
        </w:rPr>
        <w:t>Skončení nájmu</w:t>
      </w:r>
    </w:p>
    <w:p>
      <w:pPr>
        <w:spacing w:line="300" w:lineRule="auto"/>
        <w:jc w:val="both"/>
        <w:rPr>
          <w:rFonts w:ascii="Arial" w:hAnsi="Arial" w:cs="Arial"/>
          <w:sz w:val="20"/>
          <w:szCs w:val="20"/>
        </w:rPr>
      </w:pPr>
    </w:p>
    <w:p>
      <w:pPr>
        <w:spacing w:line="300" w:lineRule="auto"/>
        <w:ind w:left="284" w:hanging="284"/>
        <w:jc w:val="both"/>
        <w:rPr>
          <w:rFonts w:ascii="Arial" w:hAnsi="Arial" w:cs="Arial"/>
          <w:sz w:val="20"/>
          <w:szCs w:val="20"/>
        </w:rPr>
      </w:pPr>
      <w:r>
        <w:rPr>
          <w:rFonts w:ascii="Arial" w:hAnsi="Arial" w:cs="Arial"/>
          <w:sz w:val="20"/>
          <w:szCs w:val="20"/>
        </w:rPr>
        <w:t>Nájemní vztah mezi smluvními stranami lze ukončit:</w:t>
      </w:r>
    </w:p>
    <w:p>
      <w:pPr>
        <w:pStyle w:val="Odstavecseseznamem"/>
        <w:numPr>
          <w:ilvl w:val="0"/>
          <w:numId w:val="5"/>
        </w:numPr>
        <w:spacing w:line="300" w:lineRule="auto"/>
        <w:ind w:left="284" w:hanging="284"/>
        <w:jc w:val="both"/>
        <w:rPr>
          <w:rFonts w:ascii="Arial" w:hAnsi="Arial" w:cs="Arial"/>
          <w:sz w:val="20"/>
          <w:szCs w:val="20"/>
        </w:rPr>
      </w:pPr>
      <w:r>
        <w:rPr>
          <w:rFonts w:ascii="Arial" w:hAnsi="Arial" w:cs="Arial"/>
          <w:sz w:val="20"/>
          <w:szCs w:val="20"/>
        </w:rPr>
        <w:t>Písemnou dohodou smluvních stran.</w:t>
      </w:r>
    </w:p>
    <w:p>
      <w:pPr>
        <w:pStyle w:val="NP"/>
        <w:numPr>
          <w:ilvl w:val="0"/>
          <w:numId w:val="5"/>
        </w:numPr>
        <w:spacing w:line="300" w:lineRule="auto"/>
        <w:ind w:left="284" w:right="72" w:hanging="284"/>
        <w:jc w:val="both"/>
        <w:rPr>
          <w:rFonts w:ascii="Arial" w:hAnsi="Arial" w:cs="Arial"/>
          <w:b/>
          <w:sz w:val="20"/>
        </w:rPr>
      </w:pPr>
      <w:r>
        <w:rPr>
          <w:rFonts w:ascii="Arial" w:hAnsi="Arial" w:cs="Arial"/>
          <w:sz w:val="20"/>
        </w:rPr>
        <w:t>Písemnou výpovědí danou pronajímatelem nebo nájemcem, s tříměsíční výpovědní dobou s tím, že smluvní strany nemusí uvést výpovědní důvod. Výpovědní doba počíná běžet prvním dnem kalendářního měsíce následujícího po doručení výpovědi druhé smluvní straně.</w:t>
      </w:r>
    </w:p>
    <w:p>
      <w:pPr>
        <w:pStyle w:val="Odstavecseseznamem"/>
        <w:numPr>
          <w:ilvl w:val="0"/>
          <w:numId w:val="5"/>
        </w:numPr>
        <w:tabs>
          <w:tab w:val="center" w:pos="0"/>
        </w:tabs>
        <w:spacing w:line="300" w:lineRule="auto"/>
        <w:ind w:left="284" w:hanging="284"/>
        <w:jc w:val="both"/>
        <w:rPr>
          <w:rFonts w:ascii="Arial" w:hAnsi="Arial" w:cs="Arial"/>
          <w:sz w:val="20"/>
          <w:szCs w:val="20"/>
        </w:rPr>
      </w:pPr>
      <w:r>
        <w:rPr>
          <w:rFonts w:ascii="Arial" w:hAnsi="Arial" w:cs="Arial"/>
          <w:sz w:val="20"/>
          <w:szCs w:val="20"/>
        </w:rPr>
        <w:t>Odůvodněnou výpovědí danou pronajímatelem z důvodu hrubého porušení závazků nájemce vyplývajících z této smlouvy, zejména z důvodu zjištění nepravdivosti čestného prohlášení, které bylo součástí žádosti o pronájem nebytového prostoru, nebo z důvodu zjištění nepravdivosti čestného prohlášení dle čl. XI. této smlouvy, z důvodu porušení závazku dle čl. II. odst. 5 a dále v případě porušení povinnosti(í) stanovených v čl. IV. odst. 1 a 5, čl. IV. odst. 7, čl. V. odst. 3 a čl. V. odst. 6 této smlouvy,</w:t>
      </w:r>
    </w:p>
    <w:p>
      <w:pPr>
        <w:pStyle w:val="Odstavecseseznamem"/>
        <w:tabs>
          <w:tab w:val="center" w:pos="0"/>
        </w:tabs>
        <w:spacing w:line="300" w:lineRule="auto"/>
        <w:ind w:left="284"/>
        <w:jc w:val="both"/>
        <w:rPr>
          <w:rFonts w:ascii="Arial" w:hAnsi="Arial" w:cs="Arial"/>
          <w:sz w:val="20"/>
          <w:szCs w:val="20"/>
        </w:rPr>
      </w:pPr>
      <w:r>
        <w:rPr>
          <w:rFonts w:ascii="Arial" w:hAnsi="Arial" w:cs="Arial"/>
          <w:sz w:val="20"/>
          <w:szCs w:val="20"/>
        </w:rPr>
        <w:t>a sice s výpovědní dobou jeden měsíc, která počíná běžet prvním dnem kalendářního měsíce následujícího po doručení výpovědi druhé smluvní straně. Pro případné námitky nájemce vůči výpovědi si smluvní strany sjednávají lhůtu v délce 14 dnů ode dne doručení výpovědi.</w:t>
      </w:r>
    </w:p>
    <w:p>
      <w:pPr>
        <w:spacing w:line="300" w:lineRule="auto"/>
        <w:ind w:left="142" w:hanging="142"/>
        <w:jc w:val="both"/>
        <w:rPr>
          <w:rFonts w:ascii="Arial" w:hAnsi="Arial" w:cs="Arial"/>
          <w:sz w:val="20"/>
          <w:szCs w:val="20"/>
        </w:rPr>
      </w:pPr>
    </w:p>
    <w:p>
      <w:pPr>
        <w:spacing w:line="300" w:lineRule="auto"/>
        <w:ind w:left="142" w:hanging="142"/>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VII.</w:t>
      </w:r>
    </w:p>
    <w:p>
      <w:pPr>
        <w:spacing w:line="300" w:lineRule="auto"/>
        <w:jc w:val="center"/>
        <w:rPr>
          <w:rFonts w:ascii="Arial" w:hAnsi="Arial" w:cs="Arial"/>
          <w:b/>
          <w:sz w:val="20"/>
          <w:szCs w:val="20"/>
        </w:rPr>
      </w:pPr>
      <w:r>
        <w:rPr>
          <w:rFonts w:ascii="Arial" w:hAnsi="Arial" w:cs="Arial"/>
          <w:b/>
          <w:sz w:val="20"/>
          <w:szCs w:val="20"/>
        </w:rPr>
        <w:t>Důsledky skončení nájmu</w:t>
      </w:r>
    </w:p>
    <w:p>
      <w:pPr>
        <w:spacing w:line="300" w:lineRule="auto"/>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 xml:space="preserve">Při skončení nájmu je nájemce povinen předat pronajímateli předmět nájmu vyklizený čistý ve stavu v jakém jej převzal, s přihlédnutím k obvyklému opotřebení při řádném užívání či ke změnám odsouhlaseným pronajímatelem, a to nejpozději v den skončení nájmu, a to spolu s kompletní technickou dokumentací a revizními zprávami, které měl povinnost zajistit (pokud již nebylo předáno pronajímateli </w:t>
      </w:r>
      <w:r>
        <w:rPr>
          <w:rFonts w:ascii="Arial" w:hAnsi="Arial" w:cs="Arial"/>
          <w:sz w:val="20"/>
          <w:szCs w:val="20"/>
        </w:rPr>
        <w:lastRenderedPageBreak/>
        <w:t>dříve). Veškeré závady způsobené nájemcem, vlastními zaměstnanci, provozem nebo osobami, jimž byl do předmětu nájmu umožněn přístup, je nájemce povinen odstranit vlastními náklady. Veškeré změny učiněné bez písemného souhlasu pronajímatele uvede nájemce do původního stavu, nebude-li s pronajímatelem sjednáno písemně jinak. O předání a převzetí předmětu nájmu sepíší smluvní strany protokol.</w:t>
      </w:r>
    </w:p>
    <w:p>
      <w:pPr>
        <w:pStyle w:val="Odstavecseseznamem"/>
        <w:spacing w:line="300" w:lineRule="auto"/>
        <w:ind w:left="284"/>
        <w:jc w:val="both"/>
        <w:rPr>
          <w:rFonts w:ascii="Arial" w:hAnsi="Arial" w:cs="Arial"/>
          <w:sz w:val="20"/>
          <w:szCs w:val="20"/>
        </w:rPr>
      </w:pPr>
      <w:r>
        <w:rPr>
          <w:rFonts w:ascii="Arial" w:hAnsi="Arial" w:cs="Arial"/>
          <w:sz w:val="20"/>
          <w:szCs w:val="20"/>
        </w:rPr>
        <w:t>V případě nepředání předmětu nájmu, připraveného dle výše uvedených podmínek, do stanoveného termínu, tj. nejpozději v den skončení nájmu, se nájemce zavazuje platit pronajímateli smluvní pokutu, jejíž výše odpovídá 0,5 % nájemného ve výši základního měsíčního nájemného platného v kalendářním měsíci předcházejícím skončení nájmu, a to za každý započatý den prodlení s předáním předmětu nájmu. Zaplacením smluvní pokuty není dotčeno právo pronajímatele na náhradu škody ani na vydání bezdůvodného obohacení za užívání předmětu nájmu bez právního titulu. Pro tento případ si smluvní strany sjednávají, že výše bezdůvodného obohacení, na které má pronajímatel nárok, se rovná základnímu měsíčnímu nájemnému platnému v kalendářním měsíci předcházejícím skončení nájmu, a to za každý započatý měsíc neoprávněného užívání předmětu nájmu.</w:t>
      </w:r>
    </w:p>
    <w:p>
      <w:pPr>
        <w:spacing w:line="300" w:lineRule="auto"/>
        <w:ind w:left="284" w:hanging="284"/>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V případě nepředání předmětu nájmu nájemcem pronajímateli řádně a včas, je pronajímatel oprávněn předmět nájmu vyklidit sám s tím, že k movitým věcem nacházejícím se v předmětu nájmu je pronajímatel oprávněn uplatnit zadržovací právo s tím, že budou uloženy na náklady nájemce na vhodném místě po dobu 3 měsíců od skončení nájmu. Smluvní strany se dohodly, že za tímto účelem je pronajímatel či osoby jím pověřené oprávněn též ke vstupu do předmětu nájmu, včetně překonání překážek, a k nakládání s věcmi či k vykázání osob, které v předmětu nájmu nalezne.</w:t>
      </w:r>
    </w:p>
    <w:p>
      <w:pPr>
        <w:pStyle w:val="Odstavecseseznamem"/>
        <w:spacing w:line="300" w:lineRule="auto"/>
        <w:ind w:left="284"/>
        <w:jc w:val="both"/>
        <w:rPr>
          <w:rFonts w:ascii="Arial" w:hAnsi="Arial" w:cs="Arial"/>
          <w:sz w:val="20"/>
          <w:szCs w:val="20"/>
        </w:rPr>
      </w:pPr>
      <w:r>
        <w:rPr>
          <w:rFonts w:ascii="Arial" w:hAnsi="Arial" w:cs="Arial"/>
          <w:sz w:val="20"/>
          <w:szCs w:val="20"/>
        </w:rPr>
        <w:t>Za tímto účelem uděluje nájemce pronajímateli výslovný souhlas a neodvolatelné zplnomocnění k tomu, aby pronajímatel:</w:t>
      </w:r>
    </w:p>
    <w:p>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vstoupil do předmětu nájmu (po předchozím otevření vstupních dveří za případného použití dostupných technických prostředků a pomůcek) a/nebo</w:t>
      </w:r>
    </w:p>
    <w:p>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věci nájemce či jiných osob nacházející se v předmětu nájmu vhodným způsobem uložil na jiném místě a/nebo</w:t>
      </w:r>
    </w:p>
    <w:p>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vyměnil na předmětu nájmu zámek a znemožnil nájemci či dalším osobám vstup do předmětu nájmu,</w:t>
      </w:r>
    </w:p>
    <w:p>
      <w:pPr>
        <w:pStyle w:val="Odstavecseseznamem"/>
        <w:spacing w:line="300" w:lineRule="auto"/>
        <w:ind w:left="284"/>
        <w:jc w:val="both"/>
        <w:rPr>
          <w:rFonts w:ascii="Arial" w:hAnsi="Arial" w:cs="Arial"/>
          <w:sz w:val="20"/>
          <w:szCs w:val="20"/>
        </w:rPr>
      </w:pPr>
      <w:r>
        <w:rPr>
          <w:rFonts w:ascii="Arial" w:hAnsi="Arial" w:cs="Arial"/>
          <w:sz w:val="20"/>
          <w:szCs w:val="20"/>
        </w:rPr>
        <w:t>přičemž vyklizení a vystěhování předmětu nájmu bude provedeno za účasti svědků určených pronajímatelem (těmi mohou být i pracovníci ÚMČ Brno-střed) a současně bude provedena video nebo fotodokumentace.</w:t>
      </w:r>
    </w:p>
    <w:p>
      <w:pPr>
        <w:pStyle w:val="Odstavecseseznamem"/>
        <w:spacing w:line="300" w:lineRule="auto"/>
        <w:ind w:left="284"/>
        <w:jc w:val="both"/>
        <w:rPr>
          <w:rFonts w:ascii="Arial" w:hAnsi="Arial" w:cs="Arial"/>
          <w:sz w:val="20"/>
          <w:szCs w:val="20"/>
        </w:rPr>
      </w:pPr>
      <w:r>
        <w:rPr>
          <w:rFonts w:ascii="Arial" w:hAnsi="Arial" w:cs="Arial"/>
          <w:sz w:val="20"/>
          <w:szCs w:val="20"/>
        </w:rPr>
        <w:t>Nájemce v této souvislosti není oprávněn mít umístěny v předmětu nájmu hodnotné věci nesouvisející s účelem nájmu dle této smlouvy a současně si sám nese plnou odpovědnost za věci podléhající rychlé zkáze. Za ztrátu či zkázu takovýchto či jiných obdobných věcí pronajímatel nijak neodpovídá.</w:t>
      </w:r>
    </w:p>
    <w:p>
      <w:pPr>
        <w:pStyle w:val="Odstavecseseznamem"/>
        <w:spacing w:line="300" w:lineRule="auto"/>
        <w:ind w:left="284"/>
        <w:jc w:val="both"/>
        <w:rPr>
          <w:rFonts w:ascii="Arial" w:hAnsi="Arial" w:cs="Arial"/>
          <w:sz w:val="20"/>
          <w:szCs w:val="20"/>
        </w:rPr>
      </w:pPr>
      <w:r>
        <w:rPr>
          <w:rFonts w:ascii="Arial" w:hAnsi="Arial" w:cs="Arial"/>
          <w:sz w:val="20"/>
          <w:szCs w:val="20"/>
        </w:rPr>
        <w:t>Po uplynutí 3 měsíců od skončení nájmu je pronajímatel oprávněn (nikoliv povinen) předmětné movité věci ve vlastnictví nájemce prodat a získanou kupní cenu započítat na dlužné závazky nájemce plynoucí z této smlouvy či s ní související (kupř. užívání předmětu nájmu po skončení nájmu), nájemce tímto uděluje pronajímateli neodvolatelnou plnou moc k prodeji movitých věcí (tedy k uzavření kupní smlouvy, jejímž předmětem bude prodej movitých věcí ve vlastnictví nájemce).</w:t>
      </w:r>
    </w:p>
    <w:p>
      <w:pPr>
        <w:pStyle w:val="Odstavecseseznamem"/>
        <w:spacing w:line="300" w:lineRule="auto"/>
        <w:ind w:left="284"/>
        <w:jc w:val="both"/>
        <w:rPr>
          <w:rFonts w:ascii="Arial" w:hAnsi="Arial" w:cs="Arial"/>
          <w:sz w:val="20"/>
          <w:szCs w:val="20"/>
        </w:rPr>
      </w:pPr>
      <w:r>
        <w:rPr>
          <w:rFonts w:ascii="Arial" w:hAnsi="Arial" w:cs="Arial"/>
          <w:sz w:val="20"/>
          <w:szCs w:val="20"/>
        </w:rPr>
        <w:t>Po uplynutí 6 měsíců od skončení nájmu se předmětné movité věci považují za věci opuštěné a připadají do vlastnictví pronajímatele, který je oprávněn s nimi dále nakládat dle vlastního uvážení, přičemž další případné skladování a případná likvidace se uskutečňuje na náklady nájemce.</w:t>
      </w:r>
    </w:p>
    <w:p>
      <w:pPr>
        <w:pStyle w:val="Odstavecseseznamem"/>
        <w:spacing w:line="300" w:lineRule="auto"/>
        <w:ind w:left="284"/>
        <w:jc w:val="both"/>
        <w:rPr>
          <w:rFonts w:ascii="Arial" w:hAnsi="Arial" w:cs="Arial"/>
          <w:sz w:val="20"/>
          <w:szCs w:val="20"/>
        </w:rPr>
      </w:pPr>
      <w:r>
        <w:rPr>
          <w:rFonts w:ascii="Arial" w:hAnsi="Arial" w:cs="Arial"/>
          <w:sz w:val="20"/>
          <w:szCs w:val="20"/>
        </w:rPr>
        <w:t>Nájemce současně prohlašuje, že nevyžaduje žádné další vyrozumění o výše uvedených úkonech pronajímatele a s výše uvedeným postupem pro takovou situaci výslovně souhlasí.</w:t>
      </w:r>
    </w:p>
    <w:p>
      <w:pPr>
        <w:spacing w:line="300" w:lineRule="auto"/>
        <w:ind w:left="284" w:hanging="284"/>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Současně si pro případ nevyklizení či nepředání předmětu nájmu smluvní strany sjednávají, že je pronajímatel oprávněn přerušit či zastavit poskytování služeb v předmětu nájmu, za předpokladu, že nájemce bude i nadále předmět nájmu užívat bez právního důvodu. S tímto postupem nájemce výslovně souhlasí.</w:t>
      </w:r>
    </w:p>
    <w:p>
      <w:pPr>
        <w:spacing w:line="300" w:lineRule="auto"/>
        <w:ind w:left="284" w:hanging="284"/>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lastRenderedPageBreak/>
        <w:t>Případný přeplatek na nájemném a vyúčtování služeb spojených s užíváním předmětu nájmu bude bez zbytečného odkladu vyúčtován a vrácen nájemci. V případě nedoplatku je pronajímatel oprávněn uplatnit zadržovací právo k movitým věcem nacházejícím se v předmětu nájmu a patřícím nájemci.</w:t>
      </w:r>
    </w:p>
    <w:p>
      <w:pPr>
        <w:spacing w:line="300" w:lineRule="auto"/>
        <w:ind w:left="284" w:hanging="284"/>
        <w:jc w:val="both"/>
        <w:rPr>
          <w:rFonts w:ascii="Arial" w:hAnsi="Arial" w:cs="Arial"/>
          <w:sz w:val="20"/>
          <w:szCs w:val="20"/>
        </w:rPr>
      </w:pPr>
    </w:p>
    <w:p>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Smluvní strany se dohodly, že při skončení nájmu nemá nájemce právo na náhradu za výhodu pronajímatele nebo nového nájemce, kterou případně získali převzetím zákaznické základny vybudované nájemcem. Nájemce prohlašuje, že má za to, že jeho působení v předmětu nájmu nepřinese žádnou výhodu pronajímateli, ani jinému (novému) nájemci, kterou by mohli získat převzetím zákaznické základny vybudované nájemcem. Předmět nájmu je umístěn v centru města Brna, kde dochází k vysoké koncentraci chodců a tato skutečnost vytváří příležitost pro zajištění nových zákazníků pro jakéhokoliv nájemce. Zákaznická základna se v místě již nachází a to je taky důvod, proč si předmět nájmu nájemce pronajímá. Nájemce se tedy předmětného práva výslovně vzdává.</w:t>
      </w:r>
    </w:p>
    <w:p>
      <w:pPr>
        <w:spacing w:line="300" w:lineRule="auto"/>
        <w:jc w:val="both"/>
        <w:rPr>
          <w:rFonts w:ascii="Arial" w:hAnsi="Arial" w:cs="Arial"/>
          <w:sz w:val="20"/>
          <w:szCs w:val="20"/>
        </w:rPr>
      </w:pP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VIII.</w:t>
      </w:r>
    </w:p>
    <w:p>
      <w:pPr>
        <w:spacing w:line="300" w:lineRule="auto"/>
        <w:jc w:val="center"/>
        <w:rPr>
          <w:rFonts w:ascii="Arial" w:hAnsi="Arial" w:cs="Arial"/>
          <w:b/>
          <w:sz w:val="20"/>
          <w:szCs w:val="20"/>
        </w:rPr>
      </w:pPr>
      <w:r>
        <w:rPr>
          <w:rFonts w:ascii="Arial" w:hAnsi="Arial" w:cs="Arial"/>
          <w:b/>
          <w:sz w:val="20"/>
          <w:szCs w:val="20"/>
        </w:rPr>
        <w:t>Sankce</w:t>
      </w:r>
    </w:p>
    <w:p>
      <w:pPr>
        <w:spacing w:line="300" w:lineRule="auto"/>
        <w:jc w:val="both"/>
        <w:rPr>
          <w:rFonts w:ascii="Arial" w:hAnsi="Arial" w:cs="Arial"/>
          <w:sz w:val="20"/>
          <w:szCs w:val="20"/>
        </w:rPr>
      </w:pPr>
    </w:p>
    <w:p>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 případě nesplnění povinnosti dle čl. V. odst. 5, věta první této smlouvy, je nájemce povinen zaplatit pronajímateli smluvní pokutu až do výše 100.000 Kč (o konkrétní výši smluvní pokuty je oprávněn rozhodnout pronajímatel). Zaplacením smluvní pokuty není dotčeno právo pronajímatele na náhradu škody či skončení této smlouvy.</w:t>
      </w:r>
    </w:p>
    <w:p>
      <w:pPr>
        <w:spacing w:line="300" w:lineRule="auto"/>
        <w:ind w:left="284" w:hanging="284"/>
        <w:jc w:val="both"/>
        <w:rPr>
          <w:rFonts w:ascii="Arial" w:hAnsi="Arial" w:cs="Arial"/>
          <w:sz w:val="20"/>
          <w:szCs w:val="20"/>
        </w:rPr>
      </w:pPr>
    </w:p>
    <w:p>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Veškeré smluvní pokuty sjednané v této smlouvě jsou splatné na výzvu pronajímatele, a to dnem následujícím po doručení výzvy k jejich úhradě. Povinnost zaplatit smluvní pokutu je splněna v okamžiku připsání příslušné částky na příslušný účet pronajímatele uvedený v záhlaví této smlouvy.</w:t>
      </w:r>
    </w:p>
    <w:p>
      <w:pPr>
        <w:spacing w:line="300" w:lineRule="auto"/>
        <w:ind w:left="284" w:hanging="284"/>
        <w:jc w:val="both"/>
        <w:rPr>
          <w:rFonts w:ascii="Arial" w:hAnsi="Arial" w:cs="Arial"/>
          <w:sz w:val="20"/>
          <w:szCs w:val="20"/>
        </w:rPr>
      </w:pPr>
    </w:p>
    <w:p>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Smluvní strany se shodují na tom, že smluvní pokuty stanovené touto smlouvou jsou vzhledem k předmětu smlouvy a zhodnoceným rizikům přiměřené; jejich sjednáním není dotčeno právo na náhradu škody, jejíž výše není smluvní pokutou dotčena. Zaplacení smluvní pokuty nezbavuje stranu povinnou povinnosti splnit závazek, na jehož zajištění byla tato smluvní pokuta sjednána.</w:t>
      </w:r>
    </w:p>
    <w:p>
      <w:pPr>
        <w:spacing w:line="300" w:lineRule="auto"/>
        <w:ind w:left="284" w:hanging="284"/>
        <w:rPr>
          <w:rFonts w:ascii="Arial" w:hAnsi="Arial" w:cs="Arial"/>
          <w:b/>
          <w:sz w:val="20"/>
          <w:szCs w:val="20"/>
        </w:rPr>
      </w:pPr>
    </w:p>
    <w:p>
      <w:pPr>
        <w:spacing w:line="300" w:lineRule="auto"/>
        <w:jc w:val="both"/>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IX.</w:t>
      </w:r>
    </w:p>
    <w:p>
      <w:pPr>
        <w:spacing w:line="300" w:lineRule="auto"/>
        <w:jc w:val="center"/>
        <w:rPr>
          <w:rFonts w:ascii="Arial" w:hAnsi="Arial" w:cs="Arial"/>
          <w:b/>
          <w:sz w:val="20"/>
          <w:szCs w:val="20"/>
        </w:rPr>
      </w:pPr>
      <w:r>
        <w:rPr>
          <w:rFonts w:ascii="Arial" w:hAnsi="Arial" w:cs="Arial"/>
          <w:b/>
          <w:sz w:val="20"/>
          <w:szCs w:val="20"/>
        </w:rPr>
        <w:t>Doručování</w:t>
      </w:r>
    </w:p>
    <w:p>
      <w:pPr>
        <w:spacing w:line="300" w:lineRule="auto"/>
        <w:rPr>
          <w:rFonts w:ascii="Arial" w:hAnsi="Arial" w:cs="Arial"/>
          <w:b/>
          <w:sz w:val="20"/>
          <w:szCs w:val="20"/>
        </w:rPr>
      </w:pPr>
    </w:p>
    <w:p>
      <w:pPr>
        <w:spacing w:line="300" w:lineRule="auto"/>
        <w:jc w:val="both"/>
        <w:rPr>
          <w:rFonts w:ascii="Arial" w:hAnsi="Arial" w:cs="Arial"/>
          <w:sz w:val="20"/>
          <w:szCs w:val="20"/>
        </w:rPr>
      </w:pPr>
      <w:r>
        <w:rPr>
          <w:rFonts w:ascii="Arial" w:hAnsi="Arial" w:cs="Arial"/>
          <w:sz w:val="20"/>
          <w:szCs w:val="20"/>
        </w:rPr>
        <w:t>Za doručení se pro účely této smlouvy považuje osobní doručení, doručení poštovní přepravou ve formě doporučené zásilky nebo doručení prostřednictvím Informačního systému datových schránek. Za doručení je považováno rovněž i odmítnutí převzetí osobně doručované zásilky, jakož i den vrácení doporučené zásilky zaslané na sídlo adresáta uvedené v záhlaví této smlouvy nebo na jinou adresu, uvedenou ve veřejném rejstříku jako sídlo nájemce, jako nedoručitelné. Za nedoručitelnou se přitom považuje zásilka, která se vrátila zpět odesílateli, ačkoliv byla uložena na poště nebo v místě sídla té ze smluvních stran, které se doručuje a adresát si zásilku nevyzvedl, ačkoliv byl vhodným způsobem vyzván k jejímu vyzvednutí. Za nedoručitelnou se též považuje zásilka, která byla vrácena zpět odesílateli z důvodu, že se adresát na místě rozhodném pro účinek doručení nezdržuje, je neznámý či se odstěhoval bez udání adresy, a tato skutečnost je vyznačena na doručované zásilce, jejím obalu, popř. na jiné listině.</w:t>
      </w:r>
    </w:p>
    <w:p>
      <w:pPr>
        <w:spacing w:line="300" w:lineRule="auto"/>
        <w:jc w:val="both"/>
        <w:rPr>
          <w:rFonts w:ascii="Arial" w:hAnsi="Arial" w:cs="Arial"/>
          <w:sz w:val="20"/>
          <w:szCs w:val="20"/>
        </w:rPr>
      </w:pPr>
      <w:r>
        <w:rPr>
          <w:rFonts w:ascii="Arial" w:hAnsi="Arial" w:cs="Arial"/>
          <w:sz w:val="20"/>
          <w:szCs w:val="20"/>
        </w:rPr>
        <w:t>Smluvní strany se dohodly, že doručovací adresou adresáta je sídlo adresáta uvedené v záhlaví této smlouvy nebo jiná adresa uvedená ve veřejném rejstříku jako sídlo nájemce, a dnem doručení (či vrácení) zásilky směrem k pronajímateli je den, kdy zásilka dorazila na podatelnu pronajímatele.</w:t>
      </w:r>
    </w:p>
    <w:p>
      <w:pPr>
        <w:spacing w:line="300" w:lineRule="auto"/>
        <w:jc w:val="both"/>
        <w:rPr>
          <w:rFonts w:ascii="Arial" w:hAnsi="Arial" w:cs="Arial"/>
          <w:sz w:val="20"/>
          <w:szCs w:val="20"/>
        </w:rPr>
      </w:pPr>
    </w:p>
    <w:p>
      <w:pPr>
        <w:spacing w:line="300" w:lineRule="auto"/>
        <w:rPr>
          <w:rFonts w:ascii="Arial" w:hAnsi="Arial" w:cs="Arial"/>
          <w:b/>
          <w:sz w:val="20"/>
          <w:szCs w:val="20"/>
        </w:rPr>
      </w:pPr>
    </w:p>
    <w:p>
      <w:pPr>
        <w:spacing w:line="300" w:lineRule="auto"/>
        <w:rPr>
          <w:rFonts w:ascii="Arial" w:hAnsi="Arial" w:cs="Arial"/>
          <w:b/>
          <w:sz w:val="20"/>
          <w:szCs w:val="20"/>
        </w:rPr>
      </w:pPr>
    </w:p>
    <w:p>
      <w:pPr>
        <w:spacing w:line="300" w:lineRule="auto"/>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lastRenderedPageBreak/>
        <w:t>X.</w:t>
      </w:r>
    </w:p>
    <w:p>
      <w:pPr>
        <w:spacing w:line="300" w:lineRule="auto"/>
        <w:jc w:val="center"/>
        <w:rPr>
          <w:rFonts w:ascii="Arial" w:hAnsi="Arial" w:cs="Arial"/>
          <w:b/>
          <w:sz w:val="20"/>
          <w:szCs w:val="20"/>
        </w:rPr>
      </w:pPr>
      <w:r>
        <w:rPr>
          <w:rFonts w:ascii="Arial" w:hAnsi="Arial" w:cs="Arial"/>
          <w:b/>
          <w:sz w:val="20"/>
          <w:szCs w:val="20"/>
        </w:rPr>
        <w:t>Doložka schválení dle § 41, zákona č. 128/2000 Sb., o obcích (obecní zřízení), v platném znění</w:t>
      </w:r>
    </w:p>
    <w:p>
      <w:pPr>
        <w:spacing w:line="300" w:lineRule="auto"/>
        <w:jc w:val="center"/>
        <w:rPr>
          <w:rFonts w:ascii="Arial" w:hAnsi="Arial" w:cs="Arial"/>
          <w:b/>
          <w:sz w:val="20"/>
          <w:szCs w:val="20"/>
        </w:rPr>
      </w:pPr>
      <w:r>
        <w:rPr>
          <w:rFonts w:ascii="Arial" w:hAnsi="Arial" w:cs="Arial"/>
          <w:b/>
          <w:sz w:val="20"/>
          <w:szCs w:val="20"/>
        </w:rPr>
        <w:t>Informační doložka, Doložka o povinnosti uveřejnění</w:t>
      </w:r>
    </w:p>
    <w:p>
      <w:pPr>
        <w:spacing w:line="300" w:lineRule="auto"/>
        <w:jc w:val="both"/>
        <w:rPr>
          <w:rFonts w:ascii="Arial" w:hAnsi="Arial" w:cs="Arial"/>
          <w:sz w:val="20"/>
          <w:szCs w:val="20"/>
        </w:rPr>
      </w:pPr>
    </w:p>
    <w:p>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Záměr pronajmout předmět nájmu byl zveřejněn zákonným způsobem, tj. na úřední desce městské části Brno-střed, ve dnech od 09.05.2023 do 11.07.2023. Uzavření této smlouvy bylo schváleno usnesením Rady městské části Brno-střed RMČ/2023/29/47 ze dne 19.06.2023.</w:t>
      </w:r>
    </w:p>
    <w:p>
      <w:pPr>
        <w:spacing w:line="300" w:lineRule="auto"/>
        <w:ind w:left="284" w:hanging="284"/>
        <w:jc w:val="both"/>
        <w:rPr>
          <w:rFonts w:ascii="Arial" w:hAnsi="Arial" w:cs="Arial"/>
          <w:sz w:val="20"/>
          <w:szCs w:val="20"/>
        </w:rPr>
      </w:pPr>
    </w:p>
    <w:p>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Smluvní strany berou na vědomí a souhlasí s tím, že tato smlouva, včetně jejích případných změn, bude zveřejněna na základě zákona č. 106/1999 Sb., o svobodném přístupu k informacím, ve znění pozdějších předpisů (dále jen „zákon“), vyjma informací uvedených v § 7 - § 11 zákona. Veškeré údaje, které požívají ochrany dle zvláštních zákonů, zejména osobní a citlivé údaje, obchodní tajemství aj. budou anonymizovány.</w:t>
      </w:r>
    </w:p>
    <w:p>
      <w:pPr>
        <w:spacing w:line="300" w:lineRule="auto"/>
        <w:ind w:left="284" w:hanging="284"/>
        <w:jc w:val="both"/>
        <w:rPr>
          <w:rFonts w:ascii="Arial" w:hAnsi="Arial" w:cs="Arial"/>
          <w:sz w:val="20"/>
          <w:szCs w:val="20"/>
        </w:rPr>
      </w:pPr>
    </w:p>
    <w:p>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ve znění pozdějších předpisů, v registru smluv, vyjma údajů, které požívají ochrany dle zvláštních zákonů, zejména osobní a citlivé údaje a obchodní tajemství.</w:t>
      </w:r>
    </w:p>
    <w:p>
      <w:pPr>
        <w:spacing w:line="300" w:lineRule="auto"/>
        <w:ind w:left="284" w:hanging="284"/>
        <w:jc w:val="both"/>
        <w:rPr>
          <w:rFonts w:ascii="Arial" w:hAnsi="Arial" w:cs="Arial"/>
          <w:i/>
          <w:sz w:val="20"/>
          <w:szCs w:val="20"/>
        </w:rPr>
      </w:pPr>
    </w:p>
    <w:p>
      <w:pPr>
        <w:spacing w:line="300" w:lineRule="auto"/>
        <w:jc w:val="center"/>
        <w:rPr>
          <w:rFonts w:ascii="Arial" w:hAnsi="Arial" w:cs="Arial"/>
          <w:b/>
          <w:sz w:val="20"/>
          <w:szCs w:val="20"/>
        </w:rPr>
      </w:pPr>
      <w:r>
        <w:rPr>
          <w:rFonts w:ascii="Arial" w:hAnsi="Arial" w:cs="Arial"/>
          <w:b/>
          <w:sz w:val="20"/>
          <w:szCs w:val="20"/>
        </w:rPr>
        <w:t>XI.</w:t>
      </w:r>
    </w:p>
    <w:p>
      <w:pPr>
        <w:spacing w:line="300" w:lineRule="auto"/>
        <w:jc w:val="center"/>
        <w:rPr>
          <w:rFonts w:ascii="Arial" w:hAnsi="Arial" w:cs="Arial"/>
          <w:b/>
          <w:sz w:val="20"/>
          <w:szCs w:val="20"/>
        </w:rPr>
      </w:pPr>
      <w:r>
        <w:rPr>
          <w:rFonts w:ascii="Arial" w:hAnsi="Arial" w:cs="Arial"/>
          <w:b/>
          <w:sz w:val="20"/>
          <w:szCs w:val="20"/>
        </w:rPr>
        <w:t>Čestné prohlášení</w:t>
      </w:r>
    </w:p>
    <w:p>
      <w:pPr>
        <w:spacing w:line="300" w:lineRule="auto"/>
        <w:jc w:val="both"/>
        <w:rPr>
          <w:rFonts w:ascii="Arial" w:hAnsi="Arial" w:cs="Arial"/>
          <w:color w:val="C00000"/>
          <w:sz w:val="20"/>
          <w:szCs w:val="20"/>
        </w:rPr>
      </w:pPr>
    </w:p>
    <w:p>
      <w:pPr>
        <w:spacing w:line="300" w:lineRule="auto"/>
        <w:jc w:val="both"/>
        <w:rPr>
          <w:rFonts w:ascii="Arial" w:hAnsi="Arial" w:cs="Arial"/>
          <w:sz w:val="20"/>
          <w:szCs w:val="20"/>
        </w:rPr>
      </w:pPr>
      <w:r>
        <w:rPr>
          <w:rFonts w:ascii="Arial" w:hAnsi="Arial" w:cs="Arial"/>
          <w:sz w:val="20"/>
          <w:szCs w:val="20"/>
        </w:rPr>
        <w:t>Nájemce podpisem této smlouvy prohlašuje, že má vyrovnané závazky vůči statutárnímu městu Brnu, městským částem statutárního města Brna, právnickým osobám zřízeným nebo založeným statutárním městem Brnem nebo některou z jeho městských částí včetně těch právnických osob, ve kterých má statutární město Brno nebo některá z jeho městských částí podíl, a zavazuje se, že tento stav udrží po celou dobu trvání nájemního vztahu.</w:t>
      </w:r>
    </w:p>
    <w:p>
      <w:pPr>
        <w:spacing w:line="300" w:lineRule="auto"/>
        <w:jc w:val="both"/>
        <w:rPr>
          <w:rFonts w:ascii="Arial" w:hAnsi="Arial" w:cs="Arial"/>
          <w:sz w:val="20"/>
          <w:szCs w:val="20"/>
        </w:rPr>
      </w:pPr>
      <w:r>
        <w:rPr>
          <w:rFonts w:ascii="Arial" w:hAnsi="Arial" w:cs="Arial"/>
          <w:sz w:val="20"/>
          <w:szCs w:val="20"/>
        </w:rPr>
        <w:t>Nájemce podpisem této smlouvy prohlašuje, že se nenachází v úpadku a že proti němu nejsou vedena žádná exekuční řízení nebo insolvenční řízení a že nemá nesplněné finanční závazky vůči správci daně.</w:t>
      </w:r>
    </w:p>
    <w:p>
      <w:pPr>
        <w:spacing w:line="300" w:lineRule="auto"/>
        <w:jc w:val="both"/>
        <w:rPr>
          <w:rFonts w:ascii="Arial" w:hAnsi="Arial" w:cs="Arial"/>
          <w:sz w:val="20"/>
          <w:szCs w:val="20"/>
        </w:rPr>
      </w:pPr>
    </w:p>
    <w:p>
      <w:pPr>
        <w:spacing w:line="300" w:lineRule="auto"/>
        <w:rPr>
          <w:rFonts w:ascii="Arial" w:hAnsi="Arial" w:cs="Arial"/>
          <w:b/>
          <w:sz w:val="20"/>
          <w:szCs w:val="20"/>
        </w:rPr>
      </w:pPr>
    </w:p>
    <w:p>
      <w:pPr>
        <w:spacing w:line="300" w:lineRule="auto"/>
        <w:jc w:val="center"/>
        <w:rPr>
          <w:rFonts w:ascii="Arial" w:hAnsi="Arial" w:cs="Arial"/>
          <w:b/>
          <w:sz w:val="20"/>
          <w:szCs w:val="20"/>
        </w:rPr>
      </w:pPr>
      <w:r>
        <w:rPr>
          <w:rFonts w:ascii="Arial" w:hAnsi="Arial" w:cs="Arial"/>
          <w:b/>
          <w:sz w:val="20"/>
          <w:szCs w:val="20"/>
        </w:rPr>
        <w:t>XII.</w:t>
      </w:r>
    </w:p>
    <w:p>
      <w:pPr>
        <w:spacing w:line="300" w:lineRule="auto"/>
        <w:jc w:val="center"/>
        <w:rPr>
          <w:rFonts w:ascii="Arial" w:hAnsi="Arial" w:cs="Arial"/>
          <w:b/>
          <w:sz w:val="20"/>
          <w:szCs w:val="20"/>
        </w:rPr>
      </w:pPr>
      <w:r>
        <w:rPr>
          <w:rFonts w:ascii="Arial" w:hAnsi="Arial" w:cs="Arial"/>
          <w:b/>
          <w:sz w:val="20"/>
          <w:szCs w:val="20"/>
        </w:rPr>
        <w:t>Závěrečná ujednání</w:t>
      </w:r>
    </w:p>
    <w:p>
      <w:pPr>
        <w:spacing w:line="300" w:lineRule="auto"/>
        <w:rPr>
          <w:rFonts w:ascii="Arial" w:hAnsi="Arial" w:cs="Arial"/>
          <w:b/>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Tuto smlouvu lze měnit po vzájemné dohodě smluvních stran, a to pouze písemnými dodatky.</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Touto smlouvou se ruší a včetně veškerých souvisejících závazků pronajímatele ukončují veškeré předcházející smlouvy a dohody týkající se předmětu nájmu, které byly uzavřeny mezi smluvními stranami, s výjimkou těch, z nichž plyne nějaké právo pronajímatele.</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Vztahy smluvních stran touto smlouvou neupravené se řídí příslušnými ustanoveními zákona č. 89/2012 Sb., občanský zákoník, v platném znění a předpisy souvisejícími, platnými na území České republiky. Smluvní strany se v souladu s § 630 OZ dohodly, že pro pohledávky pronajímatele činí promlčecí lhůta šest let (tím není dotčena delší lhůta při uznání závazku apod.). Smluvní strany dojednávají a určují, jako místně příslušný soud pro řešení sporů z této smlouvy nebo s ní související (včetně nároků z bezdůvodného obohacení ve vztahu k předmětu nájmu po skončení nájmu) obecný soud, v jehož obvodu má sídlo pronajímatel. Neuplatnění ani opožděné uplatnění práv či nápravných prostředků dle této smlouvy ze strany pronajímatele nebude mít účinky vzdání se práva na jejich uplatnění a jakékoliv jednotlivé nebo částečné uplatnění práva nebo nápravného prostředku a nebude překážkou pro jakékoliv další nebo jiné jejich uplatnění nebo uplatnění jakéhokoliv jiného práva či nápravného prostředku.</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lastRenderedPageBreak/>
        <w:t>Je-li nebo stane-li se některé ustanovení této smlouvy neplatné či neúčinné, nedotýká se to ostatních ustanovení této smlouvy,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nabývá účinnosti dnem vzniku nájmu dle čl. III. této smlouvy.</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je vyhotovena ve čtyřech stejnopisech, z nichž pronajímatel obdrží tři vyhotovení a nájemce obdrží jedno vyhotovení. Všechny čtyři stejnopisy mají platnost originálu.</w:t>
      </w:r>
    </w:p>
    <w:p>
      <w:pPr>
        <w:spacing w:line="300" w:lineRule="auto"/>
        <w:ind w:left="284" w:hanging="284"/>
        <w:jc w:val="both"/>
        <w:rPr>
          <w:rFonts w:ascii="Arial" w:hAnsi="Arial" w:cs="Arial"/>
          <w:sz w:val="20"/>
          <w:szCs w:val="20"/>
        </w:rPr>
      </w:pPr>
    </w:p>
    <w:p>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Smluvní strany prohlašují, že tato smlouva byla uzavřena podle jejich pravé a svobodné a omylu prosté vůle, nikoliv při hrubém nepoměru vzájemných plnění, po vzájemném projednání a poté, co obě strany měly dostatečnou možnost získat kvalifikovanou právní pomoc. Žádná ze stran se necítí být v tomto vztahu slabší stranou a ani se tohoto postavení nedovolává. Na důkaz souhlasu s celým obsahem této smlouvy ji smluvní strany stvrzují svými podpisy.</w:t>
      </w: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r>
        <w:rPr>
          <w:rFonts w:ascii="Arial" w:hAnsi="Arial" w:cs="Arial"/>
          <w:sz w:val="20"/>
          <w:szCs w:val="20"/>
        </w:rPr>
        <w:t>V Brně dne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Brně dne …………….…………</w:t>
      </w: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p>
    <w:p>
      <w:pPr>
        <w:pStyle w:val="Styl"/>
        <w:spacing w:line="300" w:lineRule="auto"/>
        <w:ind w:right="851"/>
        <w:rPr>
          <w:rFonts w:ascii="Arial" w:hAnsi="Arial" w:cs="Arial"/>
          <w:sz w:val="20"/>
          <w:szCs w:val="20"/>
        </w:rPr>
      </w:pPr>
      <w:r>
        <w:rPr>
          <w:rFonts w:ascii="Arial" w:hAnsi="Arial" w:cs="Arial"/>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Nájemce:</w:t>
      </w:r>
    </w:p>
    <w:p>
      <w:pPr>
        <w:spacing w:line="300" w:lineRule="auto"/>
        <w:jc w:val="both"/>
        <w:rPr>
          <w:rFonts w:ascii="Arial" w:hAnsi="Arial" w:cs="Arial"/>
          <w:sz w:val="20"/>
          <w:szCs w:val="20"/>
        </w:rPr>
      </w:pP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pPr>
        <w:spacing w:line="300" w:lineRule="auto"/>
        <w:jc w:val="both"/>
        <w:rPr>
          <w:rFonts w:ascii="Arial" w:hAnsi="Arial" w:cs="Arial"/>
          <w:sz w:val="20"/>
          <w:szCs w:val="20"/>
        </w:rPr>
      </w:pPr>
      <w:r>
        <w:rPr>
          <w:rFonts w:ascii="Arial" w:hAnsi="Arial" w:cs="Arial"/>
          <w:sz w:val="20"/>
          <w:szCs w:val="20"/>
        </w:rPr>
        <w:t>za statutární město Brno,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pPr>
        <w:spacing w:line="300" w:lineRule="auto"/>
        <w:jc w:val="both"/>
        <w:rPr>
          <w:rFonts w:ascii="Arial" w:hAnsi="Arial" w:cs="Arial"/>
          <w:sz w:val="20"/>
          <w:szCs w:val="20"/>
        </w:rPr>
      </w:pPr>
      <w:r>
        <w:rPr>
          <w:rFonts w:ascii="Arial" w:hAnsi="Arial" w:cs="Arial"/>
          <w:sz w:val="20"/>
          <w:szCs w:val="20"/>
        </w:rPr>
        <w:t>městskou část Brno-střed</w:t>
      </w: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Normlnweb"/>
        <w:spacing w:before="0" w:line="300" w:lineRule="auto"/>
        <w:rPr>
          <w:rFonts w:ascii="Arial" w:hAnsi="Arial" w:cs="Arial"/>
          <w:sz w:val="20"/>
          <w:szCs w:val="20"/>
        </w:rPr>
      </w:pPr>
    </w:p>
    <w:p>
      <w:pPr>
        <w:pStyle w:val="Styl"/>
        <w:spacing w:line="300" w:lineRule="auto"/>
        <w:ind w:right="851"/>
        <w:rPr>
          <w:rFonts w:ascii="Arial" w:hAnsi="Arial" w:cs="Arial"/>
          <w:sz w:val="20"/>
          <w:szCs w:val="20"/>
        </w:rPr>
      </w:pPr>
      <w:r>
        <w:rPr>
          <w:rFonts w:ascii="Arial" w:hAnsi="Arial" w:cs="Arial"/>
          <w:b/>
          <w:color w:val="FF0000"/>
          <w:sz w:val="16"/>
          <w:szCs w:val="16"/>
        </w:rPr>
        <w:t>PŘÍLOHY</w:t>
      </w:r>
      <w:r>
        <w:rPr>
          <w:rFonts w:ascii="Arial" w:hAnsi="Arial" w:cs="Arial"/>
          <w:b/>
          <w:color w:val="FF0000"/>
          <w:sz w:val="20"/>
          <w:szCs w:val="20"/>
        </w:rPr>
        <w:tab/>
      </w:r>
      <w:r>
        <w:rPr>
          <w:rFonts w:ascii="Arial" w:hAnsi="Arial" w:cs="Arial"/>
          <w:b/>
          <w:color w:val="FF0000"/>
          <w:sz w:val="20"/>
          <w:szCs w:val="20"/>
        </w:rPr>
        <w:tab/>
      </w:r>
      <w:r>
        <w:rPr>
          <w:rFonts w:ascii="Arial" w:hAnsi="Arial" w:cs="Arial"/>
          <w:sz w:val="20"/>
          <w:szCs w:val="20"/>
        </w:rPr>
        <w:t xml:space="preserve">č. 1 - Výpočtový list </w:t>
      </w:r>
    </w:p>
    <w:p>
      <w:pPr>
        <w:pStyle w:val="Styl"/>
        <w:spacing w:line="300" w:lineRule="auto"/>
        <w:ind w:left="1416" w:right="851" w:firstLine="708"/>
        <w:rPr>
          <w:rFonts w:ascii="Arial" w:hAnsi="Arial" w:cs="Arial"/>
          <w:sz w:val="20"/>
          <w:szCs w:val="20"/>
        </w:rPr>
      </w:pPr>
      <w:r>
        <w:rPr>
          <w:rFonts w:ascii="Arial" w:hAnsi="Arial" w:cs="Arial"/>
          <w:sz w:val="20"/>
          <w:szCs w:val="20"/>
        </w:rPr>
        <w:t>č. 2 - Situační plánek</w:t>
      </w:r>
    </w:p>
    <w:p>
      <w:pPr>
        <w:pStyle w:val="Styl"/>
        <w:spacing w:line="300" w:lineRule="auto"/>
        <w:ind w:left="1416" w:right="851" w:firstLine="708"/>
        <w:rPr>
          <w:rFonts w:ascii="Arial" w:hAnsi="Arial" w:cs="Arial"/>
          <w:sz w:val="20"/>
          <w:szCs w:val="20"/>
        </w:rPr>
      </w:pPr>
    </w:p>
    <w:sectPr>
      <w:footerReference w:type="default" r:id="rId7"/>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spacing w:line="360" w:lineRule="auto"/>
      <w:jc w:val="center"/>
      <w:rPr>
        <w:sz w:val="16"/>
        <w:szCs w:val="16"/>
        <w:lang w:eastAsia="cs-CZ"/>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NUMPAGES  \* Arabic  \* MERGEFORMAT</w:instrText>
    </w:r>
    <w:r>
      <w:rPr>
        <w:rFonts w:ascii="Arial" w:hAnsi="Arial" w:cs="Arial"/>
        <w:sz w:val="16"/>
        <w:szCs w:val="16"/>
      </w:rPr>
      <w:fldChar w:fldCharType="separate"/>
    </w:r>
    <w:r>
      <w:rPr>
        <w:rFonts w:ascii="Arial" w:hAnsi="Arial" w:cs="Arial"/>
        <w:noProof/>
        <w:sz w:val="16"/>
        <w:szCs w:val="16"/>
      </w:rPr>
      <w:t>9</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DF"/>
    <w:multiLevelType w:val="hybridMultilevel"/>
    <w:tmpl w:val="5F628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71D19"/>
    <w:multiLevelType w:val="hybridMultilevel"/>
    <w:tmpl w:val="EE446658"/>
    <w:lvl w:ilvl="0" w:tplc="0405000F">
      <w:start w:val="1"/>
      <w:numFmt w:val="decimal"/>
      <w:lvlText w:val="%1."/>
      <w:lvlJc w:val="left"/>
      <w:pPr>
        <w:ind w:left="720" w:hanging="360"/>
      </w:pPr>
    </w:lvl>
    <w:lvl w:ilvl="1" w:tplc="A0682C8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E0913"/>
    <w:multiLevelType w:val="hybridMultilevel"/>
    <w:tmpl w:val="A2CE5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E54C94"/>
    <w:multiLevelType w:val="hybridMultilevel"/>
    <w:tmpl w:val="079AF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350383"/>
    <w:multiLevelType w:val="hybridMultilevel"/>
    <w:tmpl w:val="B50E8868"/>
    <w:lvl w:ilvl="0" w:tplc="96E6837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D5A74"/>
    <w:multiLevelType w:val="hybridMultilevel"/>
    <w:tmpl w:val="C64A918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59501B66"/>
    <w:multiLevelType w:val="hybridMultilevel"/>
    <w:tmpl w:val="79FE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7E6F79"/>
    <w:multiLevelType w:val="hybridMultilevel"/>
    <w:tmpl w:val="6D363A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EB38A5"/>
    <w:multiLevelType w:val="hybridMultilevel"/>
    <w:tmpl w:val="A8A09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 w:type="paragraph" w:customStyle="1" w:styleId="Styl">
    <w:name w:val="Styl"/>
    <w:pPr>
      <w:widowControl w:val="0"/>
      <w:autoSpaceDE w:val="0"/>
      <w:autoSpaceDN w:val="0"/>
      <w:adjustRightInd w:val="0"/>
    </w:pPr>
    <w:rPr>
      <w:rFonts w:eastAsia="Times New Roman"/>
      <w:sz w:val="24"/>
      <w:szCs w:val="24"/>
    </w:rPr>
  </w:style>
  <w:style w:type="paragraph" w:customStyle="1" w:styleId="Normln0">
    <w:name w:val="Normální~"/>
    <w:basedOn w:val="Normln"/>
    <w:pPr>
      <w:widowControl w:val="0"/>
      <w:spacing w:line="288" w:lineRule="auto"/>
    </w:pPr>
    <w:rPr>
      <w:rFonts w:eastAsia="Times New Roman"/>
      <w:noProof/>
      <w:szCs w:val="20"/>
      <w:lang w:eastAsia="cs-CZ"/>
    </w:rPr>
  </w:style>
  <w:style w:type="paragraph" w:customStyle="1" w:styleId="NP">
    <w:name w:val="NP"/>
    <w:basedOn w:val="Normln"/>
    <w:pPr>
      <w:widowControl w:val="0"/>
      <w:ind w:left="840" w:right="270"/>
    </w:pPr>
    <w:rPr>
      <w:rFonts w:eastAsia="Times New Roman"/>
      <w:szCs w:val="20"/>
      <w:lang w:eastAsia="cs-CZ"/>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903100023">
      <w:bodyDiv w:val="1"/>
      <w:marLeft w:val="0"/>
      <w:marRight w:val="0"/>
      <w:marTop w:val="0"/>
      <w:marBottom w:val="0"/>
      <w:divBdr>
        <w:top w:val="none" w:sz="0" w:space="0" w:color="auto"/>
        <w:left w:val="none" w:sz="0" w:space="0" w:color="auto"/>
        <w:bottom w:val="none" w:sz="0" w:space="0" w:color="auto"/>
        <w:right w:val="none" w:sz="0" w:space="0" w:color="auto"/>
      </w:divBdr>
    </w:div>
    <w:div w:id="15793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1841F63C324FCBB40C121BE24CEFC4"/>
        <w:category>
          <w:name w:val="Obecné"/>
          <w:gallery w:val="placeholder"/>
        </w:category>
        <w:types>
          <w:type w:val="bbPlcHdr"/>
        </w:types>
        <w:behaviors>
          <w:behavior w:val="content"/>
        </w:behaviors>
        <w:guid w:val="{690A18E8-EEBD-4C57-AFBD-4A431D1E17A7}"/>
      </w:docPartPr>
      <w:docPartBody>
        <w:p>
          <w:pPr>
            <w:pStyle w:val="461841F63C324FCBB40C121BE24CEFC4"/>
          </w:pPr>
          <w:r>
            <w:rPr>
              <w:rStyle w:val="Zstupntext"/>
            </w:rPr>
            <w:t>Klikněte sem a zadejte text.</w:t>
          </w:r>
        </w:p>
      </w:docPartBody>
    </w:docPart>
    <w:docPart>
      <w:docPartPr>
        <w:name w:val="C8A96A26E5104FB3AF37C533BC3F4A5E"/>
        <w:category>
          <w:name w:val="Obecné"/>
          <w:gallery w:val="placeholder"/>
        </w:category>
        <w:types>
          <w:type w:val="bbPlcHdr"/>
        </w:types>
        <w:behaviors>
          <w:behavior w:val="content"/>
        </w:behaviors>
        <w:guid w:val="{15D8B086-EEB7-4A3F-903C-D760EF303EDE}"/>
      </w:docPartPr>
      <w:docPartBody>
        <w:p>
          <w:pPr>
            <w:pStyle w:val="C8A96A26E5104FB3AF37C533BC3F4A5E"/>
          </w:pPr>
          <w:r>
            <w:rPr>
              <w:rStyle w:val="Zstupntext"/>
            </w:rPr>
            <w:t>Klikněte sem a zadejte text.</w:t>
          </w:r>
        </w:p>
      </w:docPartBody>
    </w:docPart>
    <w:docPart>
      <w:docPartPr>
        <w:name w:val="496A24B272364967AC248577226E49C8"/>
        <w:category>
          <w:name w:val="Obecné"/>
          <w:gallery w:val="placeholder"/>
        </w:category>
        <w:types>
          <w:type w:val="bbPlcHdr"/>
        </w:types>
        <w:behaviors>
          <w:behavior w:val="content"/>
        </w:behaviors>
        <w:guid w:val="{4B5CF9E4-7309-48F5-9AB5-11FC174D4DB2}"/>
      </w:docPartPr>
      <w:docPartBody>
        <w:p>
          <w:pPr>
            <w:pStyle w:val="496A24B272364967AC248577226E49C8"/>
          </w:pPr>
          <w:r>
            <w:rPr>
              <w:rStyle w:val="Zstupntext"/>
            </w:rPr>
            <w:t>Klikněte sem a zadejte text.</w:t>
          </w:r>
        </w:p>
      </w:docPartBody>
    </w:docPart>
    <w:docPart>
      <w:docPartPr>
        <w:name w:val="EC1EC401D5A64A97B69A65433CED3AF1"/>
        <w:category>
          <w:name w:val="Obecné"/>
          <w:gallery w:val="placeholder"/>
        </w:category>
        <w:types>
          <w:type w:val="bbPlcHdr"/>
        </w:types>
        <w:behaviors>
          <w:behavior w:val="content"/>
        </w:behaviors>
        <w:guid w:val="{64BBC07B-8BED-4B5C-B232-0868F3276C49}"/>
      </w:docPartPr>
      <w:docPartBody>
        <w:p>
          <w:pPr>
            <w:pStyle w:val="EC1EC401D5A64A97B69A65433CED3AF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Pr>
      <w:color w:val="808080"/>
    </w:rPr>
  </w:style>
  <w:style w:type="paragraph" w:customStyle="1" w:styleId="461841F63C324FCBB40C121BE24CEFC4">
    <w:name w:val="461841F63C324FCBB40C121BE24CEFC4"/>
  </w:style>
  <w:style w:type="paragraph" w:customStyle="1" w:styleId="C8A96A26E5104FB3AF37C533BC3F4A5E">
    <w:name w:val="C8A96A26E5104FB3AF37C533BC3F4A5E"/>
  </w:style>
  <w:style w:type="paragraph" w:customStyle="1" w:styleId="D164AB1D8F2D4C63858C341BAD415F14">
    <w:name w:val="D164AB1D8F2D4C63858C341BAD415F14"/>
  </w:style>
  <w:style w:type="paragraph" w:customStyle="1" w:styleId="541987CD3F474E959996511D58213B9C">
    <w:name w:val="541987CD3F474E959996511D58213B9C"/>
  </w:style>
  <w:style w:type="paragraph" w:customStyle="1" w:styleId="87A7683DEAA549CB92EC226BB64EA9EE">
    <w:name w:val="87A7683DEAA549CB92EC226BB64EA9EE"/>
  </w:style>
  <w:style w:type="paragraph" w:customStyle="1" w:styleId="496A24B272364967AC248577226E49C8">
    <w:name w:val="496A24B272364967AC248577226E49C8"/>
  </w:style>
  <w:style w:type="paragraph" w:customStyle="1" w:styleId="EC1EC401D5A64A97B69A65433CED3AF1">
    <w:name w:val="EC1EC401D5A64A97B69A65433CED3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4188</Words>
  <Characters>24710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28841</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001003205</cp:lastModifiedBy>
  <cp:revision>2</cp:revision>
  <dcterms:created xsi:type="dcterms:W3CDTF">2023-07-31T13:11:00Z</dcterms:created>
  <dcterms:modified xsi:type="dcterms:W3CDTF">2023-07-31T13:11:00Z</dcterms:modified>
</cp:coreProperties>
</file>