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CF78" w14:textId="77777777" w:rsidR="00ED1C5D" w:rsidRDefault="00501EB7">
      <w:pPr>
        <w:jc w:val="center"/>
        <w:rPr>
          <w:rFonts w:ascii="Open Sans" w:eastAsia="Open Sans" w:hAnsi="Open Sans" w:cs="Open Sans"/>
          <w:b/>
          <w:smallCaps/>
        </w:rPr>
      </w:pPr>
      <w:r>
        <w:rPr>
          <w:rFonts w:ascii="Open Sans" w:eastAsia="Open Sans" w:hAnsi="Open Sans" w:cs="Open Sans"/>
          <w:b/>
          <w:smallCaps/>
        </w:rPr>
        <w:t>SMLOUVA O POSKYTOVÁNÍ SLUŽEB</w:t>
      </w:r>
    </w:p>
    <w:p w14:paraId="1318EEBC" w14:textId="77777777" w:rsidR="00ED1C5D" w:rsidRDefault="00501EB7">
      <w:pPr>
        <w:jc w:val="center"/>
        <w:rPr>
          <w:rFonts w:ascii="Open Sans" w:eastAsia="Open Sans" w:hAnsi="Open Sans" w:cs="Open Sans"/>
          <w:smallCaps/>
          <w:sz w:val="20"/>
          <w:szCs w:val="20"/>
        </w:rPr>
      </w:pPr>
      <w:r>
        <w:rPr>
          <w:rFonts w:ascii="Open Sans" w:eastAsia="Open Sans" w:hAnsi="Open Sans" w:cs="Open Sans"/>
          <w:smallCaps/>
          <w:sz w:val="20"/>
          <w:szCs w:val="20"/>
        </w:rPr>
        <w:t>(</w:t>
      </w:r>
      <w:r>
        <w:rPr>
          <w:rFonts w:ascii="Open Sans" w:eastAsia="Open Sans" w:hAnsi="Open Sans" w:cs="Open Sans"/>
          <w:sz w:val="20"/>
          <w:szCs w:val="20"/>
        </w:rPr>
        <w:t>dále jen „</w:t>
      </w:r>
      <w:r>
        <w:rPr>
          <w:rFonts w:ascii="Open Sans" w:eastAsia="Open Sans" w:hAnsi="Open Sans" w:cs="Open Sans"/>
          <w:b/>
          <w:sz w:val="20"/>
          <w:szCs w:val="20"/>
        </w:rPr>
        <w:t>Smlouva</w:t>
      </w:r>
      <w:r>
        <w:rPr>
          <w:rFonts w:ascii="Open Sans" w:eastAsia="Open Sans" w:hAnsi="Open Sans" w:cs="Open Sans"/>
          <w:sz w:val="20"/>
          <w:szCs w:val="20"/>
        </w:rPr>
        <w:t>“</w:t>
      </w:r>
      <w:r>
        <w:rPr>
          <w:rFonts w:ascii="Open Sans" w:eastAsia="Open Sans" w:hAnsi="Open Sans" w:cs="Open Sans"/>
          <w:smallCaps/>
          <w:sz w:val="20"/>
          <w:szCs w:val="20"/>
        </w:rPr>
        <w:t>)</w:t>
      </w:r>
    </w:p>
    <w:p w14:paraId="3E8B685B" w14:textId="77777777" w:rsidR="00ED1C5D" w:rsidRDefault="00ED1C5D">
      <w:pPr>
        <w:ind w:left="284"/>
        <w:rPr>
          <w:rFonts w:ascii="Open Sans" w:eastAsia="Open Sans" w:hAnsi="Open Sans" w:cs="Open Sans"/>
          <w:smallCaps/>
          <w:sz w:val="20"/>
          <w:szCs w:val="20"/>
          <w:highlight w:val="yellow"/>
        </w:rPr>
      </w:pPr>
    </w:p>
    <w:p w14:paraId="052F3E88" w14:textId="77777777" w:rsidR="00ED1C5D" w:rsidRDefault="00501EB7">
      <w:pPr>
        <w:jc w:val="both"/>
        <w:rPr>
          <w:rFonts w:ascii="Open Sans" w:eastAsia="Open Sans" w:hAnsi="Open Sans" w:cs="Open Sans"/>
          <w:smallCaps/>
          <w:sz w:val="20"/>
          <w:szCs w:val="20"/>
        </w:rPr>
      </w:pPr>
      <w:r>
        <w:rPr>
          <w:rFonts w:ascii="Open Sans" w:eastAsia="Open Sans" w:hAnsi="Open Sans" w:cs="Open Sans"/>
          <w:smallCaps/>
          <w:sz w:val="20"/>
          <w:szCs w:val="20"/>
        </w:rPr>
        <w:t xml:space="preserve">SMLUVNÍ STRANY: </w:t>
      </w:r>
    </w:p>
    <w:p w14:paraId="007EA839" w14:textId="77777777" w:rsidR="00ED1C5D" w:rsidRDefault="00ED1C5D">
      <w:pPr>
        <w:jc w:val="both"/>
        <w:rPr>
          <w:rFonts w:ascii="Open Sans" w:eastAsia="Open Sans" w:hAnsi="Open Sans" w:cs="Open Sans"/>
          <w:sz w:val="20"/>
          <w:szCs w:val="20"/>
          <w:highlight w:val="yellow"/>
        </w:rPr>
      </w:pPr>
    </w:p>
    <w:p w14:paraId="16084AC2" w14:textId="77777777" w:rsidR="00ED1C5D" w:rsidRDefault="00501EB7">
      <w:pPr>
        <w:ind w:left="564"/>
        <w:jc w:val="both"/>
        <w:rPr>
          <w:rFonts w:ascii="Open Sans" w:eastAsia="Open Sans" w:hAnsi="Open Sans" w:cs="Open Sans"/>
          <w:sz w:val="20"/>
          <w:szCs w:val="20"/>
        </w:rPr>
      </w:pPr>
      <w:bookmarkStart w:id="0" w:name="_heading=h.gjdgxs" w:colFirst="0" w:colLast="0"/>
      <w:bookmarkEnd w:id="0"/>
      <w:proofErr w:type="spellStart"/>
      <w:r>
        <w:rPr>
          <w:rFonts w:ascii="Open Sans" w:eastAsia="Open Sans" w:hAnsi="Open Sans" w:cs="Open Sans"/>
          <w:b/>
          <w:sz w:val="20"/>
          <w:szCs w:val="20"/>
        </w:rPr>
        <w:t>FaceUp</w:t>
      </w:r>
      <w:proofErr w:type="spellEnd"/>
      <w:r>
        <w:rPr>
          <w:rFonts w:ascii="Open Sans" w:eastAsia="Open Sans" w:hAnsi="Open Sans" w:cs="Open Sans"/>
          <w:b/>
          <w:sz w:val="20"/>
          <w:szCs w:val="20"/>
        </w:rPr>
        <w:t xml:space="preserve"> Technology s.r.o.</w:t>
      </w:r>
      <w:r>
        <w:rPr>
          <w:rFonts w:ascii="Open Sans" w:eastAsia="Open Sans" w:hAnsi="Open Sans" w:cs="Open Sans"/>
          <w:sz w:val="20"/>
          <w:szCs w:val="20"/>
        </w:rPr>
        <w:t xml:space="preserve">, IČO: 061 42 630, se sídlem Údolní 567/33, Brno-město, 602 00 Brno, zapsaná v obchodním rejstříku vedeném Krajským soudem v Brně, </w:t>
      </w:r>
      <w:proofErr w:type="spellStart"/>
      <w:r>
        <w:rPr>
          <w:rFonts w:ascii="Open Sans" w:eastAsia="Open Sans" w:hAnsi="Open Sans" w:cs="Open Sans"/>
          <w:sz w:val="20"/>
          <w:szCs w:val="20"/>
        </w:rPr>
        <w:t>sp</w:t>
      </w:r>
      <w:proofErr w:type="spellEnd"/>
      <w:r>
        <w:rPr>
          <w:rFonts w:ascii="Open Sans" w:eastAsia="Open Sans" w:hAnsi="Open Sans" w:cs="Open Sans"/>
          <w:sz w:val="20"/>
          <w:szCs w:val="20"/>
        </w:rPr>
        <w:t>. zn. C 100325</w:t>
      </w:r>
    </w:p>
    <w:p w14:paraId="5728A2DB" w14:textId="77777777" w:rsidR="00ED1C5D" w:rsidRDefault="00501EB7">
      <w:pPr>
        <w:spacing w:before="120"/>
        <w:ind w:left="561" w:hanging="561"/>
        <w:jc w:val="both"/>
        <w:rPr>
          <w:rFonts w:ascii="Open Sans" w:eastAsia="Open Sans" w:hAnsi="Open Sans" w:cs="Open Sans"/>
          <w:sz w:val="20"/>
          <w:szCs w:val="20"/>
        </w:rPr>
      </w:pPr>
      <w:r>
        <w:rPr>
          <w:rFonts w:ascii="Open Sans" w:eastAsia="Open Sans" w:hAnsi="Open Sans" w:cs="Open Sans"/>
          <w:sz w:val="20"/>
          <w:szCs w:val="20"/>
        </w:rPr>
        <w:tab/>
        <w:t>(dále jen „</w:t>
      </w:r>
      <w:r>
        <w:rPr>
          <w:rFonts w:ascii="Open Sans" w:eastAsia="Open Sans" w:hAnsi="Open Sans" w:cs="Open Sans"/>
          <w:b/>
          <w:sz w:val="20"/>
          <w:szCs w:val="20"/>
        </w:rPr>
        <w:t>Provozovatel</w:t>
      </w:r>
      <w:r>
        <w:rPr>
          <w:rFonts w:ascii="Open Sans" w:eastAsia="Open Sans" w:hAnsi="Open Sans" w:cs="Open Sans"/>
          <w:sz w:val="20"/>
          <w:szCs w:val="20"/>
        </w:rPr>
        <w:t>“)</w:t>
      </w:r>
    </w:p>
    <w:p w14:paraId="4CFCA19C" w14:textId="77777777" w:rsidR="00ED1C5D" w:rsidRDefault="00ED1C5D">
      <w:pPr>
        <w:jc w:val="both"/>
        <w:rPr>
          <w:rFonts w:ascii="Open Sans" w:eastAsia="Open Sans" w:hAnsi="Open Sans" w:cs="Open Sans"/>
          <w:sz w:val="20"/>
          <w:szCs w:val="20"/>
          <w:highlight w:val="yellow"/>
        </w:rPr>
      </w:pPr>
    </w:p>
    <w:p w14:paraId="12D0AB00" w14:textId="77777777" w:rsidR="00ED1C5D" w:rsidRDefault="00501EB7">
      <w:pPr>
        <w:jc w:val="both"/>
        <w:rPr>
          <w:rFonts w:ascii="Open Sans" w:eastAsia="Open Sans" w:hAnsi="Open Sans" w:cs="Open Sans"/>
          <w:sz w:val="20"/>
          <w:szCs w:val="20"/>
        </w:rPr>
      </w:pPr>
      <w:r>
        <w:rPr>
          <w:rFonts w:ascii="Open Sans" w:eastAsia="Open Sans" w:hAnsi="Open Sans" w:cs="Open Sans"/>
          <w:sz w:val="20"/>
          <w:szCs w:val="20"/>
        </w:rPr>
        <w:t>a</w:t>
      </w:r>
    </w:p>
    <w:p w14:paraId="6A3CE3DB" w14:textId="77777777" w:rsidR="00ED1C5D" w:rsidRDefault="00ED1C5D">
      <w:pPr>
        <w:jc w:val="both"/>
        <w:rPr>
          <w:rFonts w:ascii="Open Sans" w:eastAsia="Open Sans" w:hAnsi="Open Sans" w:cs="Open Sans"/>
          <w:sz w:val="20"/>
          <w:szCs w:val="20"/>
        </w:rPr>
      </w:pPr>
    </w:p>
    <w:p w14:paraId="3CFE45FD" w14:textId="7AE77186" w:rsidR="00ED1C5D" w:rsidRPr="005A0149" w:rsidRDefault="00501EB7" w:rsidP="005A0149">
      <w:pPr>
        <w:pBdr>
          <w:top w:val="nil"/>
          <w:left w:val="nil"/>
          <w:bottom w:val="nil"/>
          <w:right w:val="nil"/>
          <w:between w:val="nil"/>
        </w:pBdr>
        <w:ind w:left="567"/>
        <w:jc w:val="both"/>
        <w:rPr>
          <w:rFonts w:ascii="Open Sans" w:eastAsia="Open Sans" w:hAnsi="Open Sans" w:cs="Open Sans"/>
          <w:color w:val="000000"/>
          <w:sz w:val="20"/>
          <w:szCs w:val="20"/>
        </w:rPr>
      </w:pPr>
      <w:bookmarkStart w:id="1" w:name="_heading=h.30j0zll" w:colFirst="0" w:colLast="0"/>
      <w:bookmarkEnd w:id="1"/>
      <w:r w:rsidRPr="005A0149">
        <w:rPr>
          <w:rFonts w:ascii="Arial" w:eastAsia="Arial" w:hAnsi="Arial" w:cs="Arial"/>
          <w:b/>
          <w:color w:val="222222"/>
          <w:sz w:val="20"/>
          <w:szCs w:val="20"/>
          <w:highlight w:val="white"/>
        </w:rPr>
        <w:t>Domov pro seniory Jesenec, příspěvková organizace</w:t>
      </w:r>
      <w:r w:rsidRPr="005A0149">
        <w:rPr>
          <w:rFonts w:ascii="Open Sans" w:eastAsia="Open Sans" w:hAnsi="Open Sans" w:cs="Open Sans"/>
          <w:color w:val="000000"/>
          <w:sz w:val="20"/>
          <w:szCs w:val="20"/>
        </w:rPr>
        <w:t xml:space="preserve">, IČO: </w:t>
      </w:r>
      <w:r w:rsidRPr="005A0149">
        <w:rPr>
          <w:rFonts w:ascii="Arial" w:eastAsia="Arial" w:hAnsi="Arial" w:cs="Arial"/>
          <w:color w:val="222222"/>
          <w:sz w:val="20"/>
          <w:szCs w:val="20"/>
          <w:highlight w:val="white"/>
        </w:rPr>
        <w:t>71197702</w:t>
      </w:r>
      <w:r w:rsidRPr="005A0149">
        <w:rPr>
          <w:rFonts w:ascii="Open Sans" w:eastAsia="Open Sans" w:hAnsi="Open Sans" w:cs="Open Sans"/>
          <w:sz w:val="20"/>
          <w:szCs w:val="20"/>
        </w:rPr>
        <w:t>,</w:t>
      </w:r>
      <w:r w:rsidRPr="005A0149">
        <w:rPr>
          <w:rFonts w:ascii="Open Sans" w:eastAsia="Open Sans" w:hAnsi="Open Sans" w:cs="Open Sans"/>
          <w:color w:val="000000"/>
          <w:sz w:val="20"/>
          <w:szCs w:val="20"/>
        </w:rPr>
        <w:t xml:space="preserve"> se sídlem </w:t>
      </w:r>
      <w:r w:rsidRPr="005A0149">
        <w:rPr>
          <w:rFonts w:ascii="Arial" w:eastAsia="Arial" w:hAnsi="Arial" w:cs="Arial"/>
          <w:color w:val="222222"/>
          <w:sz w:val="20"/>
          <w:szCs w:val="20"/>
          <w:highlight w:val="white"/>
        </w:rPr>
        <w:t>Jesenec 1, 798 53 Jesenec</w:t>
      </w:r>
      <w:r w:rsidRPr="005A0149">
        <w:rPr>
          <w:rFonts w:ascii="Open Sans" w:eastAsia="Open Sans" w:hAnsi="Open Sans" w:cs="Open Sans"/>
          <w:sz w:val="20"/>
          <w:szCs w:val="20"/>
        </w:rPr>
        <w:t>,</w:t>
      </w:r>
      <w:r w:rsidRPr="005A0149">
        <w:rPr>
          <w:rFonts w:ascii="Open Sans" w:eastAsia="Open Sans" w:hAnsi="Open Sans" w:cs="Open Sans"/>
          <w:color w:val="000000"/>
          <w:sz w:val="20"/>
          <w:szCs w:val="20"/>
        </w:rPr>
        <w:t xml:space="preserve"> zapsaná v obchodním rejstříku</w:t>
      </w:r>
      <w:r w:rsidRPr="005A0149">
        <w:rPr>
          <w:rFonts w:ascii="Open Sans" w:eastAsia="Open Sans" w:hAnsi="Open Sans" w:cs="Open Sans"/>
          <w:sz w:val="20"/>
          <w:szCs w:val="20"/>
        </w:rPr>
        <w:t>.</w:t>
      </w:r>
    </w:p>
    <w:p w14:paraId="01CFD74D" w14:textId="77777777" w:rsidR="00ED1C5D" w:rsidRDefault="00501EB7" w:rsidP="005A0149">
      <w:pPr>
        <w:spacing w:before="120"/>
        <w:ind w:left="567"/>
        <w:jc w:val="both"/>
        <w:rPr>
          <w:rFonts w:ascii="Open Sans" w:eastAsia="Open Sans" w:hAnsi="Open Sans" w:cs="Open Sans"/>
          <w:sz w:val="20"/>
          <w:szCs w:val="20"/>
        </w:rPr>
      </w:pPr>
      <w:r>
        <w:rPr>
          <w:rFonts w:ascii="Open Sans" w:eastAsia="Open Sans" w:hAnsi="Open Sans" w:cs="Open Sans"/>
          <w:sz w:val="20"/>
          <w:szCs w:val="20"/>
        </w:rPr>
        <w:t>(dále jen „</w:t>
      </w:r>
      <w:r>
        <w:rPr>
          <w:rFonts w:ascii="Open Sans" w:eastAsia="Open Sans" w:hAnsi="Open Sans" w:cs="Open Sans"/>
          <w:b/>
          <w:sz w:val="20"/>
          <w:szCs w:val="20"/>
        </w:rPr>
        <w:t>Klient</w:t>
      </w:r>
      <w:r>
        <w:rPr>
          <w:rFonts w:ascii="Open Sans" w:eastAsia="Open Sans" w:hAnsi="Open Sans" w:cs="Open Sans"/>
          <w:sz w:val="20"/>
          <w:szCs w:val="20"/>
        </w:rPr>
        <w:t>“)</w:t>
      </w:r>
    </w:p>
    <w:p w14:paraId="1D835707" w14:textId="77777777" w:rsidR="00ED1C5D" w:rsidRDefault="00ED1C5D">
      <w:pPr>
        <w:jc w:val="both"/>
        <w:rPr>
          <w:rFonts w:ascii="Open Sans" w:eastAsia="Open Sans" w:hAnsi="Open Sans" w:cs="Open Sans"/>
          <w:sz w:val="20"/>
          <w:szCs w:val="20"/>
          <w:highlight w:val="yellow"/>
        </w:rPr>
      </w:pPr>
    </w:p>
    <w:p w14:paraId="52AE67E8" w14:textId="77777777" w:rsidR="00ED1C5D" w:rsidRDefault="00501EB7">
      <w:pPr>
        <w:jc w:val="both"/>
        <w:rPr>
          <w:rFonts w:ascii="Open Sans" w:eastAsia="Open Sans" w:hAnsi="Open Sans" w:cs="Open Sans"/>
          <w:sz w:val="20"/>
          <w:szCs w:val="20"/>
        </w:rPr>
      </w:pPr>
      <w:r>
        <w:rPr>
          <w:rFonts w:ascii="Open Sans" w:eastAsia="Open Sans" w:hAnsi="Open Sans" w:cs="Open Sans"/>
          <w:sz w:val="20"/>
          <w:szCs w:val="20"/>
        </w:rPr>
        <w:t>(Provozovatel a Klient společně dále jen „</w:t>
      </w:r>
      <w:r>
        <w:rPr>
          <w:rFonts w:ascii="Open Sans" w:eastAsia="Open Sans" w:hAnsi="Open Sans" w:cs="Open Sans"/>
          <w:b/>
          <w:sz w:val="20"/>
          <w:szCs w:val="20"/>
        </w:rPr>
        <w:t>Smluvní strany</w:t>
      </w:r>
      <w:r>
        <w:rPr>
          <w:rFonts w:ascii="Open Sans" w:eastAsia="Open Sans" w:hAnsi="Open Sans" w:cs="Open Sans"/>
          <w:sz w:val="20"/>
          <w:szCs w:val="20"/>
        </w:rPr>
        <w:t>“ a každý z nich samostatně též jen „</w:t>
      </w:r>
      <w:r>
        <w:rPr>
          <w:rFonts w:ascii="Open Sans" w:eastAsia="Open Sans" w:hAnsi="Open Sans" w:cs="Open Sans"/>
          <w:b/>
          <w:sz w:val="20"/>
          <w:szCs w:val="20"/>
        </w:rPr>
        <w:t>Smluvní strana</w:t>
      </w:r>
      <w:r>
        <w:rPr>
          <w:rFonts w:ascii="Open Sans" w:eastAsia="Open Sans" w:hAnsi="Open Sans" w:cs="Open Sans"/>
          <w:sz w:val="20"/>
          <w:szCs w:val="20"/>
        </w:rPr>
        <w:t>“)</w:t>
      </w:r>
    </w:p>
    <w:p w14:paraId="07D52140" w14:textId="77777777" w:rsidR="00ED1C5D" w:rsidRDefault="00ED1C5D">
      <w:pPr>
        <w:jc w:val="both"/>
        <w:rPr>
          <w:rFonts w:ascii="Open Sans" w:eastAsia="Open Sans" w:hAnsi="Open Sans" w:cs="Open Sans"/>
          <w:sz w:val="20"/>
          <w:szCs w:val="20"/>
          <w:highlight w:val="yellow"/>
        </w:rPr>
      </w:pPr>
    </w:p>
    <w:p w14:paraId="1669524B" w14:textId="77777777" w:rsidR="00ED1C5D" w:rsidRDefault="00501EB7">
      <w:pPr>
        <w:jc w:val="both"/>
        <w:rPr>
          <w:rFonts w:ascii="Open Sans" w:eastAsia="Open Sans" w:hAnsi="Open Sans" w:cs="Open Sans"/>
          <w:sz w:val="20"/>
          <w:szCs w:val="20"/>
        </w:rPr>
      </w:pPr>
      <w:r>
        <w:rPr>
          <w:rFonts w:ascii="Open Sans" w:eastAsia="Open Sans" w:hAnsi="Open Sans" w:cs="Open Sans"/>
          <w:sz w:val="20"/>
          <w:szCs w:val="20"/>
        </w:rPr>
        <w:t>UZAVÍRAJÍ TUTO SMLOUVU:</w:t>
      </w:r>
    </w:p>
    <w:p w14:paraId="6186CA01" w14:textId="77777777" w:rsidR="00ED1C5D" w:rsidRDefault="00501EB7">
      <w:pPr>
        <w:keepNext/>
        <w:numPr>
          <w:ilvl w:val="0"/>
          <w:numId w:val="1"/>
        </w:numPr>
        <w:pBdr>
          <w:top w:val="nil"/>
          <w:left w:val="nil"/>
          <w:bottom w:val="nil"/>
          <w:right w:val="nil"/>
          <w:between w:val="nil"/>
        </w:pBdr>
        <w:spacing w:before="240" w:after="60"/>
        <w:jc w:val="both"/>
        <w:rPr>
          <w:rFonts w:ascii="Open Sans" w:eastAsia="Open Sans" w:hAnsi="Open Sans" w:cs="Open Sans"/>
          <w:b/>
          <w:color w:val="000000"/>
          <w:sz w:val="20"/>
          <w:szCs w:val="20"/>
        </w:rPr>
      </w:pPr>
      <w:r>
        <w:rPr>
          <w:rFonts w:ascii="Open Sans" w:eastAsia="Open Sans" w:hAnsi="Open Sans" w:cs="Open Sans"/>
          <w:b/>
          <w:color w:val="000000"/>
          <w:sz w:val="20"/>
          <w:szCs w:val="20"/>
        </w:rPr>
        <w:t>Úvodní ustanovení</w:t>
      </w:r>
    </w:p>
    <w:p w14:paraId="0B008280"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bookmarkStart w:id="2" w:name="_heading=h.1fob9te" w:colFirst="0" w:colLast="0"/>
      <w:bookmarkEnd w:id="2"/>
      <w:r>
        <w:rPr>
          <w:rFonts w:ascii="Open Sans" w:eastAsia="Open Sans" w:hAnsi="Open Sans" w:cs="Open Sans"/>
          <w:color w:val="000000"/>
          <w:sz w:val="20"/>
          <w:szCs w:val="20"/>
        </w:rPr>
        <w:t>Provozovatel je autorem, vlastníkem a provozovatelem mobilní a webové aplikace „</w:t>
      </w:r>
      <w:r>
        <w:rPr>
          <w:rFonts w:ascii="Open Sans" w:eastAsia="Open Sans" w:hAnsi="Open Sans" w:cs="Open Sans"/>
          <w:i/>
          <w:color w:val="000000"/>
          <w:sz w:val="20"/>
          <w:szCs w:val="20"/>
        </w:rPr>
        <w:t>Nenech to být</w:t>
      </w:r>
      <w:r>
        <w:rPr>
          <w:rFonts w:ascii="Open Sans" w:eastAsia="Open Sans" w:hAnsi="Open Sans" w:cs="Open Sans"/>
          <w:color w:val="000000"/>
          <w:sz w:val="20"/>
          <w:szCs w:val="20"/>
        </w:rPr>
        <w:t xml:space="preserve">“, poskytované prostřednictvím on-line platformy umístěné na internetové adrese </w:t>
      </w:r>
      <w:hyperlink r:id="rId8">
        <w:r>
          <w:rPr>
            <w:rFonts w:ascii="Open Sans" w:eastAsia="Open Sans" w:hAnsi="Open Sans" w:cs="Open Sans"/>
            <w:color w:val="0000FF"/>
            <w:sz w:val="20"/>
            <w:szCs w:val="20"/>
            <w:u w:val="single"/>
          </w:rPr>
          <w:t>www.nntb.cz</w:t>
        </w:r>
      </w:hyperlink>
      <w:r>
        <w:rPr>
          <w:rFonts w:ascii="Open Sans" w:eastAsia="Open Sans" w:hAnsi="Open Sans" w:cs="Open Sans"/>
          <w:color w:val="000000"/>
          <w:sz w:val="20"/>
          <w:szCs w:val="20"/>
        </w:rPr>
        <w:t xml:space="preserve"> a </w:t>
      </w:r>
      <w:hyperlink r:id="rId9">
        <w:r>
          <w:rPr>
            <w:rFonts w:ascii="Open Sans" w:eastAsia="Open Sans" w:hAnsi="Open Sans" w:cs="Open Sans"/>
            <w:color w:val="0000FF"/>
            <w:sz w:val="20"/>
            <w:szCs w:val="20"/>
            <w:u w:val="single"/>
          </w:rPr>
          <w:t>www.faceup.com</w:t>
        </w:r>
      </w:hyperlink>
      <w:r>
        <w:rPr>
          <w:rFonts w:ascii="Open Sans" w:eastAsia="Open Sans" w:hAnsi="Open Sans" w:cs="Open Sans"/>
          <w:color w:val="000000"/>
          <w:sz w:val="20"/>
          <w:szCs w:val="20"/>
        </w:rPr>
        <w:t xml:space="preserve"> (dále jen „</w:t>
      </w:r>
      <w:r>
        <w:rPr>
          <w:rFonts w:ascii="Open Sans" w:eastAsia="Open Sans" w:hAnsi="Open Sans" w:cs="Open Sans"/>
          <w:b/>
          <w:color w:val="000000"/>
          <w:sz w:val="20"/>
          <w:szCs w:val="20"/>
        </w:rPr>
        <w:t>Internetové stránky</w:t>
      </w:r>
      <w:r>
        <w:rPr>
          <w:rFonts w:ascii="Open Sans" w:eastAsia="Open Sans" w:hAnsi="Open Sans" w:cs="Open Sans"/>
          <w:color w:val="000000"/>
          <w:sz w:val="20"/>
          <w:szCs w:val="20"/>
        </w:rPr>
        <w:t xml:space="preserve">“) a/nebo mobilní aplikace NNTB nebo </w:t>
      </w:r>
      <w:proofErr w:type="spellStart"/>
      <w:r>
        <w:rPr>
          <w:rFonts w:ascii="Open Sans" w:eastAsia="Open Sans" w:hAnsi="Open Sans" w:cs="Open Sans"/>
          <w:color w:val="000000"/>
          <w:sz w:val="20"/>
          <w:szCs w:val="20"/>
        </w:rPr>
        <w:t>FaceUp</w:t>
      </w:r>
      <w:proofErr w:type="spellEnd"/>
      <w:r>
        <w:rPr>
          <w:rFonts w:ascii="Open Sans" w:eastAsia="Open Sans" w:hAnsi="Open Sans" w:cs="Open Sans"/>
          <w:color w:val="000000"/>
          <w:sz w:val="20"/>
          <w:szCs w:val="20"/>
        </w:rPr>
        <w:t xml:space="preserve"> dostupné v obchodech Google Play a </w:t>
      </w:r>
      <w:proofErr w:type="spellStart"/>
      <w:r>
        <w:rPr>
          <w:rFonts w:ascii="Open Sans" w:eastAsia="Open Sans" w:hAnsi="Open Sans" w:cs="Open Sans"/>
          <w:color w:val="000000"/>
          <w:sz w:val="20"/>
          <w:szCs w:val="20"/>
        </w:rPr>
        <w:t>App</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Store</w:t>
      </w:r>
      <w:proofErr w:type="spellEnd"/>
      <w:r>
        <w:rPr>
          <w:rFonts w:ascii="Open Sans" w:eastAsia="Open Sans" w:hAnsi="Open Sans" w:cs="Open Sans"/>
          <w:color w:val="000000"/>
          <w:sz w:val="20"/>
          <w:szCs w:val="20"/>
        </w:rPr>
        <w:t xml:space="preserve"> (dále jel „</w:t>
      </w:r>
      <w:r>
        <w:rPr>
          <w:rFonts w:ascii="Open Sans" w:eastAsia="Open Sans" w:hAnsi="Open Sans" w:cs="Open Sans"/>
          <w:b/>
          <w:color w:val="000000"/>
          <w:sz w:val="20"/>
          <w:szCs w:val="20"/>
        </w:rPr>
        <w:t>Aplikace</w:t>
      </w:r>
      <w:r>
        <w:rPr>
          <w:rFonts w:ascii="Open Sans" w:eastAsia="Open Sans" w:hAnsi="Open Sans" w:cs="Open Sans"/>
          <w:color w:val="000000"/>
          <w:sz w:val="20"/>
          <w:szCs w:val="20"/>
        </w:rPr>
        <w:t>“), služby, pomocí nichž Provozovatel zejména přijímá zprávy (oznámení) od třetích osob a následně je ukládá do Aplikace a tyto údaje zpřístupňuje Klientovi prostřednictvím profilu či zasláním v podobě zašifrovaného dokumentu, čímž Klient využívá Internetové stránky a/nebo Aplikaci Provozovatele k vyřizování a administraci zpráv (oznámení) a komunikaci s oznamovatelem. (dále jen „</w:t>
      </w:r>
      <w:r>
        <w:rPr>
          <w:rFonts w:ascii="Open Sans" w:eastAsia="Open Sans" w:hAnsi="Open Sans" w:cs="Open Sans"/>
          <w:b/>
          <w:color w:val="000000"/>
          <w:sz w:val="20"/>
          <w:szCs w:val="20"/>
        </w:rPr>
        <w:t>Služby</w:t>
      </w:r>
      <w:r>
        <w:rPr>
          <w:rFonts w:ascii="Open Sans" w:eastAsia="Open Sans" w:hAnsi="Open Sans" w:cs="Open Sans"/>
          <w:color w:val="000000"/>
          <w:sz w:val="20"/>
          <w:szCs w:val="20"/>
        </w:rPr>
        <w:t>“).</w:t>
      </w:r>
    </w:p>
    <w:p w14:paraId="2D9B1ED3"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 xml:space="preserve">Právní vztahy mezi Provozovatelem a Klientem se řídí touto Smlouvou a všeobecnými obchodními podmínkami Poskytovatele, které jsou k dispozici na internetové adrese </w:t>
      </w:r>
      <w:hyperlink r:id="rId10">
        <w:r>
          <w:rPr>
            <w:rFonts w:ascii="Open Sans" w:eastAsia="Open Sans" w:hAnsi="Open Sans" w:cs="Open Sans"/>
            <w:color w:val="1155CC"/>
            <w:sz w:val="20"/>
            <w:szCs w:val="20"/>
            <w:u w:val="single"/>
          </w:rPr>
          <w:t>www.nntb.cz/obchodni-podminky</w:t>
        </w:r>
      </w:hyperlink>
      <w:r>
        <w:rPr>
          <w:rFonts w:ascii="Open Sans" w:eastAsia="Open Sans" w:hAnsi="Open Sans" w:cs="Open Sans"/>
          <w:color w:val="000000"/>
          <w:sz w:val="20"/>
          <w:szCs w:val="20"/>
        </w:rPr>
        <w:t xml:space="preserve"> (dále jen „</w:t>
      </w:r>
      <w:r>
        <w:rPr>
          <w:rFonts w:ascii="Open Sans" w:eastAsia="Open Sans" w:hAnsi="Open Sans" w:cs="Open Sans"/>
          <w:b/>
          <w:color w:val="000000"/>
          <w:sz w:val="20"/>
          <w:szCs w:val="20"/>
        </w:rPr>
        <w:t>VOP</w:t>
      </w:r>
      <w:r>
        <w:rPr>
          <w:rFonts w:ascii="Open Sans" w:eastAsia="Open Sans" w:hAnsi="Open Sans" w:cs="Open Sans"/>
          <w:color w:val="000000"/>
          <w:sz w:val="20"/>
          <w:szCs w:val="20"/>
        </w:rPr>
        <w:t xml:space="preserve">“), jejichž nedílnou součástí je i zpracovatelská smlouva (smlouva o zpracování osobních údajů), která je dostupná na internetových stránkách </w:t>
      </w:r>
      <w:hyperlink r:id="rId11">
        <w:r>
          <w:rPr>
            <w:rFonts w:ascii="Open Sans" w:eastAsia="Open Sans" w:hAnsi="Open Sans" w:cs="Open Sans"/>
            <w:color w:val="1155CC"/>
            <w:sz w:val="20"/>
            <w:szCs w:val="20"/>
            <w:u w:val="single"/>
          </w:rPr>
          <w:t>www.nntb.cz/zpracovatelska-smlouva</w:t>
        </w:r>
      </w:hyperlink>
      <w:r>
        <w:rPr>
          <w:rFonts w:ascii="Open Sans" w:eastAsia="Open Sans" w:hAnsi="Open Sans" w:cs="Open Sans"/>
          <w:color w:val="000000"/>
          <w:sz w:val="20"/>
          <w:szCs w:val="20"/>
        </w:rPr>
        <w:t xml:space="preserve"> (dále jen „</w:t>
      </w:r>
      <w:r>
        <w:rPr>
          <w:rFonts w:ascii="Open Sans" w:eastAsia="Open Sans" w:hAnsi="Open Sans" w:cs="Open Sans"/>
          <w:b/>
          <w:color w:val="000000"/>
          <w:sz w:val="20"/>
          <w:szCs w:val="20"/>
        </w:rPr>
        <w:t>Zpracovatelská smlouva</w:t>
      </w:r>
      <w:r>
        <w:rPr>
          <w:rFonts w:ascii="Open Sans" w:eastAsia="Open Sans" w:hAnsi="Open Sans" w:cs="Open Sans"/>
          <w:color w:val="000000"/>
          <w:sz w:val="20"/>
          <w:szCs w:val="20"/>
        </w:rPr>
        <w:t xml:space="preserve">“), a zásady ochrany osobních údajů, které jsou dostupné na internetových stránkách </w:t>
      </w:r>
      <w:hyperlink r:id="rId12">
        <w:r>
          <w:rPr>
            <w:rFonts w:ascii="Open Sans" w:eastAsia="Open Sans" w:hAnsi="Open Sans" w:cs="Open Sans"/>
            <w:color w:val="1155CC"/>
            <w:sz w:val="20"/>
            <w:szCs w:val="20"/>
            <w:u w:val="single"/>
          </w:rPr>
          <w:t>www.nntb.cz/zasady-ochrany-osobnich-udaju</w:t>
        </w:r>
      </w:hyperlink>
      <w:r>
        <w:rPr>
          <w:rFonts w:ascii="Open Sans" w:eastAsia="Open Sans" w:hAnsi="Open Sans" w:cs="Open Sans"/>
          <w:color w:val="000000"/>
          <w:sz w:val="20"/>
          <w:szCs w:val="20"/>
        </w:rPr>
        <w:t xml:space="preserve"> (dále jen „</w:t>
      </w:r>
      <w:r>
        <w:rPr>
          <w:rFonts w:ascii="Open Sans" w:eastAsia="Open Sans" w:hAnsi="Open Sans" w:cs="Open Sans"/>
          <w:b/>
          <w:color w:val="000000"/>
          <w:sz w:val="20"/>
          <w:szCs w:val="20"/>
        </w:rPr>
        <w:t>Zásady</w:t>
      </w:r>
      <w:r>
        <w:rPr>
          <w:rFonts w:ascii="Open Sans" w:eastAsia="Open Sans" w:hAnsi="Open Sans" w:cs="Open Sans"/>
          <w:color w:val="000000"/>
          <w:sz w:val="20"/>
          <w:szCs w:val="20"/>
        </w:rPr>
        <w:t>“). Klient prohlašuje, že se před uzavřením této Smlouvy s VOP, Zpracovatelskou smlouvou a Zásadami řádně seznámil, souhlasí s nimi a nemá k nim žádné výhrady.</w:t>
      </w:r>
    </w:p>
    <w:p w14:paraId="32FA5294"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Právní vztahy založené touto Smlouvou se řídí ujednáními v této Smlouvě obsaženými. V případě rozporu některého ujednání v této Smlouvě s ujednáním VOP, užije se ujednání obsažené v této Smlouvě. Ustanovení VOP se použijí na právní vztahy touto Smlouvou neupravené. Obchodní zvyklosti se nepoužijí.</w:t>
      </w:r>
    </w:p>
    <w:p w14:paraId="483ECE02" w14:textId="77777777" w:rsidR="00ED1C5D" w:rsidRDefault="00501EB7">
      <w:pPr>
        <w:keepNext/>
        <w:numPr>
          <w:ilvl w:val="0"/>
          <w:numId w:val="1"/>
        </w:numPr>
        <w:pBdr>
          <w:top w:val="nil"/>
          <w:left w:val="nil"/>
          <w:bottom w:val="nil"/>
          <w:right w:val="nil"/>
          <w:between w:val="nil"/>
        </w:pBdr>
        <w:spacing w:before="240" w:after="60"/>
        <w:jc w:val="both"/>
        <w:rPr>
          <w:rFonts w:ascii="Open Sans" w:eastAsia="Open Sans" w:hAnsi="Open Sans" w:cs="Open Sans"/>
          <w:b/>
          <w:color w:val="000000"/>
          <w:sz w:val="20"/>
          <w:szCs w:val="20"/>
        </w:rPr>
      </w:pPr>
      <w:r>
        <w:rPr>
          <w:rFonts w:ascii="Open Sans" w:eastAsia="Open Sans" w:hAnsi="Open Sans" w:cs="Open Sans"/>
          <w:b/>
          <w:color w:val="000000"/>
          <w:sz w:val="20"/>
          <w:szCs w:val="20"/>
        </w:rPr>
        <w:t>Předmět Smlouvy</w:t>
      </w:r>
    </w:p>
    <w:p w14:paraId="2C71FF31"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bookmarkStart w:id="3" w:name="_heading=h.3znysh7" w:colFirst="0" w:colLast="0"/>
      <w:bookmarkEnd w:id="3"/>
      <w:r>
        <w:rPr>
          <w:rFonts w:ascii="Open Sans" w:eastAsia="Open Sans" w:hAnsi="Open Sans" w:cs="Open Sans"/>
          <w:color w:val="000000"/>
          <w:sz w:val="20"/>
          <w:szCs w:val="20"/>
        </w:rPr>
        <w:t>Provozovatel za podmínek v této Smlouvě uvedených poskytne Klientovi prostřednictvím Internetových stránek a Aplikace Služby, spočívající zejména ve zřízení uživatelského účtu Klientovi do Aplikace a v poskytnutí Aplikace jako služby Klientovi s tím, že dále umožní, aby osoby, které chtějí učinit oznámení  (dále jen „</w:t>
      </w:r>
      <w:r>
        <w:rPr>
          <w:rFonts w:ascii="Open Sans" w:eastAsia="Open Sans" w:hAnsi="Open Sans" w:cs="Open Sans"/>
          <w:b/>
          <w:color w:val="000000"/>
          <w:sz w:val="20"/>
          <w:szCs w:val="20"/>
        </w:rPr>
        <w:t>Oznamovatel</w:t>
      </w:r>
      <w:r>
        <w:rPr>
          <w:rFonts w:ascii="Open Sans" w:eastAsia="Open Sans" w:hAnsi="Open Sans" w:cs="Open Sans"/>
          <w:color w:val="000000"/>
          <w:sz w:val="20"/>
          <w:szCs w:val="20"/>
        </w:rPr>
        <w:t>“) o určitých skutečnostech – zpravidla nežádoucí povahy (dále jen „</w:t>
      </w:r>
      <w:r>
        <w:rPr>
          <w:rFonts w:ascii="Open Sans" w:eastAsia="Open Sans" w:hAnsi="Open Sans" w:cs="Open Sans"/>
          <w:b/>
          <w:color w:val="000000"/>
          <w:sz w:val="20"/>
          <w:szCs w:val="20"/>
        </w:rPr>
        <w:t>Oznámení</w:t>
      </w:r>
      <w:r>
        <w:rPr>
          <w:rFonts w:ascii="Open Sans" w:eastAsia="Open Sans" w:hAnsi="Open Sans" w:cs="Open Sans"/>
          <w:color w:val="000000"/>
          <w:sz w:val="20"/>
          <w:szCs w:val="20"/>
        </w:rPr>
        <w:t>“) prostřednictvím formuláře na Internetových stránkách a/nebo v Aplikaci s použitím přístupového kódu Klienta prostřednictvím formuláře na Internetových stránkách a/nebo v Aplikaci takové oznámení učinit mohli, a Klient se za tuto Služby zavazuje zaplatit Odměnu dle čl. 3 této Smlouvy.</w:t>
      </w:r>
    </w:p>
    <w:p w14:paraId="2C57B3D3" w14:textId="44AAC161" w:rsidR="00ED1C5D" w:rsidRPr="0081416E"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lastRenderedPageBreak/>
        <w:t xml:space="preserve">Klient si zvolil verzi Aplikace </w:t>
      </w:r>
      <w:r w:rsidR="00562022" w:rsidRPr="0081416E">
        <w:rPr>
          <w:rFonts w:ascii="Open Sans" w:eastAsia="Open Sans" w:hAnsi="Open Sans" w:cs="Open Sans"/>
          <w:b/>
          <w:bCs/>
          <w:i/>
          <w:color w:val="000000"/>
          <w:sz w:val="20"/>
          <w:szCs w:val="20"/>
        </w:rPr>
        <w:t>Standard</w:t>
      </w:r>
      <w:r w:rsidRPr="0081416E">
        <w:rPr>
          <w:rFonts w:ascii="Open Sans" w:eastAsia="Open Sans" w:hAnsi="Open Sans" w:cs="Open Sans"/>
          <w:color w:val="000000"/>
          <w:sz w:val="20"/>
          <w:szCs w:val="20"/>
        </w:rPr>
        <w:t xml:space="preserve"> </w:t>
      </w:r>
      <w:r w:rsidR="005A0149" w:rsidRPr="0081416E">
        <w:rPr>
          <w:rFonts w:ascii="Open Sans" w:eastAsia="Open Sans" w:hAnsi="Open Sans" w:cs="Open Sans"/>
          <w:color w:val="000000"/>
          <w:sz w:val="20"/>
          <w:szCs w:val="20"/>
        </w:rPr>
        <w:t>do 150 počtu</w:t>
      </w:r>
      <w:r w:rsidRPr="0081416E">
        <w:rPr>
          <w:rFonts w:ascii="Open Sans" w:eastAsia="Open Sans" w:hAnsi="Open Sans" w:cs="Open Sans"/>
          <w:color w:val="000000"/>
          <w:sz w:val="20"/>
          <w:szCs w:val="20"/>
        </w:rPr>
        <w:t xml:space="preserve"> zaměstnanců, která je podrobně specifikována co do rozsahu nabízených funkcí na </w:t>
      </w:r>
      <w:hyperlink r:id="rId13">
        <w:r w:rsidRPr="0081416E">
          <w:rPr>
            <w:rFonts w:ascii="Open Sans" w:eastAsia="Open Sans" w:hAnsi="Open Sans" w:cs="Open Sans"/>
            <w:color w:val="0000FF"/>
            <w:sz w:val="20"/>
            <w:szCs w:val="20"/>
            <w:u w:val="single"/>
          </w:rPr>
          <w:t>www.nntb.cz/funkce</w:t>
        </w:r>
      </w:hyperlink>
      <w:r w:rsidRPr="0081416E">
        <w:rPr>
          <w:rFonts w:ascii="Open Sans" w:eastAsia="Open Sans" w:hAnsi="Open Sans" w:cs="Open Sans"/>
          <w:color w:val="000000"/>
          <w:sz w:val="20"/>
          <w:szCs w:val="20"/>
        </w:rPr>
        <w:t>.</w:t>
      </w:r>
    </w:p>
    <w:p w14:paraId="3B9A61E5" w14:textId="77777777" w:rsidR="00ED1C5D" w:rsidRPr="0081416E" w:rsidRDefault="00501EB7">
      <w:pPr>
        <w:numPr>
          <w:ilvl w:val="1"/>
          <w:numId w:val="1"/>
        </w:numPr>
        <w:pBdr>
          <w:top w:val="nil"/>
          <w:left w:val="nil"/>
          <w:bottom w:val="nil"/>
          <w:right w:val="nil"/>
          <w:between w:val="nil"/>
        </w:pBdr>
        <w:spacing w:before="240" w:after="60"/>
        <w:jc w:val="both"/>
        <w:rPr>
          <w:color w:val="000000"/>
          <w:sz w:val="20"/>
          <w:szCs w:val="20"/>
        </w:rPr>
      </w:pPr>
      <w:r w:rsidRPr="0081416E">
        <w:rPr>
          <w:rFonts w:ascii="Open Sans" w:eastAsia="Open Sans" w:hAnsi="Open Sans" w:cs="Open Sans"/>
          <w:color w:val="000000"/>
          <w:sz w:val="20"/>
          <w:szCs w:val="20"/>
        </w:rPr>
        <w:t>Klient bere na vědomí, že Provozovatel nenese odpovědnost za nastavení (charakteristiky) Služeb provedené Klientem v uživatelském účtu Aplikace.</w:t>
      </w:r>
    </w:p>
    <w:p w14:paraId="2CAA6988" w14:textId="77777777" w:rsidR="00ED1C5D" w:rsidRPr="0081416E" w:rsidRDefault="00501EB7">
      <w:pPr>
        <w:numPr>
          <w:ilvl w:val="1"/>
          <w:numId w:val="1"/>
        </w:numPr>
        <w:pBdr>
          <w:top w:val="nil"/>
          <w:left w:val="nil"/>
          <w:bottom w:val="nil"/>
          <w:right w:val="nil"/>
          <w:between w:val="nil"/>
        </w:pBdr>
        <w:spacing w:before="240" w:after="60"/>
        <w:jc w:val="both"/>
        <w:rPr>
          <w:color w:val="000000"/>
          <w:sz w:val="20"/>
          <w:szCs w:val="20"/>
        </w:rPr>
      </w:pPr>
      <w:r w:rsidRPr="0081416E">
        <w:rPr>
          <w:rFonts w:ascii="Open Sans" w:eastAsia="Open Sans" w:hAnsi="Open Sans" w:cs="Open Sans"/>
          <w:color w:val="000000"/>
          <w:sz w:val="20"/>
          <w:szCs w:val="20"/>
        </w:rPr>
        <w:t>Klient bere na vědomí, že jeho uživatelský účet nemusí být dostupný nepřetržitě, a to zejména s ohledem na nutnou údržbu hardwarového a softwarového vybavení Provozovatele, popř. jeho dodavatelů, a dále v případě, že poskytování Služeb brání omezení na straně Klienta nebo na straně jiných osob (např. výpadek v dodávce elektrické energie, výpadek datové sítě, zásah vyšší moci).</w:t>
      </w:r>
    </w:p>
    <w:p w14:paraId="209F49FE" w14:textId="77777777" w:rsidR="00ED1C5D" w:rsidRPr="0081416E" w:rsidRDefault="00501EB7">
      <w:pPr>
        <w:numPr>
          <w:ilvl w:val="1"/>
          <w:numId w:val="1"/>
        </w:numPr>
        <w:pBdr>
          <w:top w:val="nil"/>
          <w:left w:val="nil"/>
          <w:bottom w:val="nil"/>
          <w:right w:val="nil"/>
          <w:between w:val="nil"/>
        </w:pBdr>
        <w:spacing w:before="240" w:after="60"/>
        <w:jc w:val="both"/>
        <w:rPr>
          <w:color w:val="000000"/>
          <w:sz w:val="20"/>
          <w:szCs w:val="20"/>
        </w:rPr>
      </w:pPr>
      <w:r w:rsidRPr="0081416E">
        <w:rPr>
          <w:rFonts w:ascii="Open Sans" w:eastAsia="Open Sans" w:hAnsi="Open Sans" w:cs="Open Sans"/>
          <w:color w:val="000000"/>
          <w:sz w:val="20"/>
          <w:szCs w:val="20"/>
        </w:rPr>
        <w:t>V případě poruchy, výpadku nebo jiného nedostatku v poskytování Služeb, poskytne Provozovatel Klientovi technickou podporu za podmínek, v reakční době a způsobem blíže uvedeným v příslušných ustanoveních VOP.</w:t>
      </w:r>
    </w:p>
    <w:p w14:paraId="19E668F9" w14:textId="77777777" w:rsidR="00ED1C5D" w:rsidRPr="0081416E" w:rsidRDefault="00501EB7">
      <w:pPr>
        <w:numPr>
          <w:ilvl w:val="1"/>
          <w:numId w:val="1"/>
        </w:numPr>
        <w:pBdr>
          <w:top w:val="nil"/>
          <w:left w:val="nil"/>
          <w:bottom w:val="nil"/>
          <w:right w:val="nil"/>
          <w:between w:val="nil"/>
        </w:pBdr>
        <w:spacing w:before="240" w:after="60"/>
        <w:jc w:val="both"/>
        <w:rPr>
          <w:color w:val="000000"/>
          <w:sz w:val="20"/>
          <w:szCs w:val="20"/>
        </w:rPr>
      </w:pPr>
      <w:r w:rsidRPr="0081416E">
        <w:rPr>
          <w:rFonts w:ascii="Open Sans" w:eastAsia="Open Sans" w:hAnsi="Open Sans" w:cs="Open Sans"/>
          <w:color w:val="000000"/>
          <w:sz w:val="20"/>
          <w:szCs w:val="20"/>
        </w:rPr>
        <w:t>Klient je povinen zachovávat v tajnosti přístupové údaje do jeho uživatelského účtu. Klient bere na vědomí, že Provozovatel nenese odpovědnost za porušení této povinnosti ze strany Klienta, zejména za zneužití uživatelského účtu Klienta třetími osobami.</w:t>
      </w:r>
    </w:p>
    <w:p w14:paraId="3755C7D0" w14:textId="77777777" w:rsidR="00ED1C5D" w:rsidRPr="0081416E" w:rsidRDefault="00501EB7">
      <w:pPr>
        <w:keepNext/>
        <w:numPr>
          <w:ilvl w:val="0"/>
          <w:numId w:val="1"/>
        </w:numPr>
        <w:pBdr>
          <w:top w:val="nil"/>
          <w:left w:val="nil"/>
          <w:bottom w:val="nil"/>
          <w:right w:val="nil"/>
          <w:between w:val="nil"/>
        </w:pBdr>
        <w:spacing w:before="240" w:after="60"/>
        <w:jc w:val="both"/>
        <w:rPr>
          <w:rFonts w:ascii="Open Sans" w:eastAsia="Open Sans" w:hAnsi="Open Sans" w:cs="Open Sans"/>
          <w:b/>
          <w:color w:val="000000"/>
          <w:sz w:val="20"/>
          <w:szCs w:val="20"/>
        </w:rPr>
      </w:pPr>
      <w:bookmarkStart w:id="4" w:name="_heading=h.tyjcwt" w:colFirst="0" w:colLast="0"/>
      <w:bookmarkEnd w:id="4"/>
      <w:r w:rsidRPr="0081416E">
        <w:rPr>
          <w:rFonts w:ascii="Open Sans" w:eastAsia="Open Sans" w:hAnsi="Open Sans" w:cs="Open Sans"/>
          <w:b/>
          <w:color w:val="000000"/>
          <w:sz w:val="20"/>
          <w:szCs w:val="20"/>
        </w:rPr>
        <w:t>Odměna a platební podmínky</w:t>
      </w:r>
    </w:p>
    <w:p w14:paraId="70DF489B" w14:textId="77777777" w:rsidR="00ED1C5D" w:rsidRPr="0081416E" w:rsidRDefault="00501EB7">
      <w:pPr>
        <w:numPr>
          <w:ilvl w:val="1"/>
          <w:numId w:val="1"/>
        </w:numPr>
        <w:pBdr>
          <w:top w:val="nil"/>
          <w:left w:val="nil"/>
          <w:bottom w:val="nil"/>
          <w:right w:val="nil"/>
          <w:between w:val="nil"/>
        </w:pBdr>
        <w:spacing w:before="240" w:after="60"/>
        <w:jc w:val="both"/>
        <w:rPr>
          <w:color w:val="000000"/>
          <w:sz w:val="20"/>
          <w:szCs w:val="20"/>
        </w:rPr>
      </w:pPr>
      <w:bookmarkStart w:id="5" w:name="_heading=h.3dy6vkm" w:colFirst="0" w:colLast="0"/>
      <w:bookmarkEnd w:id="5"/>
      <w:r w:rsidRPr="0081416E">
        <w:rPr>
          <w:rFonts w:ascii="Open Sans" w:eastAsia="Open Sans" w:hAnsi="Open Sans" w:cs="Open Sans"/>
          <w:color w:val="000000"/>
          <w:sz w:val="20"/>
          <w:szCs w:val="20"/>
        </w:rPr>
        <w:t>Za užívání Aplikace se Klient zavazuje platit Provozovateli odměnu, jejíž výše se odvíjí od typu zvolené verze Aplikace.</w:t>
      </w:r>
    </w:p>
    <w:p w14:paraId="40F15E8A" w14:textId="65C97ECD" w:rsidR="00ED1C5D" w:rsidRPr="0081416E" w:rsidRDefault="00501EB7">
      <w:pPr>
        <w:numPr>
          <w:ilvl w:val="1"/>
          <w:numId w:val="1"/>
        </w:numPr>
        <w:pBdr>
          <w:top w:val="nil"/>
          <w:left w:val="nil"/>
          <w:bottom w:val="nil"/>
          <w:right w:val="nil"/>
          <w:between w:val="nil"/>
        </w:pBdr>
        <w:spacing w:before="240" w:after="60"/>
        <w:jc w:val="both"/>
        <w:rPr>
          <w:color w:val="000000"/>
          <w:sz w:val="20"/>
          <w:szCs w:val="20"/>
        </w:rPr>
      </w:pPr>
      <w:r w:rsidRPr="0081416E">
        <w:rPr>
          <w:rFonts w:ascii="Open Sans" w:eastAsia="Open Sans" w:hAnsi="Open Sans" w:cs="Open Sans"/>
          <w:color w:val="000000"/>
          <w:sz w:val="20"/>
          <w:szCs w:val="20"/>
        </w:rPr>
        <w:t>Odměna je sjednána periodicky vždy pro období dvanácti (12) po sobě jdoucích kalendářních měsíců (dále jen „</w:t>
      </w:r>
      <w:r w:rsidRPr="0081416E">
        <w:rPr>
          <w:rFonts w:ascii="Open Sans" w:eastAsia="Open Sans" w:hAnsi="Open Sans" w:cs="Open Sans"/>
          <w:b/>
          <w:color w:val="000000"/>
          <w:sz w:val="20"/>
          <w:szCs w:val="20"/>
        </w:rPr>
        <w:t>Období</w:t>
      </w:r>
      <w:r w:rsidRPr="0081416E">
        <w:rPr>
          <w:rFonts w:ascii="Open Sans" w:eastAsia="Open Sans" w:hAnsi="Open Sans" w:cs="Open Sans"/>
          <w:color w:val="000000"/>
          <w:sz w:val="20"/>
          <w:szCs w:val="20"/>
        </w:rPr>
        <w:t xml:space="preserve">“). První období se sjednává od </w:t>
      </w:r>
      <w:r w:rsidRPr="0081416E">
        <w:rPr>
          <w:rFonts w:ascii="Open Sans" w:eastAsia="Open Sans" w:hAnsi="Open Sans" w:cs="Open Sans"/>
          <w:sz w:val="20"/>
          <w:szCs w:val="20"/>
        </w:rPr>
        <w:t>1.</w:t>
      </w:r>
      <w:r w:rsidR="005A0149" w:rsidRPr="0081416E">
        <w:rPr>
          <w:rFonts w:ascii="Open Sans" w:eastAsia="Open Sans" w:hAnsi="Open Sans" w:cs="Open Sans"/>
          <w:sz w:val="20"/>
          <w:szCs w:val="20"/>
        </w:rPr>
        <w:t xml:space="preserve"> </w:t>
      </w:r>
      <w:r w:rsidRPr="0081416E">
        <w:rPr>
          <w:rFonts w:ascii="Open Sans" w:eastAsia="Open Sans" w:hAnsi="Open Sans" w:cs="Open Sans"/>
          <w:sz w:val="20"/>
          <w:szCs w:val="20"/>
        </w:rPr>
        <w:t>8.</w:t>
      </w:r>
      <w:r w:rsidR="005A0149" w:rsidRPr="0081416E">
        <w:rPr>
          <w:rFonts w:ascii="Open Sans" w:eastAsia="Open Sans" w:hAnsi="Open Sans" w:cs="Open Sans"/>
          <w:sz w:val="20"/>
          <w:szCs w:val="20"/>
        </w:rPr>
        <w:t xml:space="preserve"> </w:t>
      </w:r>
      <w:r w:rsidRPr="0081416E">
        <w:rPr>
          <w:rFonts w:ascii="Open Sans" w:eastAsia="Open Sans" w:hAnsi="Open Sans" w:cs="Open Sans"/>
          <w:sz w:val="20"/>
          <w:szCs w:val="20"/>
        </w:rPr>
        <w:t>2023</w:t>
      </w:r>
      <w:r w:rsidRPr="0081416E">
        <w:rPr>
          <w:rFonts w:ascii="Open Sans" w:eastAsia="Open Sans" w:hAnsi="Open Sans" w:cs="Open Sans"/>
          <w:color w:val="000000"/>
          <w:sz w:val="20"/>
          <w:szCs w:val="20"/>
        </w:rPr>
        <w:t xml:space="preserve"> do </w:t>
      </w:r>
      <w:r w:rsidR="005A0149" w:rsidRPr="0081416E">
        <w:rPr>
          <w:rFonts w:ascii="Open Sans" w:eastAsia="Open Sans" w:hAnsi="Open Sans" w:cs="Open Sans"/>
          <w:sz w:val="20"/>
          <w:szCs w:val="20"/>
        </w:rPr>
        <w:t xml:space="preserve">31. 7. </w:t>
      </w:r>
      <w:r w:rsidRPr="0081416E">
        <w:rPr>
          <w:rFonts w:ascii="Open Sans" w:eastAsia="Open Sans" w:hAnsi="Open Sans" w:cs="Open Sans"/>
          <w:sz w:val="20"/>
          <w:szCs w:val="20"/>
        </w:rPr>
        <w:t>2024</w:t>
      </w:r>
      <w:r w:rsidR="00F86113" w:rsidRPr="0081416E">
        <w:rPr>
          <w:rFonts w:ascii="Open Sans" w:eastAsia="Open Sans" w:hAnsi="Open Sans" w:cs="Open Sans"/>
          <w:sz w:val="20"/>
          <w:szCs w:val="20"/>
        </w:rPr>
        <w:t xml:space="preserve"> </w:t>
      </w:r>
      <w:r w:rsidRPr="0081416E">
        <w:rPr>
          <w:rFonts w:ascii="Open Sans" w:eastAsia="Open Sans" w:hAnsi="Open Sans" w:cs="Open Sans"/>
          <w:color w:val="000000"/>
          <w:sz w:val="20"/>
          <w:szCs w:val="20"/>
        </w:rPr>
        <w:t>včetně.</w:t>
      </w:r>
    </w:p>
    <w:p w14:paraId="06C4B445" w14:textId="0ADAE028" w:rsidR="00ED1C5D" w:rsidRDefault="00501EB7">
      <w:pPr>
        <w:numPr>
          <w:ilvl w:val="1"/>
          <w:numId w:val="1"/>
        </w:numPr>
        <w:pBdr>
          <w:top w:val="nil"/>
          <w:left w:val="nil"/>
          <w:bottom w:val="nil"/>
          <w:right w:val="nil"/>
          <w:between w:val="nil"/>
        </w:pBdr>
        <w:spacing w:before="240" w:after="60"/>
        <w:jc w:val="both"/>
        <w:rPr>
          <w:color w:val="000000"/>
          <w:sz w:val="20"/>
          <w:szCs w:val="20"/>
        </w:rPr>
      </w:pPr>
      <w:r w:rsidRPr="0081416E">
        <w:rPr>
          <w:rFonts w:ascii="Open Sans" w:eastAsia="Open Sans" w:hAnsi="Open Sans" w:cs="Open Sans"/>
          <w:color w:val="000000"/>
          <w:sz w:val="20"/>
          <w:szCs w:val="20"/>
        </w:rPr>
        <w:t xml:space="preserve">Odměna za každé Období činí </w:t>
      </w:r>
      <w:r w:rsidR="0081416E" w:rsidRPr="0081416E">
        <w:rPr>
          <w:rFonts w:ascii="Open Sans" w:eastAsia="Open Sans" w:hAnsi="Open Sans" w:cs="Open Sans"/>
          <w:sz w:val="20"/>
          <w:szCs w:val="20"/>
        </w:rPr>
        <w:t xml:space="preserve">16 092,- </w:t>
      </w:r>
      <w:r w:rsidRPr="0081416E">
        <w:rPr>
          <w:rFonts w:ascii="Open Sans" w:eastAsia="Open Sans" w:hAnsi="Open Sans" w:cs="Open Sans"/>
          <w:color w:val="000000"/>
          <w:sz w:val="20"/>
          <w:szCs w:val="20"/>
        </w:rPr>
        <w:t>Kč bez DPH</w:t>
      </w:r>
      <w:r>
        <w:rPr>
          <w:rFonts w:ascii="Open Sans" w:eastAsia="Open Sans" w:hAnsi="Open Sans" w:cs="Open Sans"/>
          <w:color w:val="000000"/>
          <w:sz w:val="20"/>
          <w:szCs w:val="20"/>
        </w:rPr>
        <w:t xml:space="preserve"> (dále jen „</w:t>
      </w:r>
      <w:r>
        <w:rPr>
          <w:rFonts w:ascii="Open Sans" w:eastAsia="Open Sans" w:hAnsi="Open Sans" w:cs="Open Sans"/>
          <w:b/>
          <w:color w:val="000000"/>
          <w:sz w:val="20"/>
          <w:szCs w:val="20"/>
        </w:rPr>
        <w:t>Odměna</w:t>
      </w:r>
      <w:r>
        <w:rPr>
          <w:rFonts w:ascii="Open Sans" w:eastAsia="Open Sans" w:hAnsi="Open Sans" w:cs="Open Sans"/>
          <w:color w:val="000000"/>
          <w:sz w:val="20"/>
          <w:szCs w:val="20"/>
        </w:rPr>
        <w:t>“). Klient se zavazuje zároveň s Odměnou uhradit DPH v zákonné výši.</w:t>
      </w:r>
    </w:p>
    <w:p w14:paraId="43447044"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 xml:space="preserve">Fakturu za první období vystaví Provozovatel bezodkladně po uzavření této Smlouvy a její úhrada je předpokladem zprovoznění a poskytování Služeb Klientovi. </w:t>
      </w:r>
    </w:p>
    <w:p w14:paraId="3393B932"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 xml:space="preserve">Fakturu na další období je Provozovatel oprávněn vystavit nejdříve jeden (1) měsíc před začátkem dalšího období. </w:t>
      </w:r>
    </w:p>
    <w:p w14:paraId="45347A7F" w14:textId="4DD4E85A" w:rsidR="00ED1C5D" w:rsidRPr="005A0149" w:rsidRDefault="00501EB7" w:rsidP="005A0149">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Elektronická faktura bude zasílána na email: XXXXXXXXXXXXXXXXXXX</w:t>
      </w:r>
      <w:r w:rsidR="005A0149">
        <w:rPr>
          <w:rFonts w:ascii="Open Sans" w:eastAsia="Open Sans" w:hAnsi="Open Sans" w:cs="Open Sans"/>
          <w:color w:val="000000"/>
          <w:sz w:val="20"/>
          <w:szCs w:val="20"/>
        </w:rPr>
        <w:t xml:space="preserve"> </w:t>
      </w:r>
      <w:r w:rsidR="005A0149" w:rsidRPr="005A0149">
        <w:rPr>
          <w:rFonts w:ascii="Open Sans" w:eastAsia="Open Sans" w:hAnsi="Open Sans" w:cs="Open Sans"/>
          <w:color w:val="000000"/>
          <w:sz w:val="20"/>
          <w:szCs w:val="20"/>
        </w:rPr>
        <w:t>a</w:t>
      </w:r>
      <w:r>
        <w:rPr>
          <w:rFonts w:ascii="Open Sans" w:eastAsia="Open Sans" w:hAnsi="Open Sans" w:cs="Open Sans"/>
          <w:color w:val="000000"/>
          <w:sz w:val="20"/>
          <w:szCs w:val="20"/>
        </w:rPr>
        <w:t xml:space="preserve"> XXXXXXXXXXXXXXXXXXXXX</w:t>
      </w:r>
      <w:r w:rsidRPr="005A0149">
        <w:rPr>
          <w:rFonts w:ascii="Open Sans" w:eastAsia="Open Sans" w:hAnsi="Open Sans" w:cs="Open Sans"/>
          <w:color w:val="000000"/>
          <w:sz w:val="20"/>
          <w:szCs w:val="20"/>
        </w:rPr>
        <w:t>. O případné změně emailové adresy je Klient povinen Provozovatele bezodkladně písemnou formou informovat.</w:t>
      </w:r>
    </w:p>
    <w:p w14:paraId="094C30FB"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Faktura je splatná do čtrnácti (14) dnů od jejího doručení Klientovi. Při prodlení s úhradou faktury je Provozovateli oprávněn přístup k Aplikaci přerušit až do vyrovnání pohledávky. Pozastavením přístupu do Aplikace však nezaniká právo Provozovatele na úhrady Odměny i za dobu, během které nebyla tato služba poskytována.</w:t>
      </w:r>
    </w:p>
    <w:p w14:paraId="4AFFD4AA" w14:textId="77777777" w:rsidR="00ED1C5D" w:rsidRDefault="00501EB7">
      <w:pPr>
        <w:keepNext/>
        <w:numPr>
          <w:ilvl w:val="0"/>
          <w:numId w:val="1"/>
        </w:numPr>
        <w:pBdr>
          <w:top w:val="nil"/>
          <w:left w:val="nil"/>
          <w:bottom w:val="nil"/>
          <w:right w:val="nil"/>
          <w:between w:val="nil"/>
        </w:pBdr>
        <w:spacing w:before="240" w:after="60"/>
        <w:jc w:val="both"/>
        <w:rPr>
          <w:rFonts w:ascii="Open Sans" w:eastAsia="Open Sans" w:hAnsi="Open Sans" w:cs="Open Sans"/>
          <w:b/>
          <w:color w:val="000000"/>
          <w:sz w:val="20"/>
          <w:szCs w:val="20"/>
        </w:rPr>
      </w:pPr>
      <w:bookmarkStart w:id="6" w:name="_heading=h.1t3h5sf" w:colFirst="0" w:colLast="0"/>
      <w:bookmarkEnd w:id="6"/>
      <w:r>
        <w:rPr>
          <w:rFonts w:ascii="Open Sans" w:eastAsia="Open Sans" w:hAnsi="Open Sans" w:cs="Open Sans"/>
          <w:b/>
          <w:color w:val="000000"/>
          <w:sz w:val="20"/>
          <w:szCs w:val="20"/>
        </w:rPr>
        <w:t>Doba trvání smlouvy</w:t>
      </w:r>
    </w:p>
    <w:p w14:paraId="538E6289"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 xml:space="preserve">Smlouva se uzavírá na dobu neurčitou. </w:t>
      </w:r>
    </w:p>
    <w:p w14:paraId="18670760"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 xml:space="preserve">Každá Smluvní strana je oprávněna vypovědět tuto Smlouvu i bez uvedení důvodu. Výpovědní lhůta </w:t>
      </w:r>
      <w:r w:rsidRPr="00AE78C2">
        <w:rPr>
          <w:rFonts w:ascii="Open Sans" w:eastAsia="Open Sans" w:hAnsi="Open Sans" w:cs="Open Sans"/>
          <w:color w:val="000000"/>
          <w:sz w:val="20"/>
          <w:szCs w:val="20"/>
        </w:rPr>
        <w:t>činí (3) měsíce</w:t>
      </w:r>
      <w:r>
        <w:rPr>
          <w:rFonts w:ascii="Open Sans" w:eastAsia="Open Sans" w:hAnsi="Open Sans" w:cs="Open Sans"/>
          <w:color w:val="000000"/>
          <w:sz w:val="20"/>
          <w:szCs w:val="20"/>
        </w:rPr>
        <w:t xml:space="preserve"> a začíná běžet prvním dnem měsíce následujícího po měsíci, ve kterém byla výpověď doručena druhé Smluvní straně.</w:t>
      </w:r>
    </w:p>
    <w:p w14:paraId="4392AD0A"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 xml:space="preserve">Smluvní strany se výslovně dohodly, že nárok Provozovatele na Odměnu uhrazenou Klientem v průběhu ročního období, v němž došlo k ukončení této Smlouvy výpovědí, nezaniká, a Poskytovatel není povinen vracet Klientovi již uhrazenou Odměnu či jakoukoli její část za toto roční období. Je právem Klienta zvolit, zda jeho uživatelský účet v Aplikaci bude zrušen k poslednímu dni </w:t>
      </w:r>
      <w:r>
        <w:rPr>
          <w:rFonts w:ascii="Open Sans" w:eastAsia="Open Sans" w:hAnsi="Open Sans" w:cs="Open Sans"/>
          <w:color w:val="000000"/>
          <w:sz w:val="20"/>
          <w:szCs w:val="20"/>
        </w:rPr>
        <w:lastRenderedPageBreak/>
        <w:t>daného ročního období či ihned ke dni uplynutí výpovědní doby; v případě, že ve výpovědi nebude termín zrušení uživatelského účtu Klienta určen, má se za to, že uživatelský účet Klienta bude zrušen ke dni uplynutí výpovědní doby.</w:t>
      </w:r>
    </w:p>
    <w:p w14:paraId="6D053731" w14:textId="77777777" w:rsidR="00ED1C5D" w:rsidRDefault="00501EB7">
      <w:pPr>
        <w:keepNext/>
        <w:numPr>
          <w:ilvl w:val="0"/>
          <w:numId w:val="1"/>
        </w:numPr>
        <w:pBdr>
          <w:top w:val="nil"/>
          <w:left w:val="nil"/>
          <w:bottom w:val="nil"/>
          <w:right w:val="nil"/>
          <w:between w:val="nil"/>
        </w:pBdr>
        <w:spacing w:before="240" w:after="60"/>
        <w:jc w:val="both"/>
        <w:rPr>
          <w:rFonts w:ascii="Open Sans" w:eastAsia="Open Sans" w:hAnsi="Open Sans" w:cs="Open Sans"/>
          <w:b/>
          <w:color w:val="000000"/>
          <w:sz w:val="20"/>
          <w:szCs w:val="20"/>
        </w:rPr>
      </w:pPr>
      <w:bookmarkStart w:id="7" w:name="_heading=h.4d34og8" w:colFirst="0" w:colLast="0"/>
      <w:bookmarkEnd w:id="7"/>
      <w:r>
        <w:rPr>
          <w:rFonts w:ascii="Open Sans" w:eastAsia="Open Sans" w:hAnsi="Open Sans" w:cs="Open Sans"/>
          <w:b/>
          <w:color w:val="000000"/>
          <w:sz w:val="20"/>
          <w:szCs w:val="20"/>
        </w:rPr>
        <w:t>Závěrečná ustanovení</w:t>
      </w:r>
    </w:p>
    <w:p w14:paraId="7C23357A" w14:textId="514A6773"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Osobou opráv</w:t>
      </w:r>
      <w:r w:rsidRPr="00AE78C2">
        <w:rPr>
          <w:rFonts w:ascii="Open Sans" w:eastAsia="Open Sans" w:hAnsi="Open Sans" w:cs="Open Sans"/>
          <w:color w:val="000000"/>
          <w:sz w:val="20"/>
          <w:szCs w:val="20"/>
        </w:rPr>
        <w:t xml:space="preserve">něnou jednat za Klienta v záležitostech týkajících se využívání Služeb je </w:t>
      </w:r>
      <w:r w:rsidR="005A0149" w:rsidRPr="00AE78C2">
        <w:rPr>
          <w:rFonts w:ascii="Open Sans" w:eastAsia="Open Sans" w:hAnsi="Open Sans" w:cs="Open Sans"/>
          <w:b/>
          <w:bCs/>
          <w:color w:val="000000"/>
          <w:sz w:val="20"/>
          <w:szCs w:val="20"/>
        </w:rPr>
        <w:t>Ing. Andrea Spíchalová</w:t>
      </w:r>
      <w:r w:rsidRPr="00AE78C2">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přičemž tato osoba má oprávnění v rámci uživatelského účtu přidávat další oprávněné osoby tak, že jim přidělí roli administrátora („</w:t>
      </w:r>
      <w:r>
        <w:rPr>
          <w:rFonts w:ascii="Open Sans" w:eastAsia="Open Sans" w:hAnsi="Open Sans" w:cs="Open Sans"/>
          <w:b/>
          <w:color w:val="000000"/>
          <w:sz w:val="20"/>
          <w:szCs w:val="20"/>
        </w:rPr>
        <w:t>Oprávněná osoba</w:t>
      </w:r>
      <w:r>
        <w:rPr>
          <w:rFonts w:ascii="Open Sans" w:eastAsia="Open Sans" w:hAnsi="Open Sans" w:cs="Open Sans"/>
          <w:color w:val="000000"/>
          <w:sz w:val="20"/>
          <w:szCs w:val="20"/>
        </w:rPr>
        <w:t>“). Osobu určenou jako Oprávněná osoba může Klient změnit jednostranným oznámením doručeným Provozovateli nebo v administraci.</w:t>
      </w:r>
    </w:p>
    <w:p w14:paraId="6DC79210"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Klient podpisem této Smlouvy uděluje Provozovateli souhlas s užitím obchodního označení, firmy či jména Klienta a dalších osob, jejichž zaměstnanci budou využívat Aplikaci prostřednictvím uživatelského účtu Klienta jako referenci pro marketingové účely v jakékoli formě či podobě.</w:t>
      </w:r>
    </w:p>
    <w:p w14:paraId="1C3B5CB0"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Tato Smlouva nabývá platnosti a účinnosti jejím podpisem oběma Smluvními stranami a může být měněna pouze písemnou dohodou Smluvních stran.</w:t>
      </w:r>
    </w:p>
    <w:p w14:paraId="2C5F7C91"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bookmarkStart w:id="8" w:name="_heading=h.2s8eyo1" w:colFirst="0" w:colLast="0"/>
      <w:bookmarkEnd w:id="8"/>
      <w:r>
        <w:rPr>
          <w:rFonts w:ascii="Open Sans" w:eastAsia="Open Sans" w:hAnsi="Open Sans" w:cs="Open Sans"/>
          <w:color w:val="000000"/>
          <w:sz w:val="20"/>
          <w:szCs w:val="20"/>
        </w:rPr>
        <w:t>Tato Smlouva se řídí právním řádem České republiky. Smluvní strany se dohodly, že jakékoli spory vzniklé z této Smlouvy nebo v souvislosti s ní, které nebudou moci být vyřešeny smírnou cestou, budou s konečnou platností vyřešeny věcně a místně příslušným soudem České republiky, určenými podle adresy sídla Provozovatele.</w:t>
      </w:r>
    </w:p>
    <w:p w14:paraId="663A9C18"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71832141" w14:textId="77777777" w:rsidR="00ED1C5D" w:rsidRDefault="00501EB7">
      <w:pPr>
        <w:numPr>
          <w:ilvl w:val="1"/>
          <w:numId w:val="1"/>
        </w:numPr>
        <w:pBdr>
          <w:top w:val="nil"/>
          <w:left w:val="nil"/>
          <w:bottom w:val="nil"/>
          <w:right w:val="nil"/>
          <w:between w:val="nil"/>
        </w:pBdr>
        <w:spacing w:before="240" w:after="60"/>
        <w:jc w:val="both"/>
        <w:rPr>
          <w:color w:val="000000"/>
          <w:sz w:val="20"/>
          <w:szCs w:val="20"/>
        </w:rPr>
      </w:pPr>
      <w:r>
        <w:rPr>
          <w:rFonts w:ascii="Open Sans" w:eastAsia="Open Sans" w:hAnsi="Open Sans" w:cs="Open Sans"/>
          <w:color w:val="000000"/>
          <w:sz w:val="20"/>
          <w:szCs w:val="20"/>
        </w:rPr>
        <w:t xml:space="preserve">Tato Smlouva je vyhotovena ve dvou (2) stejnopisech v českém jazyce, z nichž Poskytovatel </w:t>
      </w:r>
      <w:proofErr w:type="gramStart"/>
      <w:r>
        <w:rPr>
          <w:rFonts w:ascii="Open Sans" w:eastAsia="Open Sans" w:hAnsi="Open Sans" w:cs="Open Sans"/>
          <w:color w:val="000000"/>
          <w:sz w:val="20"/>
          <w:szCs w:val="20"/>
        </w:rPr>
        <w:t>obdrží</w:t>
      </w:r>
      <w:proofErr w:type="gramEnd"/>
      <w:r>
        <w:rPr>
          <w:rFonts w:ascii="Open Sans" w:eastAsia="Open Sans" w:hAnsi="Open Sans" w:cs="Open Sans"/>
          <w:color w:val="000000"/>
          <w:sz w:val="20"/>
          <w:szCs w:val="20"/>
        </w:rPr>
        <w:t xml:space="preserve"> jeden (1) stejnopis a Klient jeden (1) stejnopis. V případě elektronického podepisování se toto ustanovení neuplatní.</w:t>
      </w:r>
    </w:p>
    <w:p w14:paraId="4E9FA0F7" w14:textId="77777777" w:rsidR="00ED1C5D" w:rsidRDefault="00ED1C5D"/>
    <w:p w14:paraId="5CEF025D" w14:textId="77777777" w:rsidR="00ED1C5D" w:rsidRDefault="00ED1C5D">
      <w:pPr>
        <w:tabs>
          <w:tab w:val="left" w:pos="4962"/>
        </w:tabs>
        <w:jc w:val="both"/>
        <w:rPr>
          <w:rFonts w:ascii="Open Sans" w:eastAsia="Open Sans" w:hAnsi="Open Sans" w:cs="Open Sans"/>
          <w:sz w:val="20"/>
          <w:szCs w:val="20"/>
        </w:rPr>
      </w:pPr>
    </w:p>
    <w:p w14:paraId="583A936F" w14:textId="77777777" w:rsidR="00ED1C5D" w:rsidRDefault="00ED1C5D">
      <w:pPr>
        <w:tabs>
          <w:tab w:val="left" w:pos="4962"/>
        </w:tabs>
        <w:jc w:val="both"/>
        <w:rPr>
          <w:rFonts w:ascii="Open Sans" w:eastAsia="Open Sans" w:hAnsi="Open Sans" w:cs="Open Sans"/>
          <w:sz w:val="20"/>
          <w:szCs w:val="20"/>
        </w:rPr>
      </w:pPr>
    </w:p>
    <w:tbl>
      <w:tblPr>
        <w:tblStyle w:val="a3"/>
        <w:tblW w:w="9471" w:type="dxa"/>
        <w:tblInd w:w="-115" w:type="dxa"/>
        <w:tblLayout w:type="fixed"/>
        <w:tblLook w:val="0400" w:firstRow="0" w:lastRow="0" w:firstColumn="0" w:lastColumn="0" w:noHBand="0" w:noVBand="1"/>
      </w:tblPr>
      <w:tblGrid>
        <w:gridCol w:w="5644"/>
        <w:gridCol w:w="3827"/>
      </w:tblGrid>
      <w:tr w:rsidR="00ED1C5D" w14:paraId="2F73A198" w14:textId="77777777" w:rsidTr="00AE78C2">
        <w:tc>
          <w:tcPr>
            <w:tcW w:w="5644" w:type="dxa"/>
            <w:shd w:val="clear" w:color="auto" w:fill="auto"/>
          </w:tcPr>
          <w:p w14:paraId="5A36E782" w14:textId="5126C5BC" w:rsidR="00ED1C5D" w:rsidRDefault="00501EB7">
            <w:pPr>
              <w:tabs>
                <w:tab w:val="left" w:pos="4962"/>
              </w:tabs>
              <w:jc w:val="both"/>
              <w:rPr>
                <w:rFonts w:ascii="Open Sans" w:eastAsia="Open Sans" w:hAnsi="Open Sans" w:cs="Open Sans"/>
                <w:sz w:val="20"/>
                <w:szCs w:val="20"/>
              </w:rPr>
            </w:pPr>
            <w:r>
              <w:rPr>
                <w:rFonts w:ascii="Open Sans" w:eastAsia="Open Sans" w:hAnsi="Open Sans" w:cs="Open Sans"/>
                <w:sz w:val="20"/>
                <w:szCs w:val="20"/>
              </w:rPr>
              <w:t xml:space="preserve">V ______________ dne </w:t>
            </w:r>
            <w:r w:rsidR="00612E4E">
              <w:rPr>
                <w:rFonts w:ascii="Open Sans" w:eastAsia="Open Sans" w:hAnsi="Open Sans" w:cs="Open Sans"/>
                <w:sz w:val="20"/>
                <w:szCs w:val="20"/>
              </w:rPr>
              <w:t>28.07.2023</w:t>
            </w:r>
          </w:p>
          <w:p w14:paraId="075C4C6F" w14:textId="77777777" w:rsidR="00ED1C5D" w:rsidRDefault="00ED1C5D">
            <w:pPr>
              <w:tabs>
                <w:tab w:val="left" w:pos="4962"/>
              </w:tabs>
              <w:jc w:val="both"/>
              <w:rPr>
                <w:rFonts w:ascii="Open Sans" w:eastAsia="Open Sans" w:hAnsi="Open Sans" w:cs="Open Sans"/>
                <w:sz w:val="20"/>
                <w:szCs w:val="20"/>
              </w:rPr>
            </w:pPr>
          </w:p>
          <w:p w14:paraId="7AECE881" w14:textId="77777777" w:rsidR="00ED1C5D" w:rsidRDefault="00501EB7">
            <w:pPr>
              <w:tabs>
                <w:tab w:val="left" w:pos="4962"/>
              </w:tabs>
              <w:jc w:val="both"/>
              <w:rPr>
                <w:rFonts w:ascii="Open Sans" w:eastAsia="Open Sans" w:hAnsi="Open Sans" w:cs="Open Sans"/>
                <w:sz w:val="20"/>
                <w:szCs w:val="20"/>
              </w:rPr>
            </w:pPr>
            <w:r>
              <w:rPr>
                <w:rFonts w:ascii="Open Sans" w:eastAsia="Open Sans" w:hAnsi="Open Sans" w:cs="Open Sans"/>
                <w:sz w:val="20"/>
                <w:szCs w:val="20"/>
              </w:rPr>
              <w:t xml:space="preserve">za </w:t>
            </w:r>
            <w:proofErr w:type="spellStart"/>
            <w:r>
              <w:rPr>
                <w:rFonts w:ascii="Open Sans" w:eastAsia="Open Sans" w:hAnsi="Open Sans" w:cs="Open Sans"/>
                <w:b/>
                <w:sz w:val="20"/>
                <w:szCs w:val="20"/>
              </w:rPr>
              <w:t>FaceUp</w:t>
            </w:r>
            <w:proofErr w:type="spellEnd"/>
            <w:r>
              <w:rPr>
                <w:rFonts w:ascii="Open Sans" w:eastAsia="Open Sans" w:hAnsi="Open Sans" w:cs="Open Sans"/>
                <w:b/>
                <w:sz w:val="20"/>
                <w:szCs w:val="20"/>
              </w:rPr>
              <w:t xml:space="preserve"> Technology s.r.o.</w:t>
            </w:r>
            <w:r>
              <w:rPr>
                <w:rFonts w:ascii="Open Sans" w:eastAsia="Open Sans" w:hAnsi="Open Sans" w:cs="Open Sans"/>
                <w:sz w:val="20"/>
                <w:szCs w:val="20"/>
              </w:rPr>
              <w:t>:</w:t>
            </w:r>
          </w:p>
          <w:p w14:paraId="6DA0A72E" w14:textId="77777777" w:rsidR="00ED1C5D" w:rsidRDefault="00ED1C5D">
            <w:pPr>
              <w:tabs>
                <w:tab w:val="left" w:pos="4962"/>
              </w:tabs>
              <w:jc w:val="both"/>
              <w:rPr>
                <w:rFonts w:ascii="Open Sans" w:eastAsia="Open Sans" w:hAnsi="Open Sans" w:cs="Open Sans"/>
                <w:sz w:val="20"/>
                <w:szCs w:val="20"/>
              </w:rPr>
            </w:pPr>
          </w:p>
          <w:p w14:paraId="473A758A" w14:textId="77777777" w:rsidR="00ED1C5D" w:rsidRDefault="00ED1C5D">
            <w:pPr>
              <w:tabs>
                <w:tab w:val="left" w:pos="4962"/>
              </w:tabs>
              <w:jc w:val="both"/>
              <w:rPr>
                <w:rFonts w:ascii="Open Sans" w:eastAsia="Open Sans" w:hAnsi="Open Sans" w:cs="Open Sans"/>
                <w:sz w:val="20"/>
                <w:szCs w:val="20"/>
              </w:rPr>
            </w:pPr>
          </w:p>
          <w:p w14:paraId="2D6F9587" w14:textId="77777777" w:rsidR="005A0149" w:rsidRDefault="005A0149">
            <w:pPr>
              <w:tabs>
                <w:tab w:val="left" w:pos="4962"/>
              </w:tabs>
              <w:jc w:val="both"/>
              <w:rPr>
                <w:rFonts w:ascii="Open Sans" w:eastAsia="Open Sans" w:hAnsi="Open Sans" w:cs="Open Sans"/>
                <w:sz w:val="20"/>
                <w:szCs w:val="20"/>
              </w:rPr>
            </w:pPr>
          </w:p>
          <w:p w14:paraId="15D98705" w14:textId="77777777" w:rsidR="005A0149" w:rsidRDefault="005A0149">
            <w:pPr>
              <w:tabs>
                <w:tab w:val="left" w:pos="4962"/>
              </w:tabs>
              <w:jc w:val="both"/>
              <w:rPr>
                <w:rFonts w:ascii="Open Sans" w:eastAsia="Open Sans" w:hAnsi="Open Sans" w:cs="Open Sans"/>
                <w:sz w:val="20"/>
                <w:szCs w:val="20"/>
              </w:rPr>
            </w:pPr>
          </w:p>
          <w:p w14:paraId="28BC0347" w14:textId="77777777" w:rsidR="00ED1C5D" w:rsidRDefault="00ED1C5D">
            <w:pPr>
              <w:tabs>
                <w:tab w:val="left" w:pos="4962"/>
              </w:tabs>
              <w:jc w:val="both"/>
              <w:rPr>
                <w:rFonts w:ascii="Open Sans" w:eastAsia="Open Sans" w:hAnsi="Open Sans" w:cs="Open Sans"/>
                <w:sz w:val="20"/>
                <w:szCs w:val="20"/>
              </w:rPr>
            </w:pPr>
          </w:p>
        </w:tc>
        <w:tc>
          <w:tcPr>
            <w:tcW w:w="3827" w:type="dxa"/>
            <w:vMerge w:val="restart"/>
            <w:shd w:val="clear" w:color="auto" w:fill="auto"/>
          </w:tcPr>
          <w:p w14:paraId="4FD693F5" w14:textId="3B486CF2" w:rsidR="00ED1C5D" w:rsidRDefault="00501EB7" w:rsidP="00AE78C2">
            <w:pPr>
              <w:tabs>
                <w:tab w:val="left" w:pos="4962"/>
              </w:tabs>
              <w:ind w:left="-3" w:firstLine="3"/>
              <w:jc w:val="both"/>
              <w:rPr>
                <w:rFonts w:ascii="Open Sans" w:eastAsia="Open Sans" w:hAnsi="Open Sans" w:cs="Open Sans"/>
                <w:sz w:val="20"/>
                <w:szCs w:val="20"/>
              </w:rPr>
            </w:pPr>
            <w:r>
              <w:rPr>
                <w:rFonts w:ascii="Open Sans" w:eastAsia="Open Sans" w:hAnsi="Open Sans" w:cs="Open Sans"/>
                <w:sz w:val="20"/>
                <w:szCs w:val="20"/>
              </w:rPr>
              <w:t xml:space="preserve">V </w:t>
            </w:r>
            <w:r w:rsidR="005A0149">
              <w:rPr>
                <w:rFonts w:ascii="Open Sans" w:eastAsia="Open Sans" w:hAnsi="Open Sans" w:cs="Open Sans"/>
                <w:sz w:val="20"/>
                <w:szCs w:val="20"/>
              </w:rPr>
              <w:t>Jesenci</w:t>
            </w:r>
            <w:r>
              <w:rPr>
                <w:rFonts w:ascii="Open Sans" w:eastAsia="Open Sans" w:hAnsi="Open Sans" w:cs="Open Sans"/>
                <w:sz w:val="20"/>
                <w:szCs w:val="20"/>
              </w:rPr>
              <w:t xml:space="preserve"> dne </w:t>
            </w:r>
            <w:r w:rsidR="00612E4E">
              <w:rPr>
                <w:rFonts w:ascii="Open Sans" w:eastAsia="Open Sans" w:hAnsi="Open Sans" w:cs="Open Sans"/>
                <w:sz w:val="20"/>
                <w:szCs w:val="20"/>
              </w:rPr>
              <w:t>28.07.2023</w:t>
            </w:r>
          </w:p>
          <w:p w14:paraId="75F6FDAF" w14:textId="77777777" w:rsidR="00ED1C5D" w:rsidRDefault="00ED1C5D" w:rsidP="00AE78C2">
            <w:pPr>
              <w:tabs>
                <w:tab w:val="left" w:pos="4962"/>
              </w:tabs>
              <w:ind w:left="-3" w:firstLine="3"/>
              <w:jc w:val="both"/>
              <w:rPr>
                <w:rFonts w:ascii="Open Sans" w:eastAsia="Open Sans" w:hAnsi="Open Sans" w:cs="Open Sans"/>
                <w:sz w:val="20"/>
                <w:szCs w:val="20"/>
              </w:rPr>
            </w:pPr>
          </w:p>
          <w:p w14:paraId="1F6F210E" w14:textId="5280641D" w:rsidR="00ED1C5D" w:rsidRPr="00AE78C2" w:rsidRDefault="00501EB7" w:rsidP="00AE78C2">
            <w:pPr>
              <w:tabs>
                <w:tab w:val="left" w:pos="4962"/>
              </w:tabs>
              <w:jc w:val="both"/>
              <w:rPr>
                <w:rFonts w:ascii="Open Sans" w:eastAsia="Open Sans" w:hAnsi="Open Sans" w:cs="Open Sans"/>
                <w:b/>
                <w:sz w:val="20"/>
                <w:szCs w:val="20"/>
              </w:rPr>
            </w:pPr>
            <w:r w:rsidRPr="00AE78C2">
              <w:rPr>
                <w:rFonts w:ascii="Open Sans" w:eastAsia="Open Sans" w:hAnsi="Open Sans" w:cs="Open Sans"/>
                <w:sz w:val="20"/>
                <w:szCs w:val="20"/>
              </w:rPr>
              <w:t>za</w:t>
            </w:r>
            <w:r w:rsidRPr="00AE78C2">
              <w:rPr>
                <w:rFonts w:ascii="Open Sans" w:eastAsia="Open Sans" w:hAnsi="Open Sans" w:cs="Open Sans"/>
                <w:b/>
                <w:sz w:val="20"/>
                <w:szCs w:val="20"/>
              </w:rPr>
              <w:t xml:space="preserve"> </w:t>
            </w:r>
            <w:r w:rsidR="005A0149" w:rsidRPr="00AE78C2">
              <w:rPr>
                <w:rFonts w:ascii="Open Sans" w:eastAsia="Open Sans" w:hAnsi="Open Sans" w:cs="Open Sans"/>
                <w:b/>
                <w:bCs/>
                <w:sz w:val="20"/>
                <w:szCs w:val="20"/>
              </w:rPr>
              <w:t>Domov pro seniory</w:t>
            </w:r>
            <w:r w:rsidR="00AE78C2" w:rsidRPr="00AE78C2">
              <w:rPr>
                <w:rFonts w:ascii="Open Sans" w:eastAsia="Open Sans" w:hAnsi="Open Sans" w:cs="Open Sans"/>
                <w:b/>
                <w:bCs/>
                <w:sz w:val="20"/>
                <w:szCs w:val="20"/>
              </w:rPr>
              <w:t xml:space="preserve"> Jesenec</w:t>
            </w:r>
            <w:r w:rsidR="005A0149" w:rsidRPr="00AE78C2">
              <w:rPr>
                <w:rFonts w:ascii="Open Sans" w:eastAsia="Open Sans" w:hAnsi="Open Sans" w:cs="Open Sans"/>
                <w:b/>
                <w:bCs/>
                <w:sz w:val="20"/>
                <w:szCs w:val="20"/>
              </w:rPr>
              <w:t>, p. o.</w:t>
            </w:r>
            <w:r w:rsidRPr="00AE78C2">
              <w:rPr>
                <w:rFonts w:ascii="Open Sans" w:eastAsia="Open Sans" w:hAnsi="Open Sans" w:cs="Open Sans"/>
                <w:sz w:val="20"/>
                <w:szCs w:val="20"/>
              </w:rPr>
              <w:t>:</w:t>
            </w:r>
          </w:p>
          <w:p w14:paraId="0553E0F1" w14:textId="77777777" w:rsidR="00ED1C5D" w:rsidRPr="00AE78C2" w:rsidRDefault="00ED1C5D" w:rsidP="00AE78C2">
            <w:pPr>
              <w:tabs>
                <w:tab w:val="left" w:pos="4962"/>
              </w:tabs>
              <w:ind w:left="-3" w:firstLine="3"/>
              <w:jc w:val="both"/>
              <w:rPr>
                <w:rFonts w:ascii="Open Sans" w:eastAsia="Open Sans" w:hAnsi="Open Sans" w:cs="Open Sans"/>
                <w:sz w:val="20"/>
                <w:szCs w:val="20"/>
              </w:rPr>
            </w:pPr>
          </w:p>
          <w:p w14:paraId="7DE942A2" w14:textId="77777777" w:rsidR="00ED1C5D" w:rsidRPr="00AE78C2" w:rsidRDefault="00ED1C5D" w:rsidP="00AE78C2">
            <w:pPr>
              <w:tabs>
                <w:tab w:val="left" w:pos="4962"/>
              </w:tabs>
              <w:ind w:left="-3" w:firstLine="3"/>
              <w:jc w:val="both"/>
              <w:rPr>
                <w:rFonts w:ascii="Open Sans" w:eastAsia="Open Sans" w:hAnsi="Open Sans" w:cs="Open Sans"/>
                <w:sz w:val="20"/>
                <w:szCs w:val="20"/>
              </w:rPr>
            </w:pPr>
          </w:p>
          <w:p w14:paraId="78AE2CD2" w14:textId="77777777" w:rsidR="00ED1C5D" w:rsidRPr="00AE78C2" w:rsidRDefault="00ED1C5D" w:rsidP="00AE78C2">
            <w:pPr>
              <w:tabs>
                <w:tab w:val="left" w:pos="4962"/>
              </w:tabs>
              <w:ind w:left="-3" w:firstLine="3"/>
              <w:jc w:val="both"/>
              <w:rPr>
                <w:rFonts w:ascii="Open Sans" w:eastAsia="Open Sans" w:hAnsi="Open Sans" w:cs="Open Sans"/>
                <w:sz w:val="20"/>
                <w:szCs w:val="20"/>
              </w:rPr>
            </w:pPr>
          </w:p>
          <w:p w14:paraId="6A2EF623" w14:textId="77777777" w:rsidR="005A0149" w:rsidRPr="00AE78C2" w:rsidRDefault="005A0149" w:rsidP="00AE78C2">
            <w:pPr>
              <w:tabs>
                <w:tab w:val="left" w:pos="4962"/>
              </w:tabs>
              <w:ind w:left="-3" w:firstLine="3"/>
              <w:jc w:val="both"/>
              <w:rPr>
                <w:rFonts w:ascii="Open Sans" w:eastAsia="Open Sans" w:hAnsi="Open Sans" w:cs="Open Sans"/>
                <w:sz w:val="20"/>
                <w:szCs w:val="20"/>
              </w:rPr>
            </w:pPr>
          </w:p>
          <w:p w14:paraId="372EDB53" w14:textId="77777777" w:rsidR="005A0149" w:rsidRPr="00AE78C2" w:rsidRDefault="005A0149" w:rsidP="00AE78C2">
            <w:pPr>
              <w:tabs>
                <w:tab w:val="left" w:pos="4962"/>
              </w:tabs>
              <w:ind w:left="-3" w:firstLine="3"/>
              <w:jc w:val="both"/>
              <w:rPr>
                <w:rFonts w:ascii="Open Sans" w:eastAsia="Open Sans" w:hAnsi="Open Sans" w:cs="Open Sans"/>
                <w:sz w:val="20"/>
                <w:szCs w:val="20"/>
              </w:rPr>
            </w:pPr>
          </w:p>
          <w:p w14:paraId="4CFA6AC0" w14:textId="77777777" w:rsidR="00ED1C5D" w:rsidRPr="00AE78C2" w:rsidRDefault="00501EB7" w:rsidP="00AE78C2">
            <w:pPr>
              <w:tabs>
                <w:tab w:val="left" w:pos="4962"/>
              </w:tabs>
              <w:ind w:left="-3" w:firstLine="3"/>
              <w:jc w:val="both"/>
              <w:rPr>
                <w:rFonts w:ascii="Open Sans" w:eastAsia="Open Sans" w:hAnsi="Open Sans" w:cs="Open Sans"/>
                <w:sz w:val="20"/>
                <w:szCs w:val="20"/>
              </w:rPr>
            </w:pPr>
            <w:r w:rsidRPr="00AE78C2">
              <w:rPr>
                <w:rFonts w:ascii="Open Sans" w:eastAsia="Open Sans" w:hAnsi="Open Sans" w:cs="Open Sans"/>
                <w:sz w:val="20"/>
                <w:szCs w:val="20"/>
              </w:rPr>
              <w:t>__________________________________</w:t>
            </w:r>
          </w:p>
          <w:p w14:paraId="3DDE2855" w14:textId="6D3BEC59" w:rsidR="00ED1C5D" w:rsidRPr="00AE78C2" w:rsidRDefault="005A0149" w:rsidP="00AE78C2">
            <w:pPr>
              <w:tabs>
                <w:tab w:val="left" w:pos="4962"/>
              </w:tabs>
              <w:ind w:left="-3" w:firstLine="3"/>
              <w:jc w:val="both"/>
              <w:rPr>
                <w:rFonts w:ascii="Open Sans" w:eastAsia="Open Sans" w:hAnsi="Open Sans" w:cs="Open Sans"/>
                <w:sz w:val="20"/>
                <w:szCs w:val="20"/>
              </w:rPr>
            </w:pPr>
            <w:r w:rsidRPr="00AE78C2">
              <w:rPr>
                <w:rFonts w:ascii="Open Sans" w:eastAsia="Open Sans" w:hAnsi="Open Sans" w:cs="Open Sans"/>
                <w:sz w:val="20"/>
                <w:szCs w:val="20"/>
              </w:rPr>
              <w:t>Ing. Andrea Spíchalová,</w:t>
            </w:r>
          </w:p>
          <w:p w14:paraId="0EBE23E4" w14:textId="679AA614" w:rsidR="00ED1C5D" w:rsidRDefault="005A0149" w:rsidP="00AE78C2">
            <w:pPr>
              <w:tabs>
                <w:tab w:val="left" w:pos="4962"/>
              </w:tabs>
              <w:ind w:left="-3" w:firstLine="3"/>
              <w:jc w:val="both"/>
              <w:rPr>
                <w:rFonts w:ascii="Open Sans" w:eastAsia="Open Sans" w:hAnsi="Open Sans" w:cs="Open Sans"/>
                <w:sz w:val="20"/>
                <w:szCs w:val="20"/>
              </w:rPr>
            </w:pPr>
            <w:r w:rsidRPr="00AE78C2">
              <w:rPr>
                <w:rFonts w:ascii="Open Sans" w:eastAsia="Open Sans" w:hAnsi="Open Sans" w:cs="Open Sans"/>
                <w:sz w:val="20"/>
                <w:szCs w:val="20"/>
              </w:rPr>
              <w:t>ředitelka</w:t>
            </w:r>
          </w:p>
        </w:tc>
      </w:tr>
      <w:tr w:rsidR="00ED1C5D" w14:paraId="64417761" w14:textId="77777777" w:rsidTr="00AE78C2">
        <w:tc>
          <w:tcPr>
            <w:tcW w:w="5644" w:type="dxa"/>
          </w:tcPr>
          <w:p w14:paraId="020B0DCD" w14:textId="77777777" w:rsidR="00ED1C5D" w:rsidRDefault="00501EB7">
            <w:pPr>
              <w:tabs>
                <w:tab w:val="left" w:pos="4962"/>
              </w:tabs>
              <w:jc w:val="both"/>
              <w:rPr>
                <w:rFonts w:ascii="Open Sans" w:eastAsia="Open Sans" w:hAnsi="Open Sans" w:cs="Open Sans"/>
                <w:sz w:val="20"/>
                <w:szCs w:val="20"/>
              </w:rPr>
            </w:pPr>
            <w:r>
              <w:rPr>
                <w:rFonts w:ascii="Open Sans" w:eastAsia="Open Sans" w:hAnsi="Open Sans" w:cs="Open Sans"/>
                <w:sz w:val="20"/>
                <w:szCs w:val="20"/>
              </w:rPr>
              <w:t>__________________________________</w:t>
            </w:r>
          </w:p>
        </w:tc>
        <w:tc>
          <w:tcPr>
            <w:tcW w:w="3827" w:type="dxa"/>
            <w:vMerge/>
            <w:shd w:val="clear" w:color="auto" w:fill="auto"/>
          </w:tcPr>
          <w:p w14:paraId="7D1D332E" w14:textId="77777777" w:rsidR="00ED1C5D" w:rsidRDefault="00ED1C5D" w:rsidP="00AE78C2">
            <w:pPr>
              <w:widowControl w:val="0"/>
              <w:pBdr>
                <w:top w:val="nil"/>
                <w:left w:val="nil"/>
                <w:bottom w:val="nil"/>
                <w:right w:val="nil"/>
                <w:between w:val="nil"/>
              </w:pBdr>
              <w:spacing w:line="276" w:lineRule="auto"/>
              <w:ind w:left="-3" w:firstLine="3"/>
              <w:rPr>
                <w:rFonts w:ascii="Open Sans" w:eastAsia="Open Sans" w:hAnsi="Open Sans" w:cs="Open Sans"/>
                <w:sz w:val="20"/>
                <w:szCs w:val="20"/>
              </w:rPr>
            </w:pPr>
          </w:p>
        </w:tc>
      </w:tr>
      <w:tr w:rsidR="00ED1C5D" w14:paraId="76F47C84" w14:textId="77777777" w:rsidTr="00AE78C2">
        <w:tc>
          <w:tcPr>
            <w:tcW w:w="5644" w:type="dxa"/>
          </w:tcPr>
          <w:p w14:paraId="3E8DA4F9" w14:textId="77777777" w:rsidR="00ED1C5D" w:rsidRDefault="00501EB7">
            <w:pPr>
              <w:tabs>
                <w:tab w:val="left" w:pos="4962"/>
              </w:tabs>
              <w:jc w:val="both"/>
              <w:rPr>
                <w:rFonts w:ascii="Open Sans" w:eastAsia="Open Sans" w:hAnsi="Open Sans" w:cs="Open Sans"/>
                <w:sz w:val="20"/>
                <w:szCs w:val="20"/>
              </w:rPr>
            </w:pPr>
            <w:r>
              <w:rPr>
                <w:rFonts w:ascii="Open Sans" w:eastAsia="Open Sans" w:hAnsi="Open Sans" w:cs="Open Sans"/>
                <w:sz w:val="20"/>
                <w:szCs w:val="20"/>
              </w:rPr>
              <w:t xml:space="preserve">David </w:t>
            </w:r>
            <w:proofErr w:type="spellStart"/>
            <w:r>
              <w:rPr>
                <w:rFonts w:ascii="Open Sans" w:eastAsia="Open Sans" w:hAnsi="Open Sans" w:cs="Open Sans"/>
                <w:sz w:val="20"/>
                <w:szCs w:val="20"/>
              </w:rPr>
              <w:t>Špunar</w:t>
            </w:r>
            <w:proofErr w:type="spellEnd"/>
            <w:r>
              <w:rPr>
                <w:rFonts w:ascii="Open Sans" w:eastAsia="Open Sans" w:hAnsi="Open Sans" w:cs="Open Sans"/>
                <w:sz w:val="20"/>
                <w:szCs w:val="20"/>
              </w:rPr>
              <w:t xml:space="preserve">, </w:t>
            </w:r>
          </w:p>
        </w:tc>
        <w:tc>
          <w:tcPr>
            <w:tcW w:w="3827" w:type="dxa"/>
            <w:vMerge/>
            <w:shd w:val="clear" w:color="auto" w:fill="auto"/>
          </w:tcPr>
          <w:p w14:paraId="5AFEAB0A" w14:textId="77777777" w:rsidR="00ED1C5D" w:rsidRDefault="00ED1C5D" w:rsidP="00AE78C2">
            <w:pPr>
              <w:widowControl w:val="0"/>
              <w:pBdr>
                <w:top w:val="nil"/>
                <w:left w:val="nil"/>
                <w:bottom w:val="nil"/>
                <w:right w:val="nil"/>
                <w:between w:val="nil"/>
              </w:pBdr>
              <w:spacing w:line="276" w:lineRule="auto"/>
              <w:ind w:left="-3" w:firstLine="3"/>
              <w:rPr>
                <w:rFonts w:ascii="Open Sans" w:eastAsia="Open Sans" w:hAnsi="Open Sans" w:cs="Open Sans"/>
                <w:sz w:val="20"/>
                <w:szCs w:val="20"/>
              </w:rPr>
            </w:pPr>
          </w:p>
        </w:tc>
      </w:tr>
      <w:tr w:rsidR="00ED1C5D" w14:paraId="50E608E9" w14:textId="77777777" w:rsidTr="00AE78C2">
        <w:trPr>
          <w:trHeight w:val="50"/>
        </w:trPr>
        <w:tc>
          <w:tcPr>
            <w:tcW w:w="5644" w:type="dxa"/>
          </w:tcPr>
          <w:p w14:paraId="1C59C4A6" w14:textId="77777777" w:rsidR="00ED1C5D" w:rsidRDefault="00501EB7">
            <w:pPr>
              <w:tabs>
                <w:tab w:val="left" w:pos="4962"/>
              </w:tabs>
              <w:jc w:val="both"/>
              <w:rPr>
                <w:rFonts w:ascii="Open Sans" w:eastAsia="Open Sans" w:hAnsi="Open Sans" w:cs="Open Sans"/>
                <w:i/>
                <w:sz w:val="20"/>
                <w:szCs w:val="20"/>
              </w:rPr>
            </w:pPr>
            <w:r>
              <w:rPr>
                <w:rFonts w:ascii="Open Sans" w:eastAsia="Open Sans" w:hAnsi="Open Sans" w:cs="Open Sans"/>
                <w:sz w:val="20"/>
                <w:szCs w:val="20"/>
              </w:rPr>
              <w:t>jednatel</w:t>
            </w:r>
          </w:p>
        </w:tc>
        <w:tc>
          <w:tcPr>
            <w:tcW w:w="3827" w:type="dxa"/>
            <w:vMerge/>
            <w:shd w:val="clear" w:color="auto" w:fill="auto"/>
          </w:tcPr>
          <w:p w14:paraId="3AD9CEF9" w14:textId="77777777" w:rsidR="00ED1C5D" w:rsidRDefault="00ED1C5D" w:rsidP="00AE78C2">
            <w:pPr>
              <w:widowControl w:val="0"/>
              <w:pBdr>
                <w:top w:val="nil"/>
                <w:left w:val="nil"/>
                <w:bottom w:val="nil"/>
                <w:right w:val="nil"/>
                <w:between w:val="nil"/>
              </w:pBdr>
              <w:spacing w:line="276" w:lineRule="auto"/>
              <w:ind w:left="-3" w:firstLine="3"/>
              <w:rPr>
                <w:rFonts w:ascii="Open Sans" w:eastAsia="Open Sans" w:hAnsi="Open Sans" w:cs="Open Sans"/>
                <w:i/>
                <w:sz w:val="20"/>
                <w:szCs w:val="20"/>
              </w:rPr>
            </w:pPr>
          </w:p>
        </w:tc>
      </w:tr>
    </w:tbl>
    <w:p w14:paraId="23F0C669" w14:textId="77777777" w:rsidR="00ED1C5D" w:rsidRDefault="00ED1C5D">
      <w:pPr>
        <w:pBdr>
          <w:top w:val="nil"/>
          <w:left w:val="nil"/>
          <w:bottom w:val="nil"/>
          <w:right w:val="nil"/>
          <w:between w:val="nil"/>
        </w:pBdr>
        <w:tabs>
          <w:tab w:val="right" w:pos="8789"/>
        </w:tabs>
        <w:jc w:val="both"/>
        <w:rPr>
          <w:rFonts w:ascii="Open Sans" w:eastAsia="Open Sans" w:hAnsi="Open Sans" w:cs="Open Sans"/>
          <w:color w:val="000000"/>
          <w:sz w:val="20"/>
          <w:szCs w:val="20"/>
        </w:rPr>
      </w:pPr>
    </w:p>
    <w:tbl>
      <w:tblPr>
        <w:tblStyle w:val="a4"/>
        <w:tblW w:w="9853" w:type="dxa"/>
        <w:tblInd w:w="-115" w:type="dxa"/>
        <w:tblLayout w:type="fixed"/>
        <w:tblLook w:val="0400" w:firstRow="0" w:lastRow="0" w:firstColumn="0" w:lastColumn="0" w:noHBand="0" w:noVBand="1"/>
      </w:tblPr>
      <w:tblGrid>
        <w:gridCol w:w="6237"/>
        <w:gridCol w:w="3616"/>
      </w:tblGrid>
      <w:tr w:rsidR="00ED1C5D" w14:paraId="7FF9E02D" w14:textId="77777777">
        <w:tc>
          <w:tcPr>
            <w:tcW w:w="6237" w:type="dxa"/>
            <w:shd w:val="clear" w:color="auto" w:fill="auto"/>
          </w:tcPr>
          <w:p w14:paraId="66F875F8" w14:textId="77777777" w:rsidR="00ED1C5D" w:rsidRDefault="00ED1C5D">
            <w:pPr>
              <w:tabs>
                <w:tab w:val="left" w:pos="4962"/>
              </w:tabs>
              <w:jc w:val="both"/>
              <w:rPr>
                <w:rFonts w:ascii="Open Sans" w:eastAsia="Open Sans" w:hAnsi="Open Sans" w:cs="Open Sans"/>
                <w:sz w:val="20"/>
                <w:szCs w:val="20"/>
              </w:rPr>
            </w:pPr>
          </w:p>
        </w:tc>
        <w:tc>
          <w:tcPr>
            <w:tcW w:w="3616" w:type="dxa"/>
            <w:vMerge w:val="restart"/>
            <w:shd w:val="clear" w:color="auto" w:fill="auto"/>
          </w:tcPr>
          <w:p w14:paraId="64D2A467" w14:textId="77777777" w:rsidR="00ED1C5D" w:rsidRDefault="00ED1C5D">
            <w:pPr>
              <w:tabs>
                <w:tab w:val="left" w:pos="4962"/>
              </w:tabs>
              <w:jc w:val="both"/>
              <w:rPr>
                <w:rFonts w:ascii="Open Sans" w:eastAsia="Open Sans" w:hAnsi="Open Sans" w:cs="Open Sans"/>
                <w:sz w:val="20"/>
                <w:szCs w:val="20"/>
              </w:rPr>
            </w:pPr>
          </w:p>
        </w:tc>
      </w:tr>
      <w:tr w:rsidR="00ED1C5D" w14:paraId="00F335AC" w14:textId="77777777">
        <w:tc>
          <w:tcPr>
            <w:tcW w:w="6237" w:type="dxa"/>
          </w:tcPr>
          <w:p w14:paraId="301A199B" w14:textId="77777777" w:rsidR="00ED1C5D" w:rsidRDefault="00ED1C5D">
            <w:pPr>
              <w:tabs>
                <w:tab w:val="left" w:pos="4962"/>
              </w:tabs>
              <w:jc w:val="both"/>
              <w:rPr>
                <w:rFonts w:ascii="Open Sans" w:eastAsia="Open Sans" w:hAnsi="Open Sans" w:cs="Open Sans"/>
                <w:sz w:val="20"/>
                <w:szCs w:val="20"/>
              </w:rPr>
            </w:pPr>
          </w:p>
        </w:tc>
        <w:tc>
          <w:tcPr>
            <w:tcW w:w="3616" w:type="dxa"/>
            <w:vMerge/>
            <w:shd w:val="clear" w:color="auto" w:fill="auto"/>
          </w:tcPr>
          <w:p w14:paraId="74552181" w14:textId="77777777" w:rsidR="00ED1C5D" w:rsidRDefault="00ED1C5D">
            <w:pPr>
              <w:widowControl w:val="0"/>
              <w:pBdr>
                <w:top w:val="nil"/>
                <w:left w:val="nil"/>
                <w:bottom w:val="nil"/>
                <w:right w:val="nil"/>
                <w:between w:val="nil"/>
              </w:pBdr>
              <w:spacing w:line="276" w:lineRule="auto"/>
              <w:rPr>
                <w:rFonts w:ascii="Open Sans" w:eastAsia="Open Sans" w:hAnsi="Open Sans" w:cs="Open Sans"/>
                <w:sz w:val="20"/>
                <w:szCs w:val="20"/>
              </w:rPr>
            </w:pPr>
          </w:p>
        </w:tc>
      </w:tr>
      <w:tr w:rsidR="00ED1C5D" w14:paraId="01136C97" w14:textId="77777777">
        <w:tc>
          <w:tcPr>
            <w:tcW w:w="6237" w:type="dxa"/>
          </w:tcPr>
          <w:p w14:paraId="0D5EB8DE" w14:textId="77777777" w:rsidR="00ED1C5D" w:rsidRDefault="00ED1C5D">
            <w:pPr>
              <w:tabs>
                <w:tab w:val="left" w:pos="4962"/>
              </w:tabs>
              <w:jc w:val="both"/>
              <w:rPr>
                <w:rFonts w:ascii="Open Sans" w:eastAsia="Open Sans" w:hAnsi="Open Sans" w:cs="Open Sans"/>
                <w:sz w:val="20"/>
                <w:szCs w:val="20"/>
              </w:rPr>
            </w:pPr>
          </w:p>
        </w:tc>
        <w:tc>
          <w:tcPr>
            <w:tcW w:w="3616" w:type="dxa"/>
            <w:vMerge/>
            <w:shd w:val="clear" w:color="auto" w:fill="auto"/>
          </w:tcPr>
          <w:p w14:paraId="05E6C4AA" w14:textId="77777777" w:rsidR="00ED1C5D" w:rsidRDefault="00ED1C5D">
            <w:pPr>
              <w:widowControl w:val="0"/>
              <w:pBdr>
                <w:top w:val="nil"/>
                <w:left w:val="nil"/>
                <w:bottom w:val="nil"/>
                <w:right w:val="nil"/>
                <w:between w:val="nil"/>
              </w:pBdr>
              <w:spacing w:line="276" w:lineRule="auto"/>
              <w:rPr>
                <w:rFonts w:ascii="Open Sans" w:eastAsia="Open Sans" w:hAnsi="Open Sans" w:cs="Open Sans"/>
                <w:sz w:val="20"/>
                <w:szCs w:val="20"/>
              </w:rPr>
            </w:pPr>
          </w:p>
        </w:tc>
      </w:tr>
      <w:tr w:rsidR="00ED1C5D" w14:paraId="27A283FF" w14:textId="77777777">
        <w:trPr>
          <w:trHeight w:val="50"/>
        </w:trPr>
        <w:tc>
          <w:tcPr>
            <w:tcW w:w="6237" w:type="dxa"/>
          </w:tcPr>
          <w:p w14:paraId="613988E0" w14:textId="77777777" w:rsidR="00ED1C5D" w:rsidRDefault="00ED1C5D">
            <w:pPr>
              <w:tabs>
                <w:tab w:val="left" w:pos="4962"/>
              </w:tabs>
              <w:jc w:val="both"/>
              <w:rPr>
                <w:rFonts w:ascii="Open Sans" w:eastAsia="Open Sans" w:hAnsi="Open Sans" w:cs="Open Sans"/>
                <w:i/>
                <w:sz w:val="20"/>
                <w:szCs w:val="20"/>
              </w:rPr>
            </w:pPr>
          </w:p>
        </w:tc>
        <w:tc>
          <w:tcPr>
            <w:tcW w:w="3616" w:type="dxa"/>
            <w:vMerge/>
            <w:shd w:val="clear" w:color="auto" w:fill="auto"/>
          </w:tcPr>
          <w:p w14:paraId="7744DB6B" w14:textId="77777777" w:rsidR="00ED1C5D" w:rsidRDefault="00ED1C5D">
            <w:pPr>
              <w:widowControl w:val="0"/>
              <w:pBdr>
                <w:top w:val="nil"/>
                <w:left w:val="nil"/>
                <w:bottom w:val="nil"/>
                <w:right w:val="nil"/>
                <w:between w:val="nil"/>
              </w:pBdr>
              <w:spacing w:line="276" w:lineRule="auto"/>
              <w:rPr>
                <w:rFonts w:ascii="Open Sans" w:eastAsia="Open Sans" w:hAnsi="Open Sans" w:cs="Open Sans"/>
                <w:i/>
                <w:sz w:val="20"/>
                <w:szCs w:val="20"/>
              </w:rPr>
            </w:pPr>
          </w:p>
        </w:tc>
      </w:tr>
    </w:tbl>
    <w:p w14:paraId="20AE8550" w14:textId="77777777" w:rsidR="00ED1C5D" w:rsidRDefault="00ED1C5D">
      <w:pPr>
        <w:pBdr>
          <w:top w:val="nil"/>
          <w:left w:val="nil"/>
          <w:bottom w:val="nil"/>
          <w:right w:val="nil"/>
          <w:between w:val="nil"/>
        </w:pBdr>
        <w:tabs>
          <w:tab w:val="right" w:pos="8789"/>
        </w:tabs>
        <w:jc w:val="both"/>
        <w:rPr>
          <w:rFonts w:ascii="Open Sans" w:eastAsia="Open Sans" w:hAnsi="Open Sans" w:cs="Open Sans"/>
          <w:color w:val="000000"/>
          <w:sz w:val="20"/>
          <w:szCs w:val="20"/>
        </w:rPr>
      </w:pPr>
    </w:p>
    <w:sectPr w:rsidR="00ED1C5D">
      <w:footerReference w:type="even" r:id="rId14"/>
      <w:footerReference w:type="default" r:id="rId15"/>
      <w:pgSz w:w="11906" w:h="16838"/>
      <w:pgMar w:top="709" w:right="849" w:bottom="993" w:left="851"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9739" w14:textId="77777777" w:rsidR="00FD45AE" w:rsidRDefault="00FD45AE">
      <w:r>
        <w:separator/>
      </w:r>
    </w:p>
  </w:endnote>
  <w:endnote w:type="continuationSeparator" w:id="0">
    <w:p w14:paraId="7D79FA22" w14:textId="77777777" w:rsidR="00FD45AE" w:rsidRDefault="00FD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5275" w14:textId="77777777" w:rsidR="00ED1C5D" w:rsidRDefault="00501EB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612E4E">
      <w:rPr>
        <w:color w:val="000000"/>
      </w:rPr>
      <w:fldChar w:fldCharType="separate"/>
    </w:r>
    <w:r>
      <w:rPr>
        <w:color w:val="000000"/>
      </w:rPr>
      <w:fldChar w:fldCharType="end"/>
    </w:r>
  </w:p>
  <w:p w14:paraId="60384A9D" w14:textId="77777777" w:rsidR="00ED1C5D" w:rsidRDefault="00ED1C5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51AB" w14:textId="77777777" w:rsidR="00ED1C5D" w:rsidRDefault="00501EB7">
    <w:pPr>
      <w:pBdr>
        <w:top w:val="nil"/>
        <w:left w:val="nil"/>
        <w:bottom w:val="nil"/>
        <w:right w:val="nil"/>
        <w:between w:val="nil"/>
      </w:pBdr>
      <w:tabs>
        <w:tab w:val="center" w:pos="4536"/>
        <w:tab w:val="right" w:pos="9072"/>
      </w:tabs>
      <w:jc w:val="center"/>
      <w:rPr>
        <w:rFonts w:ascii="Open Sans" w:eastAsia="Open Sans" w:hAnsi="Open Sans" w:cs="Open Sans"/>
        <w:color w:val="000000"/>
        <w:sz w:val="20"/>
        <w:szCs w:val="20"/>
      </w:rPr>
    </w:pP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sidR="00F86113">
      <w:rPr>
        <w:rFonts w:ascii="Open Sans" w:eastAsia="Open Sans" w:hAnsi="Open Sans" w:cs="Open Sans"/>
        <w:noProof/>
        <w:color w:val="000000"/>
        <w:sz w:val="20"/>
        <w:szCs w:val="20"/>
      </w:rPr>
      <w:t>1</w:t>
    </w:r>
    <w:r>
      <w:rPr>
        <w:rFonts w:ascii="Open Sans" w:eastAsia="Open Sans" w:hAnsi="Open Sans" w:cs="Open Sans"/>
        <w:color w:val="000000"/>
        <w:sz w:val="20"/>
        <w:szCs w:val="20"/>
      </w:rPr>
      <w:fldChar w:fldCharType="end"/>
    </w:r>
  </w:p>
  <w:p w14:paraId="6927D520" w14:textId="77777777" w:rsidR="00ED1C5D" w:rsidRDefault="00ED1C5D">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F415" w14:textId="77777777" w:rsidR="00FD45AE" w:rsidRDefault="00FD45AE">
      <w:r>
        <w:separator/>
      </w:r>
    </w:p>
  </w:footnote>
  <w:footnote w:type="continuationSeparator" w:id="0">
    <w:p w14:paraId="066D46C9" w14:textId="77777777" w:rsidR="00FD45AE" w:rsidRDefault="00FD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14E3"/>
    <w:multiLevelType w:val="multilevel"/>
    <w:tmpl w:val="140C8E5E"/>
    <w:lvl w:ilvl="0">
      <w:start w:val="1"/>
      <w:numFmt w:val="decimal"/>
      <w:lvlText w:val="%1."/>
      <w:lvlJc w:val="left"/>
      <w:pPr>
        <w:ind w:left="1134" w:hanging="1134"/>
      </w:pPr>
    </w:lvl>
    <w:lvl w:ilvl="1">
      <w:start w:val="1"/>
      <w:numFmt w:val="decimal"/>
      <w:lvlText w:val="%1.%2."/>
      <w:lvlJc w:val="left"/>
      <w:pPr>
        <w:ind w:left="1134" w:hanging="1134"/>
      </w:pPr>
      <w:rPr>
        <w:rFonts w:ascii="Open Sans" w:eastAsia="Open Sans" w:hAnsi="Open Sans" w:cs="Open Sans"/>
        <w:b w:val="0"/>
      </w:rPr>
    </w:lvl>
    <w:lvl w:ilvl="2">
      <w:start w:val="1"/>
      <w:numFmt w:val="lowerLetter"/>
      <w:lvlText w:val="(%3)"/>
      <w:lvlJc w:val="left"/>
      <w:pPr>
        <w:ind w:left="1701" w:hanging="567"/>
      </w:pPr>
    </w:lvl>
    <w:lvl w:ilvl="3">
      <w:start w:val="1"/>
      <w:numFmt w:val="lowerRoman"/>
      <w:lvlText w:val="(%4)"/>
      <w:lvlJc w:val="left"/>
      <w:pPr>
        <w:ind w:left="2495" w:hanging="794"/>
      </w:pPr>
    </w:lvl>
    <w:lvl w:ilvl="4">
      <w:start w:val="1"/>
      <w:numFmt w:val="decimal"/>
      <w:lvlText w:val="-"/>
      <w:lvlJc w:val="left"/>
      <w:pPr>
        <w:ind w:left="2892" w:hanging="397"/>
      </w:pPr>
    </w:lvl>
    <w:lvl w:ilvl="5">
      <w:start w:val="1"/>
      <w:numFmt w:val="decimal"/>
      <w:lvlText w:val=""/>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6E907C7"/>
    <w:multiLevelType w:val="multilevel"/>
    <w:tmpl w:val="2C785D96"/>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16cid:durableId="659309965">
    <w:abstractNumId w:val="0"/>
  </w:num>
  <w:num w:numId="2" w16cid:durableId="148288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5D"/>
    <w:rsid w:val="00472DCB"/>
    <w:rsid w:val="00501EB7"/>
    <w:rsid w:val="00562022"/>
    <w:rsid w:val="005A0149"/>
    <w:rsid w:val="00612E4E"/>
    <w:rsid w:val="007B0498"/>
    <w:rsid w:val="0081416E"/>
    <w:rsid w:val="00AE78C2"/>
    <w:rsid w:val="00C8605F"/>
    <w:rsid w:val="00D01E52"/>
    <w:rsid w:val="00ED1C5D"/>
    <w:rsid w:val="00F86113"/>
    <w:rsid w:val="00FD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9DDD"/>
  <w15:docId w15:val="{0A454AFC-4AEF-4C62-B185-0C7225B2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13ED"/>
  </w:style>
  <w:style w:type="paragraph" w:styleId="Nadpis1">
    <w:name w:val="heading 1"/>
    <w:aliases w:val="Hoofdstukkop,Section Heading,H1,HTA Überschrift 1,Lev 1,Vertragsgliederung 1,Article Heading,h1"/>
    <w:basedOn w:val="Normln"/>
    <w:next w:val="Nadpis2"/>
    <w:link w:val="Nadpis1Char"/>
    <w:uiPriority w:val="9"/>
    <w:qFormat/>
    <w:rsid w:val="004A13ED"/>
    <w:pPr>
      <w:keepNext/>
      <w:numPr>
        <w:numId w:val="2"/>
      </w:numPr>
      <w:spacing w:before="240" w:after="60"/>
      <w:outlineLvl w:val="0"/>
    </w:pPr>
    <w:rPr>
      <w:b/>
      <w:i/>
      <w:kern w:val="28"/>
    </w:rPr>
  </w:style>
  <w:style w:type="paragraph" w:styleId="Nadpis2">
    <w:name w:val="heading 2"/>
    <w:aliases w:val="Lev 2,Char Char Char,Char Char Char Char Char,Section,m,Body Text (Reset numbering),Reset numbering,H2,h2,TF-Overskrit 2,h2 main heading,2m,h 2,B Sub/Bold,B Sub/Bold1,B Sub/Bold2,B Sub/Bold11,h2 main heading1,h2 main heading2,B Sub/Bold3"/>
    <w:basedOn w:val="Normln"/>
    <w:link w:val="Nadpis2Char"/>
    <w:uiPriority w:val="9"/>
    <w:semiHidden/>
    <w:unhideWhenUsed/>
    <w:qFormat/>
    <w:rsid w:val="004A13ED"/>
    <w:pPr>
      <w:numPr>
        <w:ilvl w:val="1"/>
        <w:numId w:val="2"/>
      </w:numPr>
      <w:spacing w:before="240" w:after="60"/>
      <w:outlineLvl w:val="1"/>
    </w:pPr>
  </w:style>
  <w:style w:type="paragraph" w:styleId="Nadpis3">
    <w:name w:val="heading 3"/>
    <w:aliases w:val="Char,Level 1 - 2,h3,C Sub-Sub/Italic,h3 sub heading,Head 31,Head 32...,H3,Subparagraafkop,Level 1 - 1,HTA Überschrift 3,Minor,level 3,level3,Head 32,C Sub-Sub/Italic1,h3 sub heading1,3m,GPH Heading 3,Sub-section,H31,(Alt+3),3,Sub2Para"/>
    <w:basedOn w:val="Normln"/>
    <w:link w:val="Nadpis3Char"/>
    <w:uiPriority w:val="9"/>
    <w:semiHidden/>
    <w:unhideWhenUsed/>
    <w:qFormat/>
    <w:rsid w:val="004A13ED"/>
    <w:pPr>
      <w:numPr>
        <w:ilvl w:val="2"/>
        <w:numId w:val="2"/>
      </w:numPr>
      <w:spacing w:before="240" w:after="60"/>
      <w:outlineLvl w:val="2"/>
    </w:pPr>
  </w:style>
  <w:style w:type="paragraph" w:styleId="Nadpis4">
    <w:name w:val="heading 4"/>
    <w:basedOn w:val="Normln"/>
    <w:uiPriority w:val="9"/>
    <w:semiHidden/>
    <w:unhideWhenUsed/>
    <w:qFormat/>
    <w:rsid w:val="004A13ED"/>
    <w:pPr>
      <w:numPr>
        <w:ilvl w:val="3"/>
        <w:numId w:val="2"/>
      </w:numPr>
      <w:spacing w:before="240" w:after="60"/>
      <w:outlineLvl w:val="3"/>
    </w:pPr>
  </w:style>
  <w:style w:type="paragraph" w:styleId="Nadpis5">
    <w:name w:val="heading 5"/>
    <w:basedOn w:val="Normln"/>
    <w:uiPriority w:val="9"/>
    <w:semiHidden/>
    <w:unhideWhenUsed/>
    <w:qFormat/>
    <w:rsid w:val="004A13ED"/>
    <w:pPr>
      <w:tabs>
        <w:tab w:val="num" w:pos="720"/>
      </w:tabs>
      <w:spacing w:before="240" w:after="60"/>
      <w:ind w:left="720" w:hanging="720"/>
      <w:outlineLvl w:val="4"/>
    </w:pPr>
  </w:style>
  <w:style w:type="paragraph" w:styleId="Nadpis6">
    <w:name w:val="heading 6"/>
    <w:aliases w:val="Heading 6(unused),Legal Level 1.,L1 PIP,TextKleindruck,h6"/>
    <w:basedOn w:val="Normln"/>
    <w:next w:val="Normln"/>
    <w:uiPriority w:val="9"/>
    <w:semiHidden/>
    <w:unhideWhenUsed/>
    <w:qFormat/>
    <w:rsid w:val="004A13ED"/>
    <w:pPr>
      <w:numPr>
        <w:ilvl w:val="5"/>
        <w:numId w:val="2"/>
      </w:numPr>
      <w:spacing w:before="240" w:after="240"/>
      <w:ind w:left="1151" w:hanging="1151"/>
      <w:outlineLvl w:val="5"/>
    </w:pPr>
  </w:style>
  <w:style w:type="paragraph" w:styleId="Nadpis7">
    <w:name w:val="heading 7"/>
    <w:aliases w:val="Appendix Major,7,E1 Marginal,Text-1-2-3,h7"/>
    <w:basedOn w:val="Normln"/>
    <w:next w:val="Normln"/>
    <w:uiPriority w:val="99"/>
    <w:qFormat/>
    <w:rsid w:val="004A13ED"/>
    <w:pPr>
      <w:numPr>
        <w:ilvl w:val="6"/>
        <w:numId w:val="2"/>
      </w:numPr>
      <w:spacing w:before="240" w:after="60"/>
      <w:outlineLvl w:val="6"/>
    </w:pPr>
    <w:rPr>
      <w:rFonts w:ascii="Arial" w:hAnsi="Arial"/>
    </w:rPr>
  </w:style>
  <w:style w:type="paragraph" w:styleId="Nadpis8">
    <w:name w:val="heading 8"/>
    <w:aliases w:val="Text-a-b-c,h8"/>
    <w:basedOn w:val="Normln"/>
    <w:next w:val="Normln"/>
    <w:uiPriority w:val="99"/>
    <w:qFormat/>
    <w:rsid w:val="004A13ED"/>
    <w:pPr>
      <w:numPr>
        <w:ilvl w:val="7"/>
        <w:numId w:val="2"/>
      </w:numPr>
      <w:spacing w:before="240" w:after="60"/>
      <w:outlineLvl w:val="7"/>
    </w:pPr>
    <w:rPr>
      <w:rFonts w:ascii="Arial" w:hAnsi="Arial"/>
      <w:i/>
    </w:rPr>
  </w:style>
  <w:style w:type="paragraph" w:styleId="Nadpis9">
    <w:name w:val="heading 9"/>
    <w:aliases w:val="Text-i-ii-iii,Legal Level 1.1.1.1.,h9"/>
    <w:basedOn w:val="Normln"/>
    <w:next w:val="Normln"/>
    <w:uiPriority w:val="99"/>
    <w:qFormat/>
    <w:rsid w:val="004A13ED"/>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Zptenadresanaoblku">
    <w:name w:val="envelope return"/>
    <w:basedOn w:val="Normln"/>
    <w:rsid w:val="00CA2DF5"/>
  </w:style>
  <w:style w:type="paragraph" w:styleId="Normlnodsazen">
    <w:name w:val="Normal Indent"/>
    <w:basedOn w:val="Normln"/>
    <w:rsid w:val="00CA2DF5"/>
    <w:pPr>
      <w:spacing w:after="240"/>
      <w:ind w:left="1134"/>
    </w:pPr>
  </w:style>
  <w:style w:type="paragraph" w:styleId="Zpat">
    <w:name w:val="footer"/>
    <w:basedOn w:val="Normln"/>
    <w:rsid w:val="00CA2DF5"/>
    <w:pPr>
      <w:tabs>
        <w:tab w:val="center" w:pos="4536"/>
        <w:tab w:val="right" w:pos="9072"/>
      </w:tabs>
    </w:pPr>
  </w:style>
  <w:style w:type="character" w:styleId="slostrnky">
    <w:name w:val="page number"/>
    <w:basedOn w:val="Standardnpsmoodstavce"/>
    <w:rsid w:val="00CA2DF5"/>
  </w:style>
  <w:style w:type="paragraph" w:styleId="Obsah2">
    <w:name w:val="toc 2"/>
    <w:basedOn w:val="Normln"/>
    <w:next w:val="Normln"/>
    <w:autoRedefine/>
    <w:semiHidden/>
    <w:rsid w:val="00CA2DF5"/>
    <w:pPr>
      <w:spacing w:before="120"/>
      <w:ind w:left="220"/>
    </w:pPr>
    <w:rPr>
      <w:b/>
    </w:rPr>
  </w:style>
  <w:style w:type="paragraph" w:styleId="Obsah1">
    <w:name w:val="toc 1"/>
    <w:basedOn w:val="Normln"/>
    <w:next w:val="Normln"/>
    <w:autoRedefine/>
    <w:semiHidden/>
    <w:rsid w:val="00CA2DF5"/>
    <w:pPr>
      <w:spacing w:before="120"/>
    </w:pPr>
    <w:rPr>
      <w:b/>
      <w:i/>
      <w:sz w:val="24"/>
    </w:rPr>
  </w:style>
  <w:style w:type="paragraph" w:styleId="Obsah9">
    <w:name w:val="toc 9"/>
    <w:basedOn w:val="Normln"/>
    <w:next w:val="Normln"/>
    <w:autoRedefine/>
    <w:semiHidden/>
    <w:rsid w:val="00CA2DF5"/>
  </w:style>
  <w:style w:type="paragraph" w:styleId="Obsah3">
    <w:name w:val="toc 3"/>
    <w:basedOn w:val="Normln"/>
    <w:next w:val="Normln"/>
    <w:autoRedefine/>
    <w:semiHidden/>
    <w:rsid w:val="00CA2DF5"/>
    <w:pPr>
      <w:ind w:left="440"/>
    </w:pPr>
    <w:rPr>
      <w:sz w:val="20"/>
    </w:rPr>
  </w:style>
  <w:style w:type="paragraph" w:styleId="Obsah4">
    <w:name w:val="toc 4"/>
    <w:basedOn w:val="Normln"/>
    <w:next w:val="Normln"/>
    <w:autoRedefine/>
    <w:semiHidden/>
    <w:rsid w:val="00CA2DF5"/>
    <w:pPr>
      <w:ind w:left="660"/>
    </w:pPr>
    <w:rPr>
      <w:sz w:val="20"/>
    </w:rPr>
  </w:style>
  <w:style w:type="paragraph" w:styleId="Obsah5">
    <w:name w:val="toc 5"/>
    <w:basedOn w:val="Normln"/>
    <w:next w:val="Normln"/>
    <w:autoRedefine/>
    <w:semiHidden/>
    <w:rsid w:val="00CA2DF5"/>
    <w:pPr>
      <w:ind w:left="880"/>
    </w:pPr>
    <w:rPr>
      <w:sz w:val="20"/>
    </w:rPr>
  </w:style>
  <w:style w:type="paragraph" w:styleId="Obsah6">
    <w:name w:val="toc 6"/>
    <w:basedOn w:val="Normln"/>
    <w:next w:val="Normln"/>
    <w:autoRedefine/>
    <w:semiHidden/>
    <w:rsid w:val="00CA2DF5"/>
    <w:pPr>
      <w:ind w:left="1100"/>
    </w:pPr>
    <w:rPr>
      <w:sz w:val="20"/>
    </w:rPr>
  </w:style>
  <w:style w:type="paragraph" w:styleId="Obsah7">
    <w:name w:val="toc 7"/>
    <w:basedOn w:val="Normln"/>
    <w:next w:val="Normln"/>
    <w:autoRedefine/>
    <w:semiHidden/>
    <w:rsid w:val="00CA2DF5"/>
    <w:pPr>
      <w:ind w:left="1320"/>
    </w:pPr>
    <w:rPr>
      <w:sz w:val="20"/>
    </w:rPr>
  </w:style>
  <w:style w:type="paragraph" w:styleId="Obsah8">
    <w:name w:val="toc 8"/>
    <w:basedOn w:val="Normln"/>
    <w:next w:val="Normln"/>
    <w:autoRedefine/>
    <w:semiHidden/>
    <w:rsid w:val="00CA2DF5"/>
    <w:pPr>
      <w:ind w:left="1540"/>
    </w:pPr>
    <w:rPr>
      <w:sz w:val="20"/>
    </w:rPr>
  </w:style>
  <w:style w:type="paragraph" w:styleId="slovanseznam5">
    <w:name w:val="List Number 5"/>
    <w:basedOn w:val="Normln"/>
    <w:rsid w:val="00CA2DF5"/>
    <w:pPr>
      <w:tabs>
        <w:tab w:val="num" w:pos="720"/>
      </w:tabs>
      <w:ind w:left="720" w:hanging="720"/>
    </w:pPr>
  </w:style>
  <w:style w:type="paragraph" w:styleId="Rozloendokumentu">
    <w:name w:val="Document Map"/>
    <w:basedOn w:val="Normln"/>
    <w:semiHidden/>
    <w:rsid w:val="00CA2DF5"/>
    <w:pPr>
      <w:shd w:val="clear" w:color="auto" w:fill="000080"/>
    </w:pPr>
    <w:rPr>
      <w:rFonts w:ascii="Tahoma" w:hAnsi="Tahoma"/>
    </w:rPr>
  </w:style>
  <w:style w:type="character" w:customStyle="1" w:styleId="platne1">
    <w:name w:val="platne1"/>
    <w:basedOn w:val="Standardnpsmoodstavce"/>
    <w:rsid w:val="00CA2DF5"/>
  </w:style>
  <w:style w:type="character" w:styleId="Siln">
    <w:name w:val="Strong"/>
    <w:uiPriority w:val="22"/>
    <w:qFormat/>
    <w:rsid w:val="00DF1527"/>
    <w:rPr>
      <w:b/>
      <w:bCs/>
    </w:rPr>
  </w:style>
  <w:style w:type="character" w:customStyle="1" w:styleId="Nadpis2Char">
    <w:name w:val="Nadpis 2 Char"/>
    <w:aliases w:val="Lev 2 Char,Char Char Char Char,Char Char Char Char Char Char,Section Char,m Char,Body Text (Reset numbering) Char,Reset numbering Char,H2 Char,h2 Char,TF-Overskrit 2 Char,h2 main heading Char,2m Char,h 2 Char,B Sub/Bold Char"/>
    <w:link w:val="Nadpis2"/>
    <w:rsid w:val="007363C1"/>
    <w:rPr>
      <w:sz w:val="22"/>
      <w:lang w:val="en-GB"/>
    </w:rPr>
  </w:style>
  <w:style w:type="character" w:customStyle="1" w:styleId="Nadpis1Char">
    <w:name w:val="Nadpis 1 Char"/>
    <w:aliases w:val="Hoofdstukkop Char,Section Heading Char,H1 Char,HTA Überschrift 1 Char,Lev 1 Char,Vertragsgliederung 1 Char,Article Heading Char,h1 Char"/>
    <w:link w:val="Nadpis1"/>
    <w:rsid w:val="006E0047"/>
    <w:rPr>
      <w:b/>
      <w:i/>
      <w:kern w:val="28"/>
      <w:sz w:val="22"/>
      <w:lang w:val="en-GB"/>
    </w:rPr>
  </w:style>
  <w:style w:type="character" w:styleId="Odkaznakoment">
    <w:name w:val="annotation reference"/>
    <w:rsid w:val="00E948D7"/>
    <w:rPr>
      <w:sz w:val="16"/>
      <w:szCs w:val="16"/>
    </w:rPr>
  </w:style>
  <w:style w:type="paragraph" w:styleId="Textkomente">
    <w:name w:val="annotation text"/>
    <w:basedOn w:val="Normln"/>
    <w:link w:val="TextkomenteChar"/>
    <w:rsid w:val="00E948D7"/>
    <w:rPr>
      <w:sz w:val="20"/>
    </w:rPr>
  </w:style>
  <w:style w:type="character" w:customStyle="1" w:styleId="TextkomenteChar">
    <w:name w:val="Text komentáře Char"/>
    <w:link w:val="Textkomente"/>
    <w:rsid w:val="00E948D7"/>
    <w:rPr>
      <w:lang w:val="en-GB"/>
    </w:rPr>
  </w:style>
  <w:style w:type="paragraph" w:styleId="Pedmtkomente">
    <w:name w:val="annotation subject"/>
    <w:basedOn w:val="Textkomente"/>
    <w:next w:val="Textkomente"/>
    <w:link w:val="PedmtkomenteChar"/>
    <w:rsid w:val="00E948D7"/>
    <w:rPr>
      <w:b/>
      <w:bCs/>
    </w:rPr>
  </w:style>
  <w:style w:type="character" w:customStyle="1" w:styleId="PedmtkomenteChar">
    <w:name w:val="Předmět komentáře Char"/>
    <w:link w:val="Pedmtkomente"/>
    <w:rsid w:val="00E948D7"/>
    <w:rPr>
      <w:b/>
      <w:bCs/>
      <w:lang w:val="en-GB"/>
    </w:rPr>
  </w:style>
  <w:style w:type="paragraph" w:styleId="Textbubliny">
    <w:name w:val="Balloon Text"/>
    <w:basedOn w:val="Normln"/>
    <w:link w:val="TextbublinyChar"/>
    <w:rsid w:val="00E948D7"/>
    <w:rPr>
      <w:rFonts w:ascii="Segoe UI" w:hAnsi="Segoe UI"/>
      <w:sz w:val="18"/>
      <w:szCs w:val="18"/>
    </w:rPr>
  </w:style>
  <w:style w:type="character" w:customStyle="1" w:styleId="TextbublinyChar">
    <w:name w:val="Text bubliny Char"/>
    <w:link w:val="Textbubliny"/>
    <w:rsid w:val="00E948D7"/>
    <w:rPr>
      <w:rFonts w:ascii="Segoe UI" w:hAnsi="Segoe UI" w:cs="Segoe UI"/>
      <w:sz w:val="18"/>
      <w:szCs w:val="18"/>
      <w:lang w:val="en-GB"/>
    </w:rPr>
  </w:style>
  <w:style w:type="table" w:styleId="Mkatabulky">
    <w:name w:val="Table Grid"/>
    <w:basedOn w:val="Normlntabulka"/>
    <w:uiPriority w:val="59"/>
    <w:rsid w:val="00A52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7F31DF"/>
    <w:pPr>
      <w:tabs>
        <w:tab w:val="center" w:pos="4536"/>
        <w:tab w:val="right" w:pos="9072"/>
      </w:tabs>
    </w:pPr>
  </w:style>
  <w:style w:type="character" w:customStyle="1" w:styleId="ZhlavChar">
    <w:name w:val="Záhlaví Char"/>
    <w:link w:val="Zhlav"/>
    <w:rsid w:val="007F31DF"/>
    <w:rPr>
      <w:sz w:val="22"/>
      <w:lang w:val="en-GB"/>
    </w:rPr>
  </w:style>
  <w:style w:type="paragraph" w:styleId="Odstavecseseznamem">
    <w:name w:val="List Paragraph"/>
    <w:basedOn w:val="Normln"/>
    <w:uiPriority w:val="34"/>
    <w:qFormat/>
    <w:rsid w:val="006D190C"/>
    <w:pPr>
      <w:ind w:left="720"/>
      <w:contextualSpacing/>
    </w:pPr>
  </w:style>
  <w:style w:type="character" w:customStyle="1" w:styleId="Nadpis3Char">
    <w:name w:val="Nadpis 3 Char"/>
    <w:aliases w:val="Char Char,Level 1 - 2 Char,h3 Char,C Sub-Sub/Italic Char,h3 sub heading Char,Head 31 Char,Head 32... Char,H3 Char,Subparagraafkop Char,Level 1 - 1 Char,HTA Überschrift 3 Char,Minor Char,level 3 Char,level3 Char,Head 32 Char,3m Char,3 Char"/>
    <w:basedOn w:val="Standardnpsmoodstavce"/>
    <w:link w:val="Nadpis3"/>
    <w:uiPriority w:val="99"/>
    <w:rsid w:val="004E3644"/>
    <w:rPr>
      <w:sz w:val="22"/>
      <w:lang w:val="en-GB"/>
    </w:rPr>
  </w:style>
  <w:style w:type="character" w:styleId="Hypertextovodkaz">
    <w:name w:val="Hyperlink"/>
    <w:basedOn w:val="Standardnpsmoodstavce"/>
    <w:unhideWhenUsed/>
    <w:rsid w:val="006D0195"/>
    <w:rPr>
      <w:color w:val="0000FF" w:themeColor="hyperlink"/>
      <w:u w:val="single"/>
    </w:rPr>
  </w:style>
  <w:style w:type="character" w:styleId="Nevyeenzmnka">
    <w:name w:val="Unresolved Mention"/>
    <w:basedOn w:val="Standardnpsmoodstavce"/>
    <w:uiPriority w:val="99"/>
    <w:semiHidden/>
    <w:unhideWhenUsed/>
    <w:rsid w:val="006D0195"/>
    <w:rPr>
      <w:color w:val="605E5C"/>
      <w:shd w:val="clear" w:color="auto" w:fill="E1DFDD"/>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ntb.cz" TargetMode="External"/><Relationship Id="rId13" Type="http://schemas.openxmlformats.org/officeDocument/2006/relationships/hyperlink" Target="http://www.nntb.cz/funk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ntb.cz/zasady-ochrany-osobnich-udaj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tb.cz/zpracovatelska-smlouv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ntb.cz/obchodni-podminky" TargetMode="External"/><Relationship Id="rId4" Type="http://schemas.openxmlformats.org/officeDocument/2006/relationships/settings" Target="settings.xml"/><Relationship Id="rId9" Type="http://schemas.openxmlformats.org/officeDocument/2006/relationships/hyperlink" Target="http://www.faceup.com"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shQ0zAryaaMxkthFQlbLWmWqQA==">CgMxLjAyCGguZ2pkZ3hzMgloLjMwajB6bGwyCWguMWZvYjl0ZTIJaC4zem55c2g3MghoLnR5amN3dDIJaC4zZHk2dmttMgloLjF0M2g1c2YyCWguNGQzNG9nODIJaC4yczhleW8xOAByITFnMG1vdEduT1hqa2NWeGxBQWJpYjlHdjV3bkd4bGdZSA==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7515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dc:creator>
  <cp:lastModifiedBy>Provozář DSJesenec</cp:lastModifiedBy>
  <cp:revision>2</cp:revision>
  <dcterms:created xsi:type="dcterms:W3CDTF">2023-07-31T08:59:00Z</dcterms:created>
  <dcterms:modified xsi:type="dcterms:W3CDTF">2023-07-31T08:59:00Z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is">
    <vt:bool>true</vt:bool>
  </property>
  <property fmtid="{D5CDD505-2E9C-101B-9397-08002B2CF9AE}" pid="3" name="DmsId">
    <vt:i4>477347</vt:i4>
  </property>
  <property fmtid="{D5CDD505-2E9C-101B-9397-08002B2CF9AE}" pid="4" name="ContentTypeId">
    <vt:lpwstr>0x0101009A0E545B4B03E04BBEF942B940AA228B00E6F2CE5C31CD8E498F2BCC6A7F247620</vt:lpwstr>
  </property>
</Properties>
</file>