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3CD4" w14:textId="27167B16" w:rsidR="00CC1814" w:rsidRPr="00107C98" w:rsidRDefault="00107C98" w:rsidP="00CC1814">
      <w:pPr>
        <w:pStyle w:val="Normln1"/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bCs/>
          <w:sz w:val="28"/>
          <w:szCs w:val="22"/>
        </w:rPr>
      </w:pPr>
      <w:r w:rsidRPr="002370C4">
        <w:rPr>
          <w:rFonts w:ascii="Arial" w:eastAsia="Calibri" w:hAnsi="Arial" w:cs="Arial"/>
          <w:b/>
          <w:bCs/>
          <w:sz w:val="28"/>
          <w:szCs w:val="22"/>
        </w:rPr>
        <w:t xml:space="preserve">Dílčí </w:t>
      </w:r>
      <w:r w:rsidRPr="00107C98">
        <w:rPr>
          <w:rFonts w:ascii="Arial" w:eastAsia="Calibri" w:hAnsi="Arial" w:cs="Arial"/>
          <w:b/>
          <w:bCs/>
          <w:sz w:val="28"/>
          <w:szCs w:val="22"/>
        </w:rPr>
        <w:t xml:space="preserve">specifikace č. </w:t>
      </w:r>
      <w:r w:rsidR="005B1CA4">
        <w:rPr>
          <w:rFonts w:ascii="Arial" w:eastAsia="Calibri" w:hAnsi="Arial" w:cs="Arial"/>
          <w:b/>
          <w:bCs/>
          <w:sz w:val="28"/>
          <w:szCs w:val="22"/>
        </w:rPr>
        <w:t>1</w:t>
      </w:r>
    </w:p>
    <w:p w14:paraId="09B64F1B" w14:textId="77777777" w:rsidR="00107C98" w:rsidRPr="00107C98" w:rsidRDefault="00107C98" w:rsidP="00E50A9F">
      <w:pPr>
        <w:jc w:val="center"/>
        <w:rPr>
          <w:rFonts w:ascii="Arial" w:hAnsi="Arial" w:cs="Arial"/>
          <w:sz w:val="22"/>
          <w:szCs w:val="22"/>
        </w:rPr>
      </w:pPr>
      <w:r w:rsidRPr="00107C98">
        <w:rPr>
          <w:rFonts w:ascii="Arial" w:eastAsia="Calibri" w:hAnsi="Arial" w:cs="Arial"/>
          <w:sz w:val="22"/>
          <w:szCs w:val="22"/>
        </w:rPr>
        <w:t>ve smyslu odst. 4.2. Smlouvy o poskytování nadsta</w:t>
      </w:r>
      <w:r w:rsidRPr="00107C98">
        <w:rPr>
          <w:rFonts w:ascii="Arial" w:hAnsi="Arial" w:cs="Arial"/>
          <w:bCs/>
          <w:sz w:val="22"/>
          <w:szCs w:val="22"/>
        </w:rPr>
        <w:t>vbových</w:t>
      </w:r>
      <w:r w:rsidRPr="00107C98">
        <w:rPr>
          <w:rFonts w:ascii="Arial" w:eastAsia="Calibri" w:hAnsi="Arial" w:cs="Arial"/>
          <w:sz w:val="22"/>
          <w:szCs w:val="22"/>
        </w:rPr>
        <w:t xml:space="preserve"> služeb e-infrastruktury CESNET</w:t>
      </w:r>
      <w:r w:rsidRPr="00107C98">
        <w:rPr>
          <w:rFonts w:ascii="Arial" w:hAnsi="Arial" w:cs="Arial"/>
          <w:sz w:val="22"/>
          <w:szCs w:val="22"/>
        </w:rPr>
        <w:t xml:space="preserve"> </w:t>
      </w:r>
    </w:p>
    <w:p w14:paraId="320568C6" w14:textId="247CC8B2" w:rsidR="00107C98" w:rsidRDefault="00107C98" w:rsidP="00107C98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107C98">
        <w:rPr>
          <w:rFonts w:ascii="Arial" w:eastAsia="Calibri" w:hAnsi="Arial" w:cs="Arial"/>
          <w:sz w:val="22"/>
          <w:szCs w:val="22"/>
        </w:rPr>
        <w:t xml:space="preserve">č. </w:t>
      </w:r>
      <w:r w:rsidRPr="00107C98">
        <w:rPr>
          <w:rFonts w:ascii="Arial" w:hAnsi="Arial" w:cs="Arial"/>
          <w:sz w:val="22"/>
          <w:szCs w:val="22"/>
        </w:rPr>
        <w:t>99/</w:t>
      </w:r>
      <w:r w:rsidR="007D0EA1">
        <w:rPr>
          <w:rFonts w:ascii="Arial" w:hAnsi="Arial" w:cs="Arial"/>
          <w:sz w:val="22"/>
          <w:szCs w:val="22"/>
        </w:rPr>
        <w:t>077</w:t>
      </w:r>
      <w:r w:rsidRPr="00107C98">
        <w:rPr>
          <w:rFonts w:ascii="Arial" w:hAnsi="Arial" w:cs="Arial"/>
          <w:sz w:val="22"/>
          <w:szCs w:val="22"/>
        </w:rPr>
        <w:t xml:space="preserve"> (dále jen „Smlouva“)</w:t>
      </w:r>
    </w:p>
    <w:p w14:paraId="622C1600" w14:textId="7CCA0C79" w:rsidR="00CC1814" w:rsidRPr="00107C98" w:rsidRDefault="00CC1814" w:rsidP="00107C98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realizované v rámci projektu </w:t>
      </w:r>
      <w:proofErr w:type="spellStart"/>
      <w:r w:rsidRPr="00630D4B">
        <w:rPr>
          <w:rFonts w:ascii="Arial" w:hAnsi="Arial" w:cs="Arial"/>
          <w:b/>
          <w:bCs/>
          <w:sz w:val="22"/>
          <w:szCs w:val="22"/>
        </w:rPr>
        <w:t>reg</w:t>
      </w:r>
      <w:proofErr w:type="spellEnd"/>
      <w:r w:rsidRPr="00630D4B">
        <w:rPr>
          <w:rFonts w:ascii="Arial" w:hAnsi="Arial" w:cs="Arial"/>
          <w:b/>
          <w:bCs/>
          <w:sz w:val="22"/>
          <w:szCs w:val="22"/>
        </w:rPr>
        <w:t>. číslo NPO_UJEP_MSMT-16588/2022, SC C3.</w:t>
      </w:r>
      <w:r w:rsidR="005C712C" w:rsidRPr="00630D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630D4B">
        <w:rPr>
          <w:rFonts w:ascii="Arial" w:hAnsi="Arial" w:cs="Arial"/>
          <w:b/>
          <w:bCs/>
          <w:sz w:val="22"/>
          <w:szCs w:val="22"/>
        </w:rPr>
        <w:t>Digitalizace činností přímo souvisejících se zajištěním vzdělávací činnosti a administrativních úkonů spojených se studijní agendou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712"/>
        <w:gridCol w:w="2047"/>
        <w:gridCol w:w="1889"/>
        <w:gridCol w:w="3519"/>
      </w:tblGrid>
      <w:tr w:rsidR="000E44DF" w:rsidRPr="00107C98" w14:paraId="557A94E4" w14:textId="77777777" w:rsidTr="00D90249">
        <w:trPr>
          <w:trHeight w:val="344"/>
        </w:trPr>
        <w:tc>
          <w:tcPr>
            <w:tcW w:w="450" w:type="dxa"/>
            <w:shd w:val="clear" w:color="auto" w:fill="D9D9D9"/>
          </w:tcPr>
          <w:p w14:paraId="1491339D" w14:textId="77777777" w:rsidR="000E44DF" w:rsidRPr="00107C98" w:rsidRDefault="000E44DF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1756" w:type="dxa"/>
            <w:shd w:val="clear" w:color="auto" w:fill="D9D9D9"/>
          </w:tcPr>
          <w:p w14:paraId="2175C167" w14:textId="77777777" w:rsidR="000E44DF" w:rsidRPr="00107C98" w:rsidRDefault="000E44DF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Označení / název služby</w:t>
            </w:r>
          </w:p>
        </w:tc>
        <w:tc>
          <w:tcPr>
            <w:tcW w:w="7648" w:type="dxa"/>
            <w:gridSpan w:val="3"/>
            <w:shd w:val="clear" w:color="auto" w:fill="D9D9D9"/>
          </w:tcPr>
          <w:p w14:paraId="3D894075" w14:textId="77777777" w:rsidR="000E44DF" w:rsidRPr="00107C98" w:rsidRDefault="007972BB" w:rsidP="007A4A8E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C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CESNET </w:t>
            </w:r>
            <w:proofErr w:type="spellStart"/>
            <w:r w:rsidRPr="00107C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eIDAS</w:t>
            </w:r>
            <w:proofErr w:type="spellEnd"/>
          </w:p>
        </w:tc>
      </w:tr>
      <w:tr w:rsidR="000E44DF" w:rsidRPr="00107C98" w14:paraId="18818370" w14:textId="77777777" w:rsidTr="00D90249">
        <w:trPr>
          <w:trHeight w:val="344"/>
        </w:trPr>
        <w:tc>
          <w:tcPr>
            <w:tcW w:w="450" w:type="dxa"/>
            <w:vMerge w:val="restart"/>
            <w:shd w:val="clear" w:color="auto" w:fill="D9D9D9"/>
          </w:tcPr>
          <w:p w14:paraId="5AAEE2D1" w14:textId="77777777" w:rsidR="000E44DF" w:rsidRPr="00107C98" w:rsidRDefault="000E44DF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1756" w:type="dxa"/>
            <w:vMerge w:val="restart"/>
            <w:shd w:val="clear" w:color="auto" w:fill="D9D9D9"/>
          </w:tcPr>
          <w:p w14:paraId="02404CAA" w14:textId="77777777" w:rsidR="000E44DF" w:rsidRPr="00107C98" w:rsidRDefault="000E44DF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Smluvní strany</w:t>
            </w:r>
          </w:p>
        </w:tc>
        <w:tc>
          <w:tcPr>
            <w:tcW w:w="2047" w:type="dxa"/>
            <w:shd w:val="clear" w:color="auto" w:fill="D9D9D9"/>
          </w:tcPr>
          <w:p w14:paraId="77C9B5F9" w14:textId="77777777" w:rsidR="000E44DF" w:rsidRPr="00107C98" w:rsidRDefault="000E44DF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Sdružení:</w:t>
            </w:r>
          </w:p>
        </w:tc>
        <w:tc>
          <w:tcPr>
            <w:tcW w:w="5601" w:type="dxa"/>
            <w:gridSpan w:val="2"/>
            <w:shd w:val="clear" w:color="auto" w:fill="auto"/>
          </w:tcPr>
          <w:p w14:paraId="105715B6" w14:textId="77777777" w:rsidR="000E44DF" w:rsidRPr="00107C98" w:rsidRDefault="000E44DF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CESNET, zájmové sdružení právnických osob</w:t>
            </w:r>
          </w:p>
          <w:p w14:paraId="77E8A215" w14:textId="77777777" w:rsidR="000E44DF" w:rsidRPr="00107C98" w:rsidRDefault="000E44DF" w:rsidP="007A4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Zikova 1903/4, 160 00 Praha 6</w:t>
            </w:r>
          </w:p>
          <w:p w14:paraId="329EFDF6" w14:textId="77777777" w:rsidR="000E44DF" w:rsidRPr="00107C98" w:rsidRDefault="000E44DF" w:rsidP="007A4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IČO: 63839172</w:t>
            </w:r>
          </w:p>
        </w:tc>
      </w:tr>
      <w:tr w:rsidR="000E44DF" w:rsidRPr="00107C98" w14:paraId="5D050A19" w14:textId="77777777" w:rsidTr="00D90249">
        <w:trPr>
          <w:trHeight w:val="343"/>
        </w:trPr>
        <w:tc>
          <w:tcPr>
            <w:tcW w:w="450" w:type="dxa"/>
            <w:vMerge/>
            <w:shd w:val="clear" w:color="auto" w:fill="D9D9D9"/>
          </w:tcPr>
          <w:p w14:paraId="3B9C1496" w14:textId="77777777" w:rsidR="000E44DF" w:rsidRPr="00107C98" w:rsidRDefault="000E44DF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D9D9D9"/>
          </w:tcPr>
          <w:p w14:paraId="6DCEA178" w14:textId="77777777" w:rsidR="000E44DF" w:rsidRPr="00107C98" w:rsidRDefault="000E44DF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D9D9D9"/>
          </w:tcPr>
          <w:p w14:paraId="2B1576C6" w14:textId="77777777" w:rsidR="000E44DF" w:rsidRPr="00107C98" w:rsidRDefault="000E44DF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Účastník:</w:t>
            </w:r>
          </w:p>
        </w:tc>
        <w:tc>
          <w:tcPr>
            <w:tcW w:w="5601" w:type="dxa"/>
            <w:gridSpan w:val="2"/>
            <w:shd w:val="clear" w:color="auto" w:fill="auto"/>
          </w:tcPr>
          <w:p w14:paraId="6A61EC7A" w14:textId="77777777" w:rsidR="005B3D0A" w:rsidRPr="005B3D0A" w:rsidRDefault="005B3D0A" w:rsidP="005B3D0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B3D0A">
              <w:rPr>
                <w:rFonts w:ascii="Arial" w:hAnsi="Arial" w:cs="Arial"/>
                <w:sz w:val="22"/>
                <w:szCs w:val="22"/>
              </w:rPr>
              <w:t>Univerzita Jana Evangelisty Purkyně v Ústí nad Labem</w:t>
            </w:r>
          </w:p>
          <w:p w14:paraId="49B9FB75" w14:textId="77777777" w:rsidR="005B3D0A" w:rsidRPr="005B3D0A" w:rsidRDefault="005B3D0A" w:rsidP="005B3D0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B3D0A">
              <w:rPr>
                <w:rFonts w:ascii="Arial" w:hAnsi="Arial" w:cs="Arial"/>
                <w:sz w:val="22"/>
                <w:szCs w:val="22"/>
              </w:rPr>
              <w:t>Sídlo: Pasteurova 1, 400 96 Ústí nad Labem</w:t>
            </w:r>
          </w:p>
          <w:p w14:paraId="3B0F8243" w14:textId="7EF089FF" w:rsidR="00C005E0" w:rsidRPr="00107C98" w:rsidRDefault="005B3D0A" w:rsidP="005B3D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D0A">
              <w:rPr>
                <w:rFonts w:ascii="Arial" w:hAnsi="Arial" w:cs="Arial"/>
                <w:sz w:val="22"/>
                <w:szCs w:val="22"/>
              </w:rPr>
              <w:t>IČO: 44555601</w:t>
            </w:r>
          </w:p>
        </w:tc>
      </w:tr>
      <w:tr w:rsidR="000E44DF" w:rsidRPr="00107C98" w14:paraId="5D04FD5C" w14:textId="77777777" w:rsidTr="00D90249">
        <w:tc>
          <w:tcPr>
            <w:tcW w:w="450" w:type="dxa"/>
            <w:shd w:val="clear" w:color="auto" w:fill="D9D9D9"/>
          </w:tcPr>
          <w:p w14:paraId="25613F0B" w14:textId="77777777" w:rsidR="000E44DF" w:rsidRPr="00107C98" w:rsidRDefault="000E44DF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1756" w:type="dxa"/>
            <w:shd w:val="clear" w:color="auto" w:fill="D9D9D9"/>
          </w:tcPr>
          <w:p w14:paraId="1EBC5A4C" w14:textId="77777777" w:rsidR="000E44DF" w:rsidRPr="00107C98" w:rsidRDefault="00207EA9" w:rsidP="007A4A8E">
            <w:pPr>
              <w:spacing w:before="6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Předmět</w:t>
            </w:r>
            <w:r w:rsidR="000E44DF"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služby</w:t>
            </w: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E0CC28" w14:textId="77777777" w:rsidR="000E44DF" w:rsidRPr="00107C98" w:rsidRDefault="007972BB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eastAsia="Calibri" w:hAnsi="Arial" w:cs="Arial"/>
                <w:sz w:val="22"/>
                <w:szCs w:val="22"/>
              </w:rPr>
              <w:t>Správa kvalifikovaných certifikátů a vytváření kvalifikovaných digitálních podpisů a pečetí dle Nařízení Evropského parlamentu a Rady (EU) č. 910/2014.</w:t>
            </w:r>
          </w:p>
        </w:tc>
      </w:tr>
      <w:tr w:rsidR="00C31758" w:rsidRPr="00107C98" w14:paraId="32E93252" w14:textId="77777777" w:rsidTr="00D90249">
        <w:tc>
          <w:tcPr>
            <w:tcW w:w="450" w:type="dxa"/>
            <w:shd w:val="clear" w:color="auto" w:fill="D9D9D9"/>
          </w:tcPr>
          <w:p w14:paraId="2378A2AB" w14:textId="77777777" w:rsidR="00C31758" w:rsidRPr="00107C98" w:rsidRDefault="00C31758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1756" w:type="dxa"/>
            <w:shd w:val="clear" w:color="auto" w:fill="D9D9D9"/>
          </w:tcPr>
          <w:p w14:paraId="66053157" w14:textId="77777777" w:rsidR="00C31758" w:rsidRPr="00107C98" w:rsidRDefault="00C31758" w:rsidP="007A4A8E">
            <w:pPr>
              <w:spacing w:before="6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Popis služby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42D1C9" w14:textId="77777777" w:rsidR="00C31758" w:rsidRPr="00107C98" w:rsidRDefault="00C31758" w:rsidP="007A4A8E">
            <w:pPr>
              <w:pStyle w:val="Normln1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 xml:space="preserve">CESNET </w:t>
            </w:r>
            <w:proofErr w:type="spellStart"/>
            <w:r w:rsidRPr="00107C98">
              <w:rPr>
                <w:rFonts w:ascii="Arial" w:hAnsi="Arial" w:cs="Arial"/>
                <w:sz w:val="22"/>
                <w:szCs w:val="22"/>
              </w:rPr>
              <w:t>eIDAS</w:t>
            </w:r>
            <w:proofErr w:type="spellEnd"/>
            <w:r w:rsidRPr="00107C98">
              <w:rPr>
                <w:rFonts w:ascii="Arial" w:hAnsi="Arial" w:cs="Arial"/>
                <w:sz w:val="22"/>
                <w:szCs w:val="22"/>
              </w:rPr>
              <w:t xml:space="preserve"> představuje sadu nástrojů pro správu osobních kvalifikovaných certifikátů a kvalifikovaných certifikátů pro elektronickou pečeť v centrálním uložišti, vzdálené elektronické podepisování dokumentů a dat, ověřování platnosti podpisů elektronicky podepsaných dokumentů. </w:t>
            </w:r>
          </w:p>
          <w:p w14:paraId="4E76FD89" w14:textId="77777777" w:rsidR="00C31758" w:rsidRPr="00107C98" w:rsidRDefault="00C31758" w:rsidP="007A4A8E">
            <w:pPr>
              <w:pStyle w:val="Normln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Funkce služby:</w:t>
            </w:r>
          </w:p>
          <w:p w14:paraId="45E951CD" w14:textId="77777777" w:rsidR="00C31758" w:rsidRPr="00107C98" w:rsidRDefault="00C31758" w:rsidP="007A4A8E">
            <w:pPr>
              <w:pStyle w:val="Default"/>
              <w:numPr>
                <w:ilvl w:val="0"/>
                <w:numId w:val="21"/>
              </w:numPr>
              <w:suppressAutoHyphens/>
              <w:autoSpaceDN/>
              <w:adjustRightInd/>
              <w:spacing w:after="55"/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Správa kvalifikovaných osobních certifikátů zaměstnanců organizace</w:t>
            </w:r>
          </w:p>
          <w:p w14:paraId="22F407EE" w14:textId="77777777" w:rsidR="00C31758" w:rsidRPr="00107C98" w:rsidRDefault="00C31758" w:rsidP="007A4A8E">
            <w:pPr>
              <w:pStyle w:val="Default"/>
              <w:numPr>
                <w:ilvl w:val="0"/>
                <w:numId w:val="21"/>
              </w:numPr>
              <w:suppressAutoHyphens/>
              <w:autoSpaceDN/>
              <w:adjustRightInd/>
              <w:spacing w:after="55"/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Správa kvalifikovaných certifikátů pro elektronickou pečeť</w:t>
            </w:r>
          </w:p>
          <w:p w14:paraId="06E102DE" w14:textId="77777777" w:rsidR="00C31758" w:rsidRPr="00107C98" w:rsidRDefault="00C31758" w:rsidP="007A4A8E">
            <w:pPr>
              <w:pStyle w:val="Default"/>
              <w:numPr>
                <w:ilvl w:val="0"/>
                <w:numId w:val="21"/>
              </w:numPr>
              <w:suppressAutoHyphens/>
              <w:autoSpaceDN/>
              <w:adjustRightInd/>
              <w:spacing w:after="55"/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Vytváření kvalifikovaných digitálních podpisů dokumentů a dat</w:t>
            </w:r>
          </w:p>
          <w:p w14:paraId="0137A41E" w14:textId="77777777" w:rsidR="00C31758" w:rsidRPr="00107C98" w:rsidRDefault="00C31758" w:rsidP="007A4A8E">
            <w:pPr>
              <w:pStyle w:val="Default"/>
              <w:numPr>
                <w:ilvl w:val="0"/>
                <w:numId w:val="21"/>
              </w:numPr>
              <w:spacing w:after="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Vytváření kvalifikovaných i nekvalifikovaných časových razítek dokumentů</w:t>
            </w:r>
          </w:p>
          <w:p w14:paraId="4E9FBF7B" w14:textId="77777777" w:rsidR="00C31758" w:rsidRPr="00107C98" w:rsidRDefault="00C31758" w:rsidP="007A4A8E">
            <w:pPr>
              <w:pStyle w:val="Default"/>
              <w:numPr>
                <w:ilvl w:val="0"/>
                <w:numId w:val="21"/>
              </w:numPr>
              <w:suppressAutoHyphens/>
              <w:autoSpaceDN/>
              <w:adjustRightInd/>
              <w:spacing w:after="55"/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Vytváření kvalifikovaných pečetí</w:t>
            </w:r>
          </w:p>
          <w:p w14:paraId="6181AE72" w14:textId="77777777" w:rsidR="00C31758" w:rsidRPr="00107C98" w:rsidRDefault="00C31758" w:rsidP="007A4A8E">
            <w:pPr>
              <w:pStyle w:val="Default"/>
              <w:numPr>
                <w:ilvl w:val="0"/>
                <w:numId w:val="21"/>
              </w:numPr>
              <w:suppressAutoHyphens/>
              <w:autoSpaceDN/>
              <w:adjustRightInd/>
              <w:spacing w:after="55"/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 xml:space="preserve">Ověření platnosti uznávaného a kvalifikovaného digitálního podpisu dokumentů </w:t>
            </w:r>
          </w:p>
          <w:p w14:paraId="470E2BC6" w14:textId="77777777" w:rsidR="00C31758" w:rsidRPr="00107C98" w:rsidRDefault="00C31758" w:rsidP="007A4A8E">
            <w:pPr>
              <w:pStyle w:val="Default"/>
              <w:numPr>
                <w:ilvl w:val="0"/>
                <w:numId w:val="21"/>
              </w:numPr>
              <w:suppressAutoHyphens/>
              <w:autoSpaceDN/>
              <w:adjustRightInd/>
              <w:spacing w:after="55"/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Řízení životního cyklu certifikátů</w:t>
            </w:r>
          </w:p>
          <w:p w14:paraId="05B2150A" w14:textId="77777777" w:rsidR="00C31758" w:rsidRPr="00107C98" w:rsidRDefault="00C31758" w:rsidP="007A4A8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DDC666" w14:textId="77777777" w:rsidR="00C31758" w:rsidRPr="00107C98" w:rsidRDefault="00C31758" w:rsidP="007A4A8E">
            <w:pPr>
              <w:pStyle w:val="Normln1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07C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Popis rozhraní:</w:t>
            </w:r>
          </w:p>
          <w:p w14:paraId="2610FF83" w14:textId="77777777" w:rsidR="00C31758" w:rsidRPr="00107C98" w:rsidRDefault="00C31758" w:rsidP="007A4A8E">
            <w:pPr>
              <w:pStyle w:val="Normln1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Webové (uživatelské) rozhraní</w:t>
            </w:r>
          </w:p>
          <w:p w14:paraId="752710DD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Pro správu certifikátu uživatelem</w:t>
            </w:r>
          </w:p>
          <w:p w14:paraId="76BEEB0A" w14:textId="77777777" w:rsidR="00C31758" w:rsidRPr="00107C98" w:rsidRDefault="00C31758" w:rsidP="007A4A8E">
            <w:pPr>
              <w:pStyle w:val="Normln1"/>
              <w:numPr>
                <w:ilvl w:val="2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Podání žádosti o nový certifikát</w:t>
            </w:r>
          </w:p>
          <w:p w14:paraId="154BC91C" w14:textId="77777777" w:rsidR="00C31758" w:rsidRPr="00107C98" w:rsidRDefault="00C31758" w:rsidP="007A4A8E">
            <w:pPr>
              <w:pStyle w:val="Normln1"/>
              <w:numPr>
                <w:ilvl w:val="2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Prodloužení platnosti certifikátu </w:t>
            </w:r>
          </w:p>
          <w:p w14:paraId="176EEEFF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Pro správu certifikátů zaměstnanců</w:t>
            </w:r>
          </w:p>
          <w:p w14:paraId="15D36C7B" w14:textId="77777777" w:rsidR="00C31758" w:rsidRPr="00107C98" w:rsidRDefault="00C31758" w:rsidP="007A4A8E">
            <w:pPr>
              <w:pStyle w:val="Normln1"/>
              <w:numPr>
                <w:ilvl w:val="2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Schvalování žádostí o vydání, resp. prodloužení certifikátu</w:t>
            </w:r>
          </w:p>
          <w:p w14:paraId="6AF554DE" w14:textId="77777777" w:rsidR="00C31758" w:rsidRPr="00107C98" w:rsidRDefault="00C31758" w:rsidP="007A4A8E">
            <w:pPr>
              <w:pStyle w:val="Normln1"/>
              <w:numPr>
                <w:ilvl w:val="2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Přehled vydaných certifikátů </w:t>
            </w:r>
          </w:p>
          <w:p w14:paraId="60C5AC9A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Správu kvalifikovaných pečetí</w:t>
            </w:r>
          </w:p>
          <w:p w14:paraId="1A7B75C7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Pro digitální podepisování PDF dokumentů </w:t>
            </w:r>
          </w:p>
          <w:p w14:paraId="0D620101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Pro digitální pečetění PDF dokumentů</w:t>
            </w:r>
          </w:p>
          <w:p w14:paraId="03CD2F33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Pro ověření platnosti podpisu PDF dokumentů</w:t>
            </w:r>
          </w:p>
          <w:p w14:paraId="719874F7" w14:textId="77777777" w:rsidR="00C31758" w:rsidRPr="00107C98" w:rsidRDefault="00C31758" w:rsidP="007A4A8E">
            <w:pPr>
              <w:pStyle w:val="Normln1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lastRenderedPageBreak/>
              <w:t>Aplikační (strojové) rozhraní</w:t>
            </w:r>
          </w:p>
          <w:p w14:paraId="00CC25D7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REST rozhraní přes protokol HTTPS, datové zprávy jsou ve formátu JSON</w:t>
            </w:r>
          </w:p>
          <w:p w14:paraId="32D45131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Pro podepisování dokumentů a dat s/bez časového razítka</w:t>
            </w:r>
          </w:p>
          <w:p w14:paraId="163BA576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Pro pečetění dokumentů a dat s/bez časového razítka</w:t>
            </w:r>
          </w:p>
          <w:p w14:paraId="09476AFD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Pro ověření platnosti podpisu </w:t>
            </w:r>
          </w:p>
          <w:p w14:paraId="13E00FD7" w14:textId="77777777" w:rsidR="00C31758" w:rsidRPr="00107C98" w:rsidRDefault="00C31758" w:rsidP="007A4A8E">
            <w:pPr>
              <w:pStyle w:val="Normln1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Virtuální token</w:t>
            </w:r>
          </w:p>
          <w:p w14:paraId="15CC757A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Aplikace zprostředkující osobní certifikáty uložené v </w:t>
            </w:r>
            <w:proofErr w:type="spellStart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RemSigu</w:t>
            </w:r>
            <w:proofErr w:type="spellEnd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do systémového úložiště certifikátů operačního systému Windows 10</w:t>
            </w:r>
          </w:p>
          <w:p w14:paraId="5FC3744A" w14:textId="77777777" w:rsidR="00C31758" w:rsidRPr="00107C98" w:rsidRDefault="00C31758" w:rsidP="007A4A8E">
            <w:pPr>
              <w:pStyle w:val="Normln1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8512E75" w14:textId="77777777" w:rsidR="00C31758" w:rsidRPr="00107C98" w:rsidRDefault="00C31758" w:rsidP="007A4A8E">
            <w:pPr>
              <w:pStyle w:val="Normln1"/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Technologie:</w:t>
            </w:r>
          </w:p>
          <w:p w14:paraId="0D70327F" w14:textId="77777777" w:rsidR="00C31758" w:rsidRPr="00107C98" w:rsidRDefault="00C31758" w:rsidP="007A4A8E">
            <w:pPr>
              <w:pStyle w:val="Normln1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2x Hardware </w:t>
            </w:r>
            <w:proofErr w:type="spellStart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Security</w:t>
            </w:r>
            <w:proofErr w:type="spellEnd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Module provozované v zabezpečeném prostředí ve dvou geograficky oddělených lokalitách (Praha, Brno) v režimu vysoké dostupnosti (</w:t>
            </w:r>
            <w:proofErr w:type="spellStart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High-Availability</w:t>
            </w:r>
            <w:proofErr w:type="spellEnd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);</w:t>
            </w:r>
          </w:p>
          <w:p w14:paraId="244DEC82" w14:textId="77777777" w:rsidR="00C31758" w:rsidRPr="00107C98" w:rsidRDefault="00C31758" w:rsidP="007A4A8E">
            <w:pPr>
              <w:pStyle w:val="Normln1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3x server se systémem </w:t>
            </w:r>
            <w:proofErr w:type="spellStart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RemSig</w:t>
            </w:r>
            <w:proofErr w:type="spellEnd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v režimu </w:t>
            </w:r>
            <w:proofErr w:type="spellStart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fail-over</w:t>
            </w:r>
            <w:proofErr w:type="spellEnd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umístěné ve třech geograficky oddělených lokalitách (2x Brno, 1x Praha);</w:t>
            </w:r>
          </w:p>
          <w:p w14:paraId="5C76FDCF" w14:textId="77777777" w:rsidR="007A4A8E" w:rsidRPr="00107C98" w:rsidRDefault="00C31758" w:rsidP="007A4A8E">
            <w:pPr>
              <w:pStyle w:val="Normln1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Podpora pro vydávání kvalifikovaných certifikátů od certifikační autority </w:t>
            </w:r>
            <w:proofErr w:type="spellStart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PostSignum</w:t>
            </w:r>
            <w:proofErr w:type="spellEnd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QCA;</w:t>
            </w:r>
          </w:p>
          <w:p w14:paraId="5BF3CC15" w14:textId="77777777" w:rsidR="00C31758" w:rsidRPr="00107C98" w:rsidRDefault="00C31758" w:rsidP="007A4A8E">
            <w:pPr>
              <w:pStyle w:val="Normln1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Validátor digitálních elektronických podpisů dokumentů s vazbou na národní </w:t>
            </w:r>
            <w:proofErr w:type="spellStart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eIDAS</w:t>
            </w:r>
            <w:proofErr w:type="spellEnd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bránu.</w:t>
            </w:r>
          </w:p>
        </w:tc>
      </w:tr>
      <w:tr w:rsidR="005D3532" w:rsidRPr="005D3532" w14:paraId="6EC5805C" w14:textId="77777777" w:rsidTr="00D90249">
        <w:tc>
          <w:tcPr>
            <w:tcW w:w="450" w:type="dxa"/>
            <w:shd w:val="clear" w:color="auto" w:fill="D9D9D9"/>
          </w:tcPr>
          <w:p w14:paraId="373C54D2" w14:textId="77777777" w:rsidR="005D3532" w:rsidRPr="005D3532" w:rsidRDefault="005D3532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hAnsi="Arial" w:cs="Arial"/>
                <w:sz w:val="22"/>
                <w:szCs w:val="22"/>
              </w:rPr>
              <w:lastRenderedPageBreak/>
              <w:t>E.</w:t>
            </w:r>
          </w:p>
        </w:tc>
        <w:tc>
          <w:tcPr>
            <w:tcW w:w="1756" w:type="dxa"/>
            <w:shd w:val="clear" w:color="auto" w:fill="D9D9D9"/>
          </w:tcPr>
          <w:p w14:paraId="208EDEBF" w14:textId="77777777" w:rsidR="005D3532" w:rsidRPr="005D3532" w:rsidRDefault="005D3532" w:rsidP="007A4A8E">
            <w:pPr>
              <w:spacing w:before="6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bCs/>
                <w:sz w:val="22"/>
                <w:szCs w:val="22"/>
              </w:rPr>
              <w:t>Provozní podmínky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0412CA" w14:textId="77777777" w:rsidR="005D3532" w:rsidRPr="005D3532" w:rsidRDefault="005D3532" w:rsidP="007A4A8E">
            <w:pPr>
              <w:pStyle w:val="Normln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Technické podmínky pro provoz služby </w:t>
            </w:r>
          </w:p>
          <w:p w14:paraId="4B519B36" w14:textId="77777777" w:rsidR="005D3532" w:rsidRPr="005D3532" w:rsidRDefault="005D3532" w:rsidP="007A4A8E">
            <w:pPr>
              <w:pStyle w:val="Normln1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 xml:space="preserve">Účastník zajistí: </w:t>
            </w:r>
          </w:p>
          <w:p w14:paraId="14BC3991" w14:textId="77777777" w:rsidR="005D3532" w:rsidRPr="005D3532" w:rsidRDefault="005D3532" w:rsidP="007A4A8E">
            <w:pPr>
              <w:pStyle w:val="Normln1"/>
              <w:numPr>
                <w:ilvl w:val="0"/>
                <w:numId w:val="24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>napojení vlastního informačního systému (IS),</w:t>
            </w:r>
          </w:p>
          <w:p w14:paraId="13F92614" w14:textId="77777777" w:rsidR="005D3532" w:rsidRPr="005D3532" w:rsidRDefault="005D3532" w:rsidP="007A4A8E">
            <w:pPr>
              <w:pStyle w:val="Normln1"/>
              <w:numPr>
                <w:ilvl w:val="0"/>
                <w:numId w:val="24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 xml:space="preserve">napojení a udělení oprávnění na API/administrativní rozhraní </w:t>
            </w:r>
            <w:proofErr w:type="spellStart"/>
            <w:r w:rsidRPr="005D3532">
              <w:rPr>
                <w:rFonts w:ascii="Arial" w:eastAsia="Calibri" w:hAnsi="Arial" w:cs="Arial"/>
                <w:sz w:val="22"/>
                <w:szCs w:val="22"/>
              </w:rPr>
              <w:t>PostSignum</w:t>
            </w:r>
            <w:proofErr w:type="spellEnd"/>
            <w:r w:rsidRPr="005D3532">
              <w:rPr>
                <w:rFonts w:ascii="Arial" w:eastAsia="Calibri" w:hAnsi="Arial" w:cs="Arial"/>
                <w:sz w:val="22"/>
                <w:szCs w:val="22"/>
              </w:rPr>
              <w:t xml:space="preserve"> České pošty, </w:t>
            </w:r>
            <w:proofErr w:type="spellStart"/>
            <w:r w:rsidRPr="005D3532">
              <w:rPr>
                <w:rFonts w:ascii="Arial" w:eastAsia="Calibri" w:hAnsi="Arial" w:cs="Arial"/>
                <w:sz w:val="22"/>
                <w:szCs w:val="22"/>
              </w:rPr>
              <w:t>s.p</w:t>
            </w:r>
            <w:proofErr w:type="spellEnd"/>
            <w:r w:rsidRPr="005D3532">
              <w:rPr>
                <w:rFonts w:ascii="Arial" w:eastAsia="Calibri" w:hAnsi="Arial" w:cs="Arial"/>
                <w:sz w:val="22"/>
                <w:szCs w:val="22"/>
              </w:rPr>
              <w:t>.,</w:t>
            </w:r>
          </w:p>
          <w:p w14:paraId="58367BCC" w14:textId="77777777" w:rsidR="005D3532" w:rsidRPr="005D3532" w:rsidRDefault="005D3532" w:rsidP="007A4A8E">
            <w:pPr>
              <w:pStyle w:val="Normln1"/>
              <w:numPr>
                <w:ilvl w:val="0"/>
                <w:numId w:val="24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>potřebnou součinnost pro zajištění monitoringu služby</w:t>
            </w:r>
            <w:r w:rsidR="007A4A8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3D38133B" w14:textId="77777777" w:rsidR="005D3532" w:rsidRPr="005D3532" w:rsidRDefault="005D3532" w:rsidP="007A4A8E">
            <w:pPr>
              <w:pStyle w:val="Normln1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>Sdružení zajistí:</w:t>
            </w:r>
          </w:p>
          <w:p w14:paraId="2B469B45" w14:textId="77777777" w:rsidR="007A4A8E" w:rsidRPr="007A4A8E" w:rsidRDefault="005D3532" w:rsidP="007A4A8E">
            <w:pPr>
              <w:pStyle w:val="Normln1"/>
              <w:numPr>
                <w:ilvl w:val="0"/>
                <w:numId w:val="23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>kvalifikovaný prostředek pro vytváření elektronických podpisů, který bude použit pro uložení soukromých klíčů k certifikátům, uvedený na oficiálním seznamu EU kvalifikovaných prostředků, který se nachází na webové adrese:</w:t>
            </w:r>
          </w:p>
          <w:p w14:paraId="4EBF81EE" w14:textId="77777777" w:rsidR="005D3532" w:rsidRPr="005D3532" w:rsidRDefault="001C219C" w:rsidP="007A4A8E">
            <w:pPr>
              <w:pStyle w:val="Normln1"/>
              <w:spacing w:before="60"/>
              <w:ind w:left="714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5D3532" w:rsidRPr="005D3532">
                <w:rPr>
                  <w:rStyle w:val="Hypertextovodkaz"/>
                  <w:rFonts w:ascii="Arial" w:eastAsia="Calibri" w:hAnsi="Arial" w:cs="Arial"/>
                  <w:sz w:val="22"/>
                  <w:szCs w:val="22"/>
                </w:rPr>
                <w:t>https://ec.europa.eu/futurium/en/content/compilation-member-states-notification-sscds-and-qscds</w:t>
              </w:r>
            </w:hyperlink>
            <w:r w:rsidR="005D3532" w:rsidRPr="005D3532">
              <w:rPr>
                <w:rFonts w:ascii="Arial" w:eastAsia="Calibri" w:hAnsi="Arial" w:cs="Arial"/>
                <w:sz w:val="22"/>
                <w:szCs w:val="22"/>
              </w:rPr>
              <w:t>,</w:t>
            </w:r>
          </w:p>
          <w:p w14:paraId="23E85577" w14:textId="77777777" w:rsidR="005D3532" w:rsidRPr="005D3532" w:rsidRDefault="005D3532" w:rsidP="007A4A8E">
            <w:pPr>
              <w:pStyle w:val="Normln1"/>
              <w:numPr>
                <w:ilvl w:val="0"/>
                <w:numId w:val="23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 xml:space="preserve">správu certifikátu Účastníka vydaných certifikační autoritou </w:t>
            </w:r>
            <w:proofErr w:type="spellStart"/>
            <w:r w:rsidRPr="005D3532">
              <w:rPr>
                <w:rFonts w:ascii="Arial" w:eastAsia="Calibri" w:hAnsi="Arial" w:cs="Arial"/>
                <w:sz w:val="22"/>
                <w:szCs w:val="22"/>
              </w:rPr>
              <w:t>PostSignum</w:t>
            </w:r>
            <w:proofErr w:type="spellEnd"/>
            <w:r w:rsidRPr="005D3532">
              <w:rPr>
                <w:rFonts w:ascii="Arial" w:eastAsia="Calibri" w:hAnsi="Arial" w:cs="Arial"/>
                <w:sz w:val="22"/>
                <w:szCs w:val="22"/>
              </w:rPr>
              <w:t xml:space="preserve"> od České pošty, </w:t>
            </w:r>
            <w:proofErr w:type="spellStart"/>
            <w:r w:rsidRPr="005D3532">
              <w:rPr>
                <w:rFonts w:ascii="Arial" w:eastAsia="Calibri" w:hAnsi="Arial" w:cs="Arial"/>
                <w:sz w:val="22"/>
                <w:szCs w:val="22"/>
              </w:rPr>
              <w:t>s.p</w:t>
            </w:r>
            <w:proofErr w:type="spellEnd"/>
            <w:r w:rsidRPr="005D3532">
              <w:rPr>
                <w:rFonts w:ascii="Arial" w:eastAsia="Calibri" w:hAnsi="Arial" w:cs="Arial"/>
                <w:sz w:val="22"/>
                <w:szCs w:val="22"/>
              </w:rPr>
              <w:t>. prostřednictvím kvalifikovaného prostředku pro vzdálené podepisování,</w:t>
            </w:r>
          </w:p>
          <w:p w14:paraId="23236D14" w14:textId="77777777" w:rsidR="005D3532" w:rsidRPr="005D3532" w:rsidRDefault="005D3532" w:rsidP="007A4A8E">
            <w:pPr>
              <w:pStyle w:val="Normln1"/>
              <w:numPr>
                <w:ilvl w:val="0"/>
                <w:numId w:val="23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>nepřetržitý provoz služby s definovanými parametry (viz úroveň služeb),</w:t>
            </w:r>
          </w:p>
          <w:p w14:paraId="211C709C" w14:textId="77777777" w:rsidR="005D3532" w:rsidRPr="005D3532" w:rsidRDefault="005D3532" w:rsidP="007A4A8E">
            <w:pPr>
              <w:pStyle w:val="Normln1"/>
              <w:numPr>
                <w:ilvl w:val="0"/>
                <w:numId w:val="23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>pravidelnou aktualizaci, zabezpečení a monitoring služby,</w:t>
            </w:r>
          </w:p>
          <w:p w14:paraId="5B18CA11" w14:textId="77777777" w:rsidR="005D3532" w:rsidRPr="005D3532" w:rsidRDefault="005D3532" w:rsidP="007A4A8E">
            <w:pPr>
              <w:pStyle w:val="Normln1"/>
              <w:numPr>
                <w:ilvl w:val="0"/>
                <w:numId w:val="23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>kompletní dokumentaci k aplikačnímu a API rozhraní,</w:t>
            </w:r>
          </w:p>
          <w:p w14:paraId="610CCD42" w14:textId="77777777" w:rsidR="005D3532" w:rsidRPr="005D3532" w:rsidRDefault="005D3532" w:rsidP="007A4A8E">
            <w:pPr>
              <w:pStyle w:val="Normln1"/>
              <w:numPr>
                <w:ilvl w:val="0"/>
                <w:numId w:val="23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>testovací prostředí pro vývojáře informačních systémů,</w:t>
            </w:r>
          </w:p>
          <w:p w14:paraId="432B4A13" w14:textId="77777777" w:rsidR="005D3532" w:rsidRPr="005D3532" w:rsidRDefault="005D3532" w:rsidP="007A4A8E">
            <w:pPr>
              <w:pStyle w:val="Normln1"/>
              <w:numPr>
                <w:ilvl w:val="0"/>
                <w:numId w:val="23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>zpřístupnění auditním logům systému na vyžádání.</w:t>
            </w:r>
          </w:p>
        </w:tc>
      </w:tr>
      <w:tr w:rsidR="00072555" w:rsidRPr="00072555" w14:paraId="5ABEE260" w14:textId="77777777" w:rsidTr="00D90249">
        <w:tc>
          <w:tcPr>
            <w:tcW w:w="450" w:type="dxa"/>
            <w:shd w:val="clear" w:color="auto" w:fill="D9D9D9"/>
          </w:tcPr>
          <w:p w14:paraId="29DA31E0" w14:textId="77777777" w:rsidR="00072555" w:rsidRPr="00072555" w:rsidRDefault="00072555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2555">
              <w:rPr>
                <w:rFonts w:ascii="Arial" w:hAnsi="Arial" w:cs="Arial"/>
                <w:sz w:val="22"/>
                <w:szCs w:val="22"/>
              </w:rPr>
              <w:t>F.</w:t>
            </w:r>
          </w:p>
        </w:tc>
        <w:tc>
          <w:tcPr>
            <w:tcW w:w="1756" w:type="dxa"/>
            <w:shd w:val="clear" w:color="auto" w:fill="D9D9D9"/>
          </w:tcPr>
          <w:p w14:paraId="32B819F2" w14:textId="77777777" w:rsidR="00072555" w:rsidRPr="00072555" w:rsidRDefault="00072555" w:rsidP="007A4A8E">
            <w:pPr>
              <w:spacing w:before="6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bCs/>
                <w:sz w:val="22"/>
                <w:szCs w:val="22"/>
              </w:rPr>
              <w:t>Organizační podmínky provozu služby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C81BE6" w14:textId="77777777" w:rsidR="00072555" w:rsidRPr="00072555" w:rsidRDefault="00072555" w:rsidP="007A4A8E">
            <w:pPr>
              <w:pStyle w:val="Normln1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>Účastník zajistí:</w:t>
            </w:r>
          </w:p>
          <w:p w14:paraId="26E32F3B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>Nezbytnou součinnost pro implementaci, nasazení a provoz služby dle pokynů Sdružení.</w:t>
            </w:r>
          </w:p>
          <w:p w14:paraId="7497BAC1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>Uzavření smlouvy o poskytování certifikačních služeb 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PostSignum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72555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s Česká pošta, 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s.p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>., vydání komerčního serverového certifikátu a zřízení webové služby.</w:t>
            </w:r>
          </w:p>
          <w:p w14:paraId="7BE47386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Přístup pro Sdružení do zákaznického (administrativního) portálu 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Postsignum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 QCA.</w:t>
            </w:r>
          </w:p>
          <w:p w14:paraId="0630CDCD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>Nastavení tzv. hospodářských středisek v systému a stanovení odpovědných osob pro správu.</w:t>
            </w:r>
          </w:p>
          <w:p w14:paraId="1953D72A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Seznámení se s certifikační politikou 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PostSignum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 QCA pro kvalifikované certifikáty pro elektronický podpis, která je dostupná na webových stránkách poskytovatele </w:t>
            </w:r>
            <w:hyperlink r:id="rId9" w:history="1">
              <w:r w:rsidRPr="00072555">
                <w:rPr>
                  <w:rStyle w:val="Hypertextovodkaz"/>
                  <w:rFonts w:ascii="Arial" w:eastAsia="Calibri" w:hAnsi="Arial" w:cs="Arial"/>
                  <w:sz w:val="22"/>
                  <w:szCs w:val="22"/>
                </w:rPr>
                <w:t>www.postsignum.cz</w:t>
              </w:r>
            </w:hyperlink>
            <w:r w:rsidRPr="00072555">
              <w:rPr>
                <w:rFonts w:ascii="Arial" w:eastAsia="Calibri" w:hAnsi="Arial" w:cs="Arial"/>
                <w:sz w:val="22"/>
                <w:szCs w:val="22"/>
              </w:rPr>
              <w:t>, a při žádosti o uvedený certifikát bude postupovat v souladu s touto certifikační politikou.</w:t>
            </w:r>
          </w:p>
          <w:p w14:paraId="407227BF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Proškolí a seznámí své uživatele s certifikační politikou 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PostSignum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 QCA pro kvalifikované certifikáty pro elektronický podpis, resp. je poučí o právních aspektech využívání služby. </w:t>
            </w:r>
          </w:p>
          <w:p w14:paraId="766B9AC8" w14:textId="77777777" w:rsidR="00072555" w:rsidRPr="00072555" w:rsidRDefault="00072555" w:rsidP="007A4A8E">
            <w:pPr>
              <w:pStyle w:val="Normln1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>Pokyny Sdružení pro implementaci, nasazení a provoz jsou dostupné na </w:t>
            </w:r>
            <w:hyperlink r:id="rId10" w:history="1">
              <w:r w:rsidRPr="00072555">
                <w:rPr>
                  <w:rStyle w:val="Hypertextovodkaz"/>
                  <w:rFonts w:ascii="Arial" w:eastAsia="Calibri" w:hAnsi="Arial" w:cs="Arial"/>
                  <w:sz w:val="22"/>
                  <w:szCs w:val="22"/>
                </w:rPr>
                <w:t>https://eidas.cesnet.cz/cs/members/jak_se_pripojit</w:t>
              </w:r>
            </w:hyperlink>
            <w:r w:rsidRPr="00072555">
              <w:rPr>
                <w:rFonts w:ascii="Arial" w:eastAsia="Calibri" w:hAnsi="Arial" w:cs="Arial"/>
                <w:sz w:val="22"/>
                <w:szCs w:val="22"/>
              </w:rPr>
              <w:t>. Uživatel bere na vědomí, že v průběhu trvání Smlouvy může dojít ke změně těchto pokynů, o které bude Uživatel Sdružením informován. Uživatel se zavazuje bez zbytečného odkladu poskytnout součinnost k implementaci nových pokynů.</w:t>
            </w:r>
          </w:p>
          <w:p w14:paraId="191DE70A" w14:textId="77777777" w:rsidR="00072555" w:rsidRPr="00072555" w:rsidRDefault="00072555" w:rsidP="007A4A8E">
            <w:pPr>
              <w:pStyle w:val="Normln1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Sdružení zajistí: </w:t>
            </w:r>
          </w:p>
          <w:p w14:paraId="2B353231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>Implementační podporu (konzultace) k připojení jednoho strojového rozhraní účastníka v maximálním rozsahu 8 hodin;</w:t>
            </w:r>
          </w:p>
          <w:p w14:paraId="32D3472F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>provozní podporu (konzultace) v maximálním rozsahu 8 hodin;</w:t>
            </w:r>
          </w:p>
          <w:p w14:paraId="6E5EB78E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>aplikační podporu v režimu NBD (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Next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 business 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day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>) v provozní době (9–16 hod);</w:t>
            </w:r>
          </w:p>
          <w:p w14:paraId="42B4A87D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>základní školení systému;</w:t>
            </w:r>
          </w:p>
          <w:p w14:paraId="27B09E73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nepřetržitá dostupnost 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Service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Desk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 (24x7x365) pro hlášení výpadků a nedostupnosti služeb.</w:t>
            </w:r>
          </w:p>
          <w:p w14:paraId="3DBB6FDA" w14:textId="77777777" w:rsidR="00072555" w:rsidRPr="00072555" w:rsidRDefault="00072555" w:rsidP="007A4A8E">
            <w:pPr>
              <w:pStyle w:val="Normln1"/>
              <w:spacing w:before="12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72555">
              <w:rPr>
                <w:rFonts w:ascii="Arial" w:hAnsi="Arial" w:cs="Arial"/>
                <w:sz w:val="22"/>
                <w:szCs w:val="22"/>
              </w:rPr>
              <w:t>Vývojové a implementační práce na straně informačních systémů účastníka není součástí podpory. Účastník si tyto práce zajistí sám, resp. zajistí s dodavatelem svého informačního systému, nebo jiným způsobem.</w:t>
            </w:r>
          </w:p>
        </w:tc>
      </w:tr>
      <w:tr w:rsidR="00072555" w:rsidRPr="00072555" w14:paraId="6F6265F7" w14:textId="77777777" w:rsidTr="00D90249">
        <w:tc>
          <w:tcPr>
            <w:tcW w:w="450" w:type="dxa"/>
            <w:shd w:val="clear" w:color="auto" w:fill="D9D9D9"/>
          </w:tcPr>
          <w:p w14:paraId="67FF5118" w14:textId="77777777" w:rsidR="00072555" w:rsidRPr="00072555" w:rsidRDefault="00072555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G.</w:t>
            </w:r>
          </w:p>
        </w:tc>
        <w:tc>
          <w:tcPr>
            <w:tcW w:w="1756" w:type="dxa"/>
            <w:shd w:val="clear" w:color="auto" w:fill="D9D9D9"/>
          </w:tcPr>
          <w:p w14:paraId="48D6E5DA" w14:textId="77777777" w:rsidR="00072555" w:rsidRPr="00072555" w:rsidRDefault="00072555" w:rsidP="007A4A8E">
            <w:pPr>
              <w:spacing w:before="6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Exit </w:t>
            </w:r>
            <w:proofErr w:type="spellStart"/>
            <w:r w:rsidRPr="00072555">
              <w:rPr>
                <w:rFonts w:ascii="Arial" w:eastAsia="Calibri" w:hAnsi="Arial" w:cs="Arial"/>
                <w:bCs/>
                <w:sz w:val="22"/>
                <w:szCs w:val="22"/>
              </w:rPr>
              <w:t>strategy</w:t>
            </w:r>
            <w:proofErr w:type="spellEnd"/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3CB7C1" w14:textId="77777777" w:rsidR="00072555" w:rsidRPr="00072555" w:rsidRDefault="00072555" w:rsidP="007A4A8E">
            <w:pPr>
              <w:pStyle w:val="Normln1"/>
              <w:spacing w:before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Účastník bere na vědomí, že v případě ukončení poskytování Služby dle této Dílčí specifikace Účastník ztratí přístup ke kvalifikovanému prostředku HSM. Účastník je povinen neprodleně zamezit přístupu Sdružení do klientského portálu 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PostSignum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 QCA. Sdružení se zavazuje vydat účastníku příslušná uživatelská data, a to ve lhůtě do dvou měsíců od ukončení Služby. Účastník je povinen k tomu poskytnout potřebnou součinnost. Účastník bere na vědomí, že po uplynutí lhůty šesti měsíců od ukončení poskytování Služby dle této Dílčí specifikace, budou uživatelská data smazána.</w:t>
            </w:r>
          </w:p>
        </w:tc>
      </w:tr>
      <w:tr w:rsidR="003F144D" w:rsidRPr="009B09EE" w14:paraId="7C1F8A3F" w14:textId="77777777" w:rsidTr="00D90249">
        <w:trPr>
          <w:trHeight w:val="252"/>
        </w:trPr>
        <w:tc>
          <w:tcPr>
            <w:tcW w:w="450" w:type="dxa"/>
            <w:vMerge w:val="restart"/>
            <w:shd w:val="clear" w:color="auto" w:fill="D9D9D9"/>
          </w:tcPr>
          <w:p w14:paraId="2CEEA280" w14:textId="77777777" w:rsidR="003F144D" w:rsidRPr="009B09EE" w:rsidRDefault="009B1259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3F144D" w:rsidRPr="009B09E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56" w:type="dxa"/>
            <w:vMerge w:val="restart"/>
            <w:shd w:val="clear" w:color="auto" w:fill="D9D9D9"/>
          </w:tcPr>
          <w:p w14:paraId="59DCE662" w14:textId="77777777" w:rsidR="003F144D" w:rsidRPr="009B09EE" w:rsidRDefault="003F144D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Technické kontakty</w:t>
            </w:r>
          </w:p>
        </w:tc>
        <w:tc>
          <w:tcPr>
            <w:tcW w:w="2047" w:type="dxa"/>
            <w:shd w:val="clear" w:color="auto" w:fill="D9D9D9"/>
          </w:tcPr>
          <w:p w14:paraId="0A7F2E4C" w14:textId="77777777" w:rsidR="003F144D" w:rsidRPr="009B09EE" w:rsidRDefault="003F144D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Sdružení:</w:t>
            </w:r>
          </w:p>
        </w:tc>
        <w:tc>
          <w:tcPr>
            <w:tcW w:w="5601" w:type="dxa"/>
            <w:gridSpan w:val="2"/>
            <w:shd w:val="clear" w:color="auto" w:fill="auto"/>
          </w:tcPr>
          <w:p w14:paraId="4C1FD447" w14:textId="77777777" w:rsidR="003F144D" w:rsidRPr="009B09EE" w:rsidRDefault="007A4A8E" w:rsidP="007A4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E-mail: </w:t>
            </w:r>
            <w:hyperlink r:id="rId11" w:history="1">
              <w:r w:rsidRPr="00257D6D">
                <w:rPr>
                  <w:rStyle w:val="Hypertextovodkaz"/>
                  <w:rFonts w:ascii="Arial" w:eastAsia="Calibri" w:hAnsi="Arial" w:cs="Arial"/>
                  <w:sz w:val="22"/>
                  <w:szCs w:val="22"/>
                </w:rPr>
                <w:t>eidas@cesnet.cz</w:t>
              </w:r>
            </w:hyperlink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3F144D" w:rsidRPr="009B09E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3F144D" w:rsidRPr="009B09EE" w14:paraId="04F7BEC3" w14:textId="77777777" w:rsidTr="00D90249">
        <w:trPr>
          <w:trHeight w:val="252"/>
        </w:trPr>
        <w:tc>
          <w:tcPr>
            <w:tcW w:w="450" w:type="dxa"/>
            <w:vMerge/>
            <w:shd w:val="clear" w:color="auto" w:fill="D9D9D9"/>
          </w:tcPr>
          <w:p w14:paraId="610786A6" w14:textId="77777777" w:rsidR="003F144D" w:rsidRPr="009B09EE" w:rsidRDefault="003F144D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D9D9D9"/>
          </w:tcPr>
          <w:p w14:paraId="78C58091" w14:textId="77777777" w:rsidR="003F144D" w:rsidRPr="009B09EE" w:rsidRDefault="003F144D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D9D9D9"/>
          </w:tcPr>
          <w:p w14:paraId="4BE23AF4" w14:textId="77777777" w:rsidR="003F144D" w:rsidRPr="009B09EE" w:rsidRDefault="003F144D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Účastník:</w:t>
            </w:r>
          </w:p>
        </w:tc>
        <w:tc>
          <w:tcPr>
            <w:tcW w:w="5601" w:type="dxa"/>
            <w:gridSpan w:val="2"/>
            <w:shd w:val="clear" w:color="auto" w:fill="auto"/>
          </w:tcPr>
          <w:p w14:paraId="40FC7B48" w14:textId="77777777" w:rsidR="00107C98" w:rsidRPr="00107C98" w:rsidRDefault="00107C98" w:rsidP="00107C98">
            <w:pPr>
              <w:pStyle w:val="Normln1"/>
              <w:spacing w:before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07C98">
              <w:rPr>
                <w:rFonts w:ascii="Arial" w:eastAsia="Calibri" w:hAnsi="Arial" w:cs="Arial"/>
                <w:sz w:val="22"/>
                <w:szCs w:val="22"/>
              </w:rPr>
              <w:t xml:space="preserve">Jméno: </w:t>
            </w:r>
            <w:proofErr w:type="spellStart"/>
            <w:r w:rsidRPr="00107C98">
              <w:rPr>
                <w:rFonts w:ascii="Arial" w:eastAsia="Calibri" w:hAnsi="Arial" w:cs="Arial"/>
                <w:sz w:val="22"/>
                <w:szCs w:val="22"/>
                <w:highlight w:val="yellow"/>
              </w:rPr>
              <w:t>xxx</w:t>
            </w:r>
            <w:proofErr w:type="spellEnd"/>
            <w:r w:rsidRPr="00107C98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31124E6D" w14:textId="77777777" w:rsidR="00107C98" w:rsidRPr="00107C98" w:rsidRDefault="00107C98" w:rsidP="00107C98">
            <w:pPr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107C98">
              <w:rPr>
                <w:rFonts w:ascii="Arial" w:eastAsia="Calibri" w:hAnsi="Arial" w:cs="Arial"/>
                <w:sz w:val="22"/>
                <w:szCs w:val="22"/>
              </w:rPr>
              <w:t xml:space="preserve">Tel.: </w:t>
            </w:r>
            <w:proofErr w:type="spellStart"/>
            <w:r w:rsidRPr="00107C98">
              <w:rPr>
                <w:rFonts w:ascii="Arial" w:eastAsia="Calibri" w:hAnsi="Arial" w:cs="Arial"/>
                <w:sz w:val="22"/>
                <w:szCs w:val="22"/>
                <w:highlight w:val="yellow"/>
              </w:rPr>
              <w:t>xxx</w:t>
            </w:r>
            <w:proofErr w:type="spellEnd"/>
            <w:r w:rsidRPr="00107C98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26577A33" w14:textId="77777777" w:rsidR="003F144D" w:rsidRPr="009B09EE" w:rsidRDefault="00107C98" w:rsidP="00107C98">
            <w:pPr>
              <w:pStyle w:val="Normln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07C98">
              <w:rPr>
                <w:rFonts w:ascii="Arial" w:eastAsia="Calibri" w:hAnsi="Arial" w:cs="Arial"/>
                <w:sz w:val="22"/>
                <w:szCs w:val="22"/>
              </w:rPr>
              <w:t xml:space="preserve">E-mail: </w:t>
            </w:r>
            <w:proofErr w:type="spellStart"/>
            <w:r w:rsidRPr="00107C98">
              <w:rPr>
                <w:rFonts w:ascii="Arial" w:eastAsia="Calibri" w:hAnsi="Arial" w:cs="Arial"/>
                <w:sz w:val="22"/>
                <w:szCs w:val="22"/>
                <w:highlight w:val="yellow"/>
              </w:rPr>
              <w:t>xxx</w:t>
            </w:r>
            <w:proofErr w:type="spellEnd"/>
          </w:p>
        </w:tc>
      </w:tr>
      <w:tr w:rsidR="003F144D" w:rsidRPr="009B09EE" w14:paraId="589589BA" w14:textId="77777777" w:rsidTr="00D90249">
        <w:tc>
          <w:tcPr>
            <w:tcW w:w="450" w:type="dxa"/>
            <w:shd w:val="clear" w:color="auto" w:fill="D9D9D9"/>
          </w:tcPr>
          <w:p w14:paraId="2F5DF637" w14:textId="77777777" w:rsidR="003F144D" w:rsidRPr="009B09EE" w:rsidRDefault="009B1259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3F144D" w:rsidRPr="009B09E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56" w:type="dxa"/>
            <w:shd w:val="clear" w:color="auto" w:fill="D9D9D9"/>
          </w:tcPr>
          <w:p w14:paraId="42BB585F" w14:textId="77777777" w:rsidR="003F144D" w:rsidRPr="009B09EE" w:rsidRDefault="003F144D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Datum zahájení služby</w:t>
            </w:r>
          </w:p>
        </w:tc>
        <w:tc>
          <w:tcPr>
            <w:tcW w:w="7648" w:type="dxa"/>
            <w:gridSpan w:val="3"/>
            <w:shd w:val="clear" w:color="auto" w:fill="auto"/>
          </w:tcPr>
          <w:p w14:paraId="283A1DCA" w14:textId="77777777" w:rsidR="003F144D" w:rsidRPr="007F7F09" w:rsidRDefault="00B82F5D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B3D0A">
              <w:rPr>
                <w:rFonts w:ascii="Arial" w:hAnsi="Arial" w:cs="Arial"/>
                <w:sz w:val="22"/>
                <w:szCs w:val="22"/>
              </w:rPr>
              <w:t>Na základě akceptačního protokolu</w:t>
            </w:r>
          </w:p>
        </w:tc>
      </w:tr>
      <w:tr w:rsidR="003F144D" w:rsidRPr="009B09EE" w14:paraId="1B20ECCC" w14:textId="77777777" w:rsidTr="00D90249">
        <w:tc>
          <w:tcPr>
            <w:tcW w:w="450" w:type="dxa"/>
            <w:shd w:val="clear" w:color="auto" w:fill="D9D9D9"/>
          </w:tcPr>
          <w:p w14:paraId="7BD17903" w14:textId="77777777" w:rsidR="003F144D" w:rsidRPr="009B09EE" w:rsidRDefault="009B1259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J</w:t>
            </w:r>
            <w:r w:rsidR="003F144D" w:rsidRPr="009B09E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56" w:type="dxa"/>
            <w:shd w:val="clear" w:color="auto" w:fill="D9D9D9"/>
          </w:tcPr>
          <w:p w14:paraId="2E1C5D21" w14:textId="77777777" w:rsidR="003F144D" w:rsidRPr="009B09EE" w:rsidRDefault="003F144D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Doba poskytování služby</w:t>
            </w:r>
          </w:p>
        </w:tc>
        <w:tc>
          <w:tcPr>
            <w:tcW w:w="7648" w:type="dxa"/>
            <w:gridSpan w:val="3"/>
            <w:shd w:val="clear" w:color="auto" w:fill="auto"/>
          </w:tcPr>
          <w:p w14:paraId="112D8A57" w14:textId="77777777" w:rsidR="003F144D" w:rsidRPr="009B09EE" w:rsidRDefault="003F144D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 xml:space="preserve">Na dobu neurčitou s výpovědní dobou </w:t>
            </w:r>
            <w:r w:rsidR="00261909">
              <w:rPr>
                <w:rFonts w:ascii="Arial" w:hAnsi="Arial" w:cs="Arial"/>
                <w:sz w:val="22"/>
                <w:szCs w:val="22"/>
              </w:rPr>
              <w:t>2</w:t>
            </w:r>
            <w:r w:rsidRPr="009B09EE">
              <w:rPr>
                <w:rFonts w:ascii="Arial" w:hAnsi="Arial" w:cs="Arial"/>
                <w:sz w:val="22"/>
                <w:szCs w:val="22"/>
              </w:rPr>
              <w:t xml:space="preserve"> měsíce; výpovědní doba začíná běžet prvním dnem kalendářního měsíce následujícího po doručení výpovědi druhé straně. </w:t>
            </w:r>
          </w:p>
        </w:tc>
      </w:tr>
      <w:tr w:rsidR="00B82F5D" w:rsidRPr="009B09EE" w14:paraId="54FDBB53" w14:textId="77777777" w:rsidTr="00B82F5D">
        <w:trPr>
          <w:trHeight w:val="107"/>
        </w:trPr>
        <w:tc>
          <w:tcPr>
            <w:tcW w:w="450" w:type="dxa"/>
            <w:vMerge w:val="restart"/>
            <w:shd w:val="clear" w:color="auto" w:fill="D9D9D9"/>
          </w:tcPr>
          <w:p w14:paraId="592902A2" w14:textId="77777777" w:rsidR="00B82F5D" w:rsidRPr="009B1259" w:rsidRDefault="009B1259" w:rsidP="007A4A8E">
            <w:pPr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B1259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B82F5D" w:rsidRPr="009B125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756" w:type="dxa"/>
            <w:vMerge w:val="restart"/>
            <w:shd w:val="clear" w:color="auto" w:fill="D9D9D9"/>
          </w:tcPr>
          <w:p w14:paraId="1556E75B" w14:textId="77777777" w:rsidR="00B82F5D" w:rsidRPr="009B09EE" w:rsidRDefault="00B82F5D" w:rsidP="007A4A8E">
            <w:pPr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09EE">
              <w:rPr>
                <w:rFonts w:ascii="Arial" w:hAnsi="Arial" w:cs="Arial"/>
                <w:b/>
                <w:bCs/>
                <w:sz w:val="22"/>
                <w:szCs w:val="22"/>
              </w:rPr>
              <w:t>Cena celkem *</w:t>
            </w:r>
          </w:p>
        </w:tc>
        <w:tc>
          <w:tcPr>
            <w:tcW w:w="4002" w:type="dxa"/>
            <w:gridSpan w:val="2"/>
            <w:shd w:val="clear" w:color="auto" w:fill="D9D9D9"/>
          </w:tcPr>
          <w:p w14:paraId="41F6541E" w14:textId="77777777" w:rsidR="00B82F5D" w:rsidRPr="009B09EE" w:rsidRDefault="00B82F5D" w:rsidP="007A4A8E">
            <w:pPr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09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Měsíční poplatek: </w:t>
            </w:r>
          </w:p>
        </w:tc>
        <w:tc>
          <w:tcPr>
            <w:tcW w:w="3646" w:type="dxa"/>
            <w:shd w:val="clear" w:color="auto" w:fill="auto"/>
          </w:tcPr>
          <w:p w14:paraId="2205D65F" w14:textId="77777777" w:rsidR="00B82F5D" w:rsidRPr="005B1CA4" w:rsidRDefault="005B1CA4" w:rsidP="007A4A8E">
            <w:pPr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1CA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7 500</w:t>
            </w:r>
            <w:r w:rsidR="00B82F5D" w:rsidRPr="005B1CA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,- </w:t>
            </w:r>
            <w:r w:rsidR="00B82F5D" w:rsidRPr="005B1CA4">
              <w:rPr>
                <w:rFonts w:ascii="Arial" w:hAnsi="Arial" w:cs="Arial"/>
                <w:b/>
                <w:bCs/>
                <w:sz w:val="22"/>
                <w:szCs w:val="22"/>
              </w:rPr>
              <w:t>Kč bez DPH</w:t>
            </w:r>
          </w:p>
        </w:tc>
      </w:tr>
      <w:tr w:rsidR="00B82F5D" w:rsidRPr="009B09EE" w14:paraId="2E0C5993" w14:textId="77777777" w:rsidTr="00D90249">
        <w:trPr>
          <w:trHeight w:val="106"/>
        </w:trPr>
        <w:tc>
          <w:tcPr>
            <w:tcW w:w="450" w:type="dxa"/>
            <w:vMerge/>
            <w:shd w:val="clear" w:color="auto" w:fill="D9D9D9"/>
          </w:tcPr>
          <w:p w14:paraId="25083D90" w14:textId="77777777" w:rsidR="00B82F5D" w:rsidRPr="009B09EE" w:rsidRDefault="00B82F5D" w:rsidP="007A4A8E">
            <w:pPr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D9D9D9"/>
          </w:tcPr>
          <w:p w14:paraId="482E920E" w14:textId="77777777" w:rsidR="00B82F5D" w:rsidRPr="009B09EE" w:rsidRDefault="00B82F5D" w:rsidP="007A4A8E">
            <w:pPr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2" w:type="dxa"/>
            <w:gridSpan w:val="2"/>
            <w:shd w:val="clear" w:color="auto" w:fill="D9D9D9"/>
          </w:tcPr>
          <w:p w14:paraId="3DA60DA2" w14:textId="77777777" w:rsidR="00B82F5D" w:rsidRPr="009B09EE" w:rsidRDefault="00B82F5D" w:rsidP="007A4A8E">
            <w:pPr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Zřizovací poplatek:</w:t>
            </w:r>
          </w:p>
        </w:tc>
        <w:tc>
          <w:tcPr>
            <w:tcW w:w="3646" w:type="dxa"/>
            <w:shd w:val="clear" w:color="auto" w:fill="auto"/>
          </w:tcPr>
          <w:p w14:paraId="2665E4EF" w14:textId="77777777" w:rsidR="00B82F5D" w:rsidRPr="005B1CA4" w:rsidRDefault="005B1CA4" w:rsidP="007A4A8E">
            <w:pPr>
              <w:spacing w:before="6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B1CA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230 996</w:t>
            </w:r>
            <w:r w:rsidR="00B82F5D" w:rsidRPr="005B1CA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,- </w:t>
            </w:r>
            <w:r w:rsidR="00B82F5D" w:rsidRPr="005B1CA4">
              <w:rPr>
                <w:rFonts w:ascii="Arial" w:hAnsi="Arial" w:cs="Arial"/>
                <w:b/>
                <w:bCs/>
                <w:sz w:val="22"/>
                <w:szCs w:val="22"/>
              </w:rPr>
              <w:t>Kč bez DPH</w:t>
            </w:r>
          </w:p>
        </w:tc>
      </w:tr>
      <w:tr w:rsidR="003F144D" w:rsidRPr="009B09EE" w14:paraId="08BDADD6" w14:textId="77777777" w:rsidTr="00D90249">
        <w:trPr>
          <w:trHeight w:val="42"/>
        </w:trPr>
        <w:tc>
          <w:tcPr>
            <w:tcW w:w="450" w:type="dxa"/>
            <w:shd w:val="clear" w:color="auto" w:fill="D9D9D9"/>
          </w:tcPr>
          <w:p w14:paraId="2AD53173" w14:textId="77777777" w:rsidR="003F144D" w:rsidRPr="009B09EE" w:rsidRDefault="009B1259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3F144D" w:rsidRPr="009B09E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56" w:type="dxa"/>
            <w:shd w:val="clear" w:color="auto" w:fill="D9D9D9"/>
          </w:tcPr>
          <w:p w14:paraId="4FD6C279" w14:textId="77777777" w:rsidR="003F144D" w:rsidRPr="009B09EE" w:rsidRDefault="003F144D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Platební podmínky</w:t>
            </w:r>
          </w:p>
        </w:tc>
        <w:tc>
          <w:tcPr>
            <w:tcW w:w="7648" w:type="dxa"/>
            <w:gridSpan w:val="3"/>
            <w:shd w:val="clear" w:color="auto" w:fill="auto"/>
          </w:tcPr>
          <w:p w14:paraId="7CEF708C" w14:textId="77777777" w:rsidR="003F144D" w:rsidRPr="009B09EE" w:rsidRDefault="003F144D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Dle Smlouvy</w:t>
            </w:r>
          </w:p>
        </w:tc>
      </w:tr>
      <w:tr w:rsidR="002B67C3" w:rsidRPr="002B67C3" w14:paraId="17D1B27C" w14:textId="77777777" w:rsidTr="00D90249">
        <w:trPr>
          <w:trHeight w:val="42"/>
        </w:trPr>
        <w:tc>
          <w:tcPr>
            <w:tcW w:w="450" w:type="dxa"/>
            <w:shd w:val="clear" w:color="auto" w:fill="D9D9D9"/>
          </w:tcPr>
          <w:p w14:paraId="6FC2B1B2" w14:textId="77777777" w:rsidR="002B67C3" w:rsidRPr="002B67C3" w:rsidRDefault="002B67C3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7C3">
              <w:rPr>
                <w:rFonts w:ascii="Arial" w:hAnsi="Arial" w:cs="Arial"/>
                <w:sz w:val="22"/>
                <w:szCs w:val="22"/>
              </w:rPr>
              <w:t>M.</w:t>
            </w:r>
          </w:p>
        </w:tc>
        <w:tc>
          <w:tcPr>
            <w:tcW w:w="1756" w:type="dxa"/>
            <w:shd w:val="clear" w:color="auto" w:fill="D9D9D9"/>
          </w:tcPr>
          <w:p w14:paraId="1B27FA65" w14:textId="77777777" w:rsidR="002B67C3" w:rsidRPr="002B67C3" w:rsidRDefault="002B67C3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7C3">
              <w:rPr>
                <w:rFonts w:ascii="Arial" w:hAnsi="Arial" w:cs="Arial"/>
                <w:sz w:val="22"/>
                <w:szCs w:val="22"/>
              </w:rPr>
              <w:t>Smluvní úroveň služeb</w:t>
            </w:r>
          </w:p>
        </w:tc>
        <w:tc>
          <w:tcPr>
            <w:tcW w:w="7648" w:type="dxa"/>
            <w:gridSpan w:val="3"/>
            <w:shd w:val="clear" w:color="auto" w:fill="auto"/>
          </w:tcPr>
          <w:p w14:paraId="67BDAA90" w14:textId="77777777" w:rsidR="002B67C3" w:rsidRPr="002B67C3" w:rsidRDefault="002B67C3" w:rsidP="007A4A8E">
            <w:pPr>
              <w:jc w:val="both"/>
              <w:rPr>
                <w:rFonts w:ascii="Arial" w:hAnsi="Arial" w:cs="Arial"/>
              </w:rPr>
            </w:pPr>
            <w:r w:rsidRPr="002B67C3">
              <w:rPr>
                <w:rFonts w:ascii="Arial" w:hAnsi="Arial" w:cs="Arial"/>
                <w:sz w:val="22"/>
                <w:szCs w:val="22"/>
              </w:rPr>
              <w:t>Sdružení se zavazuje učinit maximum pro kontinuální a nepřetržité poskytování Služby podle této Dílčí specifikace. S ohledem na charakter služby se smluvní strany dohodly na níže uvedených podmínkách</w:t>
            </w:r>
            <w:bookmarkStart w:id="0" w:name="_Ref506890591"/>
            <w:r w:rsidRPr="002B67C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454727" w14:textId="77777777" w:rsidR="002B67C3" w:rsidRPr="002B67C3" w:rsidRDefault="002B67C3" w:rsidP="007A4A8E">
            <w:pPr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B67C3">
              <w:rPr>
                <w:rFonts w:ascii="Arial" w:eastAsia="Calibri" w:hAnsi="Arial" w:cs="Arial"/>
                <w:sz w:val="22"/>
                <w:szCs w:val="22"/>
              </w:rPr>
              <w:t>Nebude-li moci Sdružení poskytnout služby podle této Dílčí specifikace po více než 4 hodiny za kalendářní den, je účastník oprávněn požádat o slevu odpovídající jedné devadesátině čtvrtletní ceny za každý takový den. Do doby nedostupnosti se nezapočítává technologická odstávka nahlášená na technický kontakt Účastníka minimálně 10 dnů před začátkem technologické odstávky v maximálním rozsahu 4x ročně.</w:t>
            </w:r>
          </w:p>
          <w:p w14:paraId="66C79222" w14:textId="77777777" w:rsidR="007A4A8E" w:rsidRDefault="002B67C3" w:rsidP="007A4A8E">
            <w:pPr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B67C3">
              <w:rPr>
                <w:rFonts w:ascii="Arial" w:eastAsia="Calibri" w:hAnsi="Arial" w:cs="Arial"/>
                <w:sz w:val="22"/>
                <w:szCs w:val="22"/>
              </w:rPr>
              <w:t xml:space="preserve">Uvedené výpadky služeb se počítají od okamžiku, kdy je Účastník prokazatelně ohlásí Sdružení na </w:t>
            </w:r>
            <w:proofErr w:type="spellStart"/>
            <w:r w:rsidRPr="002B67C3">
              <w:rPr>
                <w:rFonts w:ascii="Arial" w:eastAsia="Calibri" w:hAnsi="Arial" w:cs="Arial"/>
                <w:sz w:val="22"/>
                <w:szCs w:val="22"/>
              </w:rPr>
              <w:t>Service</w:t>
            </w:r>
            <w:proofErr w:type="spellEnd"/>
            <w:r w:rsidRPr="002B67C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B67C3">
              <w:rPr>
                <w:rFonts w:ascii="Arial" w:eastAsia="Calibri" w:hAnsi="Arial" w:cs="Arial"/>
                <w:sz w:val="22"/>
                <w:szCs w:val="22"/>
              </w:rPr>
              <w:t>desk</w:t>
            </w:r>
            <w:proofErr w:type="spellEnd"/>
            <w:r w:rsidRPr="002B67C3">
              <w:rPr>
                <w:rFonts w:ascii="Arial" w:eastAsia="Calibri" w:hAnsi="Arial" w:cs="Arial"/>
                <w:sz w:val="22"/>
                <w:szCs w:val="22"/>
              </w:rPr>
              <w:t xml:space="preserve"> CESNET. Požadavek na slevu může Účastník uplatnit u Sdružení nejpozději během následujícího měsíce od okamžiku, kdy došlo k obnovení služby, a to maximálně do výše 100 % ceny za příslušnou Službu. </w:t>
            </w:r>
          </w:p>
          <w:p w14:paraId="113E2302" w14:textId="77777777" w:rsidR="002B67C3" w:rsidRPr="007A4A8E" w:rsidRDefault="002B67C3" w:rsidP="007A4A8E">
            <w:pPr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A4A8E">
              <w:rPr>
                <w:rFonts w:ascii="Arial" w:eastAsia="Calibri" w:hAnsi="Arial" w:cs="Arial"/>
                <w:sz w:val="22"/>
                <w:szCs w:val="22"/>
              </w:rPr>
              <w:t>Sdružení neodpovídá za jakoukoliv škodu či ztrátu, která byla nebo by mohla být Účastníkovi způsobena v souvislosti s využíváním Služeb. Účastník nemá nárok na náhradu škody či dalších nákladů, vzniklých v souvislosti s nedostupností Služeb.</w:t>
            </w:r>
            <w:bookmarkEnd w:id="0"/>
          </w:p>
        </w:tc>
      </w:tr>
    </w:tbl>
    <w:p w14:paraId="6E36B996" w14:textId="77777777" w:rsidR="00C005E0" w:rsidRPr="009B09EE" w:rsidRDefault="00C005E0" w:rsidP="007A4A8E">
      <w:pPr>
        <w:widowControl/>
        <w:suppressAutoHyphens w:val="0"/>
        <w:spacing w:before="120"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5"/>
        <w:gridCol w:w="1134"/>
        <w:gridCol w:w="4075"/>
      </w:tblGrid>
      <w:tr w:rsidR="00FD7A76" w:rsidRPr="002B67C3" w14:paraId="05432B36" w14:textId="77777777" w:rsidTr="00F3057E">
        <w:trPr>
          <w:trHeight w:val="1131"/>
          <w:jc w:val="center"/>
        </w:trPr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23D69A19" w14:textId="77777777" w:rsidR="00FD7A76" w:rsidRPr="002B67C3" w:rsidRDefault="00FD7A76" w:rsidP="007A4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E283CD" w14:textId="77777777" w:rsidR="00FD7A76" w:rsidRPr="002B67C3" w:rsidRDefault="00FD7A76" w:rsidP="007A4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10576ED2" w14:textId="77777777" w:rsidR="00FD7A76" w:rsidRPr="002B67C3" w:rsidRDefault="00FD7A76" w:rsidP="007A4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A76" w:rsidRPr="002B67C3" w14:paraId="0D27780E" w14:textId="77777777" w:rsidTr="00F3057E">
        <w:trPr>
          <w:trHeight w:val="281"/>
          <w:jc w:val="center"/>
        </w:trPr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535BE1FD" w14:textId="0F26E688" w:rsidR="00FD7A76" w:rsidRPr="002B67C3" w:rsidRDefault="00FD7A76" w:rsidP="00AB03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6F97E0E" w14:textId="77777777" w:rsidR="00FD7A76" w:rsidRPr="002B67C3" w:rsidRDefault="00FD7A76" w:rsidP="007A4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51217F8F" w14:textId="77777777" w:rsidR="00FD7A76" w:rsidRPr="002B67C3" w:rsidRDefault="00FD7A76" w:rsidP="007A4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35622A" w14:textId="77777777" w:rsidR="00BA0C08" w:rsidRPr="009B09EE" w:rsidRDefault="00BA0C08" w:rsidP="007A4A8E">
      <w:pPr>
        <w:widowControl/>
        <w:suppressAutoHyphens w:val="0"/>
        <w:spacing w:after="200"/>
        <w:jc w:val="both"/>
        <w:rPr>
          <w:rFonts w:ascii="Arial" w:eastAsia="Times New Roman" w:hAnsi="Arial" w:cs="Arial"/>
          <w:snapToGrid w:val="0"/>
          <w:sz w:val="22"/>
          <w:szCs w:val="22"/>
          <w:u w:val="single"/>
        </w:rPr>
      </w:pPr>
    </w:p>
    <w:sectPr w:rsidR="00BA0C08" w:rsidRPr="009B09EE" w:rsidSect="005709EB">
      <w:headerReference w:type="default" r:id="rId12"/>
      <w:footerReference w:type="default" r:id="rId13"/>
      <w:pgSz w:w="11906" w:h="16838" w:code="9"/>
      <w:pgMar w:top="1418" w:right="1134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74B8" w14:textId="77777777" w:rsidR="001C219C" w:rsidRDefault="001C219C" w:rsidP="007338A6">
      <w:r>
        <w:separator/>
      </w:r>
    </w:p>
  </w:endnote>
  <w:endnote w:type="continuationSeparator" w:id="0">
    <w:p w14:paraId="336E9EAB" w14:textId="77777777" w:rsidR="001C219C" w:rsidRDefault="001C219C" w:rsidP="007338A6">
      <w:r>
        <w:continuationSeparator/>
      </w:r>
    </w:p>
  </w:endnote>
  <w:endnote w:type="continuationNotice" w:id="1">
    <w:p w14:paraId="184F03D5" w14:textId="77777777" w:rsidR="001C219C" w:rsidRDefault="001C2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jaVu Sans">
    <w:altName w:val="Verdana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F5CC" w14:textId="57E001B4" w:rsidR="0067186D" w:rsidRDefault="00FA4132" w:rsidP="00FA4132">
    <w:pPr>
      <w:pStyle w:val="Zpat"/>
      <w:jc w:val="center"/>
    </w:pPr>
    <w:r>
      <w:rPr>
        <w:noProof/>
      </w:rPr>
      <w:drawing>
        <wp:inline distT="0" distB="0" distL="0" distR="0" wp14:anchorId="47AE304E" wp14:editId="768BA237">
          <wp:extent cx="4712859" cy="1155855"/>
          <wp:effectExtent l="0" t="0" r="0" b="6350"/>
          <wp:docPr id="2" name="Obrázek 2" descr="P:\U21\NPO\ADMINISTRATIVA\Publicita\Publicita po Rozhodnutí\Loga_EU_MSMT_PO_bar_V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P:\U21\NPO\ADMINISTRATIVA\Publicita\Publicita po Rozhodnutí\Loga_EU_MSMT_PO_bar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7888" cy="1164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E351" w14:textId="77777777" w:rsidR="001C219C" w:rsidRDefault="001C219C" w:rsidP="007338A6">
      <w:r>
        <w:separator/>
      </w:r>
    </w:p>
  </w:footnote>
  <w:footnote w:type="continuationSeparator" w:id="0">
    <w:p w14:paraId="245D7D57" w14:textId="77777777" w:rsidR="001C219C" w:rsidRDefault="001C219C" w:rsidP="007338A6">
      <w:r>
        <w:continuationSeparator/>
      </w:r>
    </w:p>
  </w:footnote>
  <w:footnote w:type="continuationNotice" w:id="1">
    <w:p w14:paraId="1ED97AC1" w14:textId="77777777" w:rsidR="001C219C" w:rsidRDefault="001C21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AFFE" w14:textId="77777777" w:rsidR="00051BF3" w:rsidRDefault="00107C98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4393EC9" wp14:editId="432A62C3">
          <wp:simplePos x="0" y="0"/>
          <wp:positionH relativeFrom="column">
            <wp:posOffset>0</wp:posOffset>
          </wp:positionH>
          <wp:positionV relativeFrom="paragraph">
            <wp:posOffset>-429895</wp:posOffset>
          </wp:positionV>
          <wp:extent cx="1619885" cy="887095"/>
          <wp:effectExtent l="0" t="0" r="5715" b="1905"/>
          <wp:wrapNone/>
          <wp:docPr id="1" name="obrázek 1" descr="cesnet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snet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4"/>
    <w:multiLevelType w:val="singleLevel"/>
    <w:tmpl w:val="00000004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4" w15:restartNumberingAfterBreak="0">
    <w:nsid w:val="00000008"/>
    <w:multiLevelType w:val="singleLevel"/>
    <w:tmpl w:val="00000008"/>
    <w:name w:val="WW8Num3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66A495E"/>
    <w:multiLevelType w:val="hybridMultilevel"/>
    <w:tmpl w:val="16FAB3E4"/>
    <w:lvl w:ilvl="0" w:tplc="05A87572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1244D"/>
    <w:multiLevelType w:val="hybridMultilevel"/>
    <w:tmpl w:val="8E140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54610"/>
    <w:multiLevelType w:val="hybridMultilevel"/>
    <w:tmpl w:val="E3CA5824"/>
    <w:lvl w:ilvl="0" w:tplc="73FE6B90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 w15:restartNumberingAfterBreak="0">
    <w:nsid w:val="102B7B1A"/>
    <w:multiLevelType w:val="hybridMultilevel"/>
    <w:tmpl w:val="B59A4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E3C62"/>
    <w:multiLevelType w:val="hybridMultilevel"/>
    <w:tmpl w:val="984870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8E255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EB14D2"/>
    <w:multiLevelType w:val="hybridMultilevel"/>
    <w:tmpl w:val="F3E42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1025A"/>
    <w:multiLevelType w:val="hybridMultilevel"/>
    <w:tmpl w:val="0BD64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739EE"/>
    <w:multiLevelType w:val="hybridMultilevel"/>
    <w:tmpl w:val="A064C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A610F"/>
    <w:multiLevelType w:val="hybridMultilevel"/>
    <w:tmpl w:val="A2809B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97AC2"/>
    <w:multiLevelType w:val="hybridMultilevel"/>
    <w:tmpl w:val="696AA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50FA2"/>
    <w:multiLevelType w:val="singleLevel"/>
    <w:tmpl w:val="5106E3E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C0342D4"/>
    <w:multiLevelType w:val="hybridMultilevel"/>
    <w:tmpl w:val="FF0C2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C16A5"/>
    <w:multiLevelType w:val="hybridMultilevel"/>
    <w:tmpl w:val="A62C6152"/>
    <w:lvl w:ilvl="0" w:tplc="315E5B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38B4C66"/>
    <w:multiLevelType w:val="hybridMultilevel"/>
    <w:tmpl w:val="B838F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4681F"/>
    <w:multiLevelType w:val="hybridMultilevel"/>
    <w:tmpl w:val="52889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858003A8">
      <w:numFmt w:val="bullet"/>
      <w:lvlText w:val="•"/>
      <w:lvlJc w:val="left"/>
      <w:pPr>
        <w:ind w:left="3228" w:hanging="708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20AE3"/>
    <w:multiLevelType w:val="multilevel"/>
    <w:tmpl w:val="8A487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077AA9"/>
    <w:multiLevelType w:val="singleLevel"/>
    <w:tmpl w:val="5106E3E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04D76B5"/>
    <w:multiLevelType w:val="hybridMultilevel"/>
    <w:tmpl w:val="D0AAC7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362E4"/>
    <w:multiLevelType w:val="hybridMultilevel"/>
    <w:tmpl w:val="D8F836F6"/>
    <w:lvl w:ilvl="0" w:tplc="E7F8CC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</w:num>
  <w:num w:numId="5">
    <w:abstractNumId w:val="24"/>
  </w:num>
  <w:num w:numId="6">
    <w:abstractNumId w:val="14"/>
  </w:num>
  <w:num w:numId="7">
    <w:abstractNumId w:val="18"/>
  </w:num>
  <w:num w:numId="8">
    <w:abstractNumId w:val="20"/>
  </w:num>
  <w:num w:numId="9">
    <w:abstractNumId w:val="16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9"/>
  </w:num>
  <w:num w:numId="12">
    <w:abstractNumId w:val="13"/>
  </w:num>
  <w:num w:numId="13">
    <w:abstractNumId w:val="21"/>
  </w:num>
  <w:num w:numId="14">
    <w:abstractNumId w:val="13"/>
  </w:num>
  <w:num w:numId="15">
    <w:abstractNumId w:val="8"/>
  </w:num>
  <w:num w:numId="16">
    <w:abstractNumId w:val="17"/>
  </w:num>
  <w:num w:numId="17">
    <w:abstractNumId w:val="5"/>
  </w:num>
  <w:num w:numId="18">
    <w:abstractNumId w:val="11"/>
  </w:num>
  <w:num w:numId="19">
    <w:abstractNumId w:val="6"/>
  </w:num>
  <w:num w:numId="20">
    <w:abstractNumId w:val="7"/>
  </w:num>
  <w:num w:numId="21">
    <w:abstractNumId w:val="2"/>
  </w:num>
  <w:num w:numId="22">
    <w:abstractNumId w:val="3"/>
  </w:num>
  <w:num w:numId="23">
    <w:abstractNumId w:val="1"/>
  </w:num>
  <w:num w:numId="24">
    <w:abstractNumId w:val="4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A6"/>
    <w:rsid w:val="000066E4"/>
    <w:rsid w:val="000068F3"/>
    <w:rsid w:val="00010767"/>
    <w:rsid w:val="00021FC8"/>
    <w:rsid w:val="00023872"/>
    <w:rsid w:val="00025275"/>
    <w:rsid w:val="00033AD9"/>
    <w:rsid w:val="00035303"/>
    <w:rsid w:val="000360FB"/>
    <w:rsid w:val="0004577B"/>
    <w:rsid w:val="000465D7"/>
    <w:rsid w:val="00046B39"/>
    <w:rsid w:val="0005016B"/>
    <w:rsid w:val="00051BF3"/>
    <w:rsid w:val="000562DA"/>
    <w:rsid w:val="00061D1F"/>
    <w:rsid w:val="000620A6"/>
    <w:rsid w:val="00072555"/>
    <w:rsid w:val="00083AB1"/>
    <w:rsid w:val="00084357"/>
    <w:rsid w:val="00091930"/>
    <w:rsid w:val="00092098"/>
    <w:rsid w:val="00092D65"/>
    <w:rsid w:val="0009418A"/>
    <w:rsid w:val="000A2F3B"/>
    <w:rsid w:val="000A40F0"/>
    <w:rsid w:val="000B1C80"/>
    <w:rsid w:val="000B56B6"/>
    <w:rsid w:val="000C10AB"/>
    <w:rsid w:val="000C1F32"/>
    <w:rsid w:val="000C4A7C"/>
    <w:rsid w:val="000C5DFF"/>
    <w:rsid w:val="000D2054"/>
    <w:rsid w:val="000D57C3"/>
    <w:rsid w:val="000D5E86"/>
    <w:rsid w:val="000E0E94"/>
    <w:rsid w:val="000E2186"/>
    <w:rsid w:val="000E44DF"/>
    <w:rsid w:val="000E59F1"/>
    <w:rsid w:val="000F036A"/>
    <w:rsid w:val="001077C1"/>
    <w:rsid w:val="00107C98"/>
    <w:rsid w:val="00117EBE"/>
    <w:rsid w:val="00120C41"/>
    <w:rsid w:val="00130A05"/>
    <w:rsid w:val="00130BB7"/>
    <w:rsid w:val="00144A0D"/>
    <w:rsid w:val="00147862"/>
    <w:rsid w:val="00151F62"/>
    <w:rsid w:val="00155402"/>
    <w:rsid w:val="0017061F"/>
    <w:rsid w:val="001714A9"/>
    <w:rsid w:val="00172225"/>
    <w:rsid w:val="00183586"/>
    <w:rsid w:val="00190CC7"/>
    <w:rsid w:val="001B762B"/>
    <w:rsid w:val="001C0D3E"/>
    <w:rsid w:val="001C1D48"/>
    <w:rsid w:val="001C219C"/>
    <w:rsid w:val="001C2A69"/>
    <w:rsid w:val="001D2705"/>
    <w:rsid w:val="001D4F57"/>
    <w:rsid w:val="001E079A"/>
    <w:rsid w:val="001E0D1E"/>
    <w:rsid w:val="001E27B7"/>
    <w:rsid w:val="001E3E87"/>
    <w:rsid w:val="001E4E6E"/>
    <w:rsid w:val="001F41BA"/>
    <w:rsid w:val="00206D4A"/>
    <w:rsid w:val="00207EA9"/>
    <w:rsid w:val="002134B4"/>
    <w:rsid w:val="00215233"/>
    <w:rsid w:val="00221FC7"/>
    <w:rsid w:val="00234EF5"/>
    <w:rsid w:val="002370C4"/>
    <w:rsid w:val="00251DA1"/>
    <w:rsid w:val="002535D7"/>
    <w:rsid w:val="00256C96"/>
    <w:rsid w:val="0026112F"/>
    <w:rsid w:val="00261909"/>
    <w:rsid w:val="00270EFE"/>
    <w:rsid w:val="0027239B"/>
    <w:rsid w:val="00282E88"/>
    <w:rsid w:val="002A54FA"/>
    <w:rsid w:val="002B3B82"/>
    <w:rsid w:val="002B611A"/>
    <w:rsid w:val="002B67C3"/>
    <w:rsid w:val="002C1923"/>
    <w:rsid w:val="002C462F"/>
    <w:rsid w:val="002D2CC5"/>
    <w:rsid w:val="002D607B"/>
    <w:rsid w:val="002D6D04"/>
    <w:rsid w:val="002E06CD"/>
    <w:rsid w:val="002F1D2B"/>
    <w:rsid w:val="002F2E29"/>
    <w:rsid w:val="002F5DE7"/>
    <w:rsid w:val="00316A29"/>
    <w:rsid w:val="00331A72"/>
    <w:rsid w:val="003519BE"/>
    <w:rsid w:val="00362FDA"/>
    <w:rsid w:val="003656B4"/>
    <w:rsid w:val="003675EA"/>
    <w:rsid w:val="0037224A"/>
    <w:rsid w:val="00380A3A"/>
    <w:rsid w:val="003B2F4B"/>
    <w:rsid w:val="003C4AF4"/>
    <w:rsid w:val="003C5088"/>
    <w:rsid w:val="003D290F"/>
    <w:rsid w:val="003D2AC4"/>
    <w:rsid w:val="003D5066"/>
    <w:rsid w:val="003F144D"/>
    <w:rsid w:val="00402581"/>
    <w:rsid w:val="00404890"/>
    <w:rsid w:val="00406497"/>
    <w:rsid w:val="00417D9D"/>
    <w:rsid w:val="00425CB4"/>
    <w:rsid w:val="00430EFF"/>
    <w:rsid w:val="00431FF9"/>
    <w:rsid w:val="00433281"/>
    <w:rsid w:val="004562F0"/>
    <w:rsid w:val="004637A4"/>
    <w:rsid w:val="00464C12"/>
    <w:rsid w:val="00471C66"/>
    <w:rsid w:val="00480482"/>
    <w:rsid w:val="004817C1"/>
    <w:rsid w:val="00484E5E"/>
    <w:rsid w:val="004866B6"/>
    <w:rsid w:val="00486A6E"/>
    <w:rsid w:val="004871DE"/>
    <w:rsid w:val="00491002"/>
    <w:rsid w:val="004912C8"/>
    <w:rsid w:val="00492E2C"/>
    <w:rsid w:val="004A3DEA"/>
    <w:rsid w:val="004B013F"/>
    <w:rsid w:val="004B2A0F"/>
    <w:rsid w:val="004B3333"/>
    <w:rsid w:val="004B6DF4"/>
    <w:rsid w:val="004C2D70"/>
    <w:rsid w:val="004C7310"/>
    <w:rsid w:val="004D0A0C"/>
    <w:rsid w:val="004D2842"/>
    <w:rsid w:val="004D4D41"/>
    <w:rsid w:val="004E13B3"/>
    <w:rsid w:val="004E38AA"/>
    <w:rsid w:val="004F6B1C"/>
    <w:rsid w:val="004F7923"/>
    <w:rsid w:val="00500714"/>
    <w:rsid w:val="00503600"/>
    <w:rsid w:val="00503FA3"/>
    <w:rsid w:val="005078DF"/>
    <w:rsid w:val="0052109F"/>
    <w:rsid w:val="00523A64"/>
    <w:rsid w:val="00523AE5"/>
    <w:rsid w:val="005244E1"/>
    <w:rsid w:val="0052556D"/>
    <w:rsid w:val="00530A5F"/>
    <w:rsid w:val="0053169E"/>
    <w:rsid w:val="005355BC"/>
    <w:rsid w:val="0053701E"/>
    <w:rsid w:val="00541F02"/>
    <w:rsid w:val="00545C54"/>
    <w:rsid w:val="0054738D"/>
    <w:rsid w:val="00557CDC"/>
    <w:rsid w:val="00567868"/>
    <w:rsid w:val="005709EB"/>
    <w:rsid w:val="005811C3"/>
    <w:rsid w:val="005846B4"/>
    <w:rsid w:val="005914D0"/>
    <w:rsid w:val="00593412"/>
    <w:rsid w:val="00593FF3"/>
    <w:rsid w:val="005A7EA9"/>
    <w:rsid w:val="005B1CA4"/>
    <w:rsid w:val="005B3D0A"/>
    <w:rsid w:val="005C3CB5"/>
    <w:rsid w:val="005C529C"/>
    <w:rsid w:val="005C712C"/>
    <w:rsid w:val="005D1F6E"/>
    <w:rsid w:val="005D3532"/>
    <w:rsid w:val="005D5524"/>
    <w:rsid w:val="005F21D7"/>
    <w:rsid w:val="005F4F82"/>
    <w:rsid w:val="005F52CC"/>
    <w:rsid w:val="005F7D0D"/>
    <w:rsid w:val="00602774"/>
    <w:rsid w:val="00602A70"/>
    <w:rsid w:val="00604824"/>
    <w:rsid w:val="00607321"/>
    <w:rsid w:val="0061391A"/>
    <w:rsid w:val="00623EDB"/>
    <w:rsid w:val="00630D4B"/>
    <w:rsid w:val="006320E4"/>
    <w:rsid w:val="0063612F"/>
    <w:rsid w:val="00640558"/>
    <w:rsid w:val="0064573C"/>
    <w:rsid w:val="0064650A"/>
    <w:rsid w:val="00650B5E"/>
    <w:rsid w:val="006521C9"/>
    <w:rsid w:val="00653372"/>
    <w:rsid w:val="006565AB"/>
    <w:rsid w:val="00660CD9"/>
    <w:rsid w:val="006626B4"/>
    <w:rsid w:val="0067025D"/>
    <w:rsid w:val="0067186D"/>
    <w:rsid w:val="006751FE"/>
    <w:rsid w:val="00681E2C"/>
    <w:rsid w:val="006826C8"/>
    <w:rsid w:val="006904DE"/>
    <w:rsid w:val="00695697"/>
    <w:rsid w:val="006A2545"/>
    <w:rsid w:val="006A7C2B"/>
    <w:rsid w:val="006B53AC"/>
    <w:rsid w:val="006C462F"/>
    <w:rsid w:val="006E0677"/>
    <w:rsid w:val="007037D4"/>
    <w:rsid w:val="00703FF6"/>
    <w:rsid w:val="007067C2"/>
    <w:rsid w:val="00707A04"/>
    <w:rsid w:val="007108FC"/>
    <w:rsid w:val="00711068"/>
    <w:rsid w:val="00712B8A"/>
    <w:rsid w:val="0071492B"/>
    <w:rsid w:val="00716DC1"/>
    <w:rsid w:val="00721F94"/>
    <w:rsid w:val="00722A97"/>
    <w:rsid w:val="007309DF"/>
    <w:rsid w:val="00732F8F"/>
    <w:rsid w:val="007338A6"/>
    <w:rsid w:val="007410ED"/>
    <w:rsid w:val="00742B4D"/>
    <w:rsid w:val="00742E4B"/>
    <w:rsid w:val="00750D2E"/>
    <w:rsid w:val="00755E73"/>
    <w:rsid w:val="00761C08"/>
    <w:rsid w:val="00762BED"/>
    <w:rsid w:val="007664A0"/>
    <w:rsid w:val="007674D5"/>
    <w:rsid w:val="00771FA3"/>
    <w:rsid w:val="0077493A"/>
    <w:rsid w:val="007777C8"/>
    <w:rsid w:val="00777852"/>
    <w:rsid w:val="00780273"/>
    <w:rsid w:val="00786BA3"/>
    <w:rsid w:val="00787D9C"/>
    <w:rsid w:val="00794366"/>
    <w:rsid w:val="007972BB"/>
    <w:rsid w:val="007A07E7"/>
    <w:rsid w:val="007A4A8E"/>
    <w:rsid w:val="007A601F"/>
    <w:rsid w:val="007B48F6"/>
    <w:rsid w:val="007B7DCA"/>
    <w:rsid w:val="007C262B"/>
    <w:rsid w:val="007D0EA1"/>
    <w:rsid w:val="007D1E78"/>
    <w:rsid w:val="007D442A"/>
    <w:rsid w:val="007E5652"/>
    <w:rsid w:val="007E7A68"/>
    <w:rsid w:val="007F0510"/>
    <w:rsid w:val="007F30A8"/>
    <w:rsid w:val="007F7F09"/>
    <w:rsid w:val="00834B6F"/>
    <w:rsid w:val="008360BD"/>
    <w:rsid w:val="00837CBC"/>
    <w:rsid w:val="00841513"/>
    <w:rsid w:val="00846353"/>
    <w:rsid w:val="00856E35"/>
    <w:rsid w:val="00857842"/>
    <w:rsid w:val="00862904"/>
    <w:rsid w:val="00866211"/>
    <w:rsid w:val="0087245F"/>
    <w:rsid w:val="008820C9"/>
    <w:rsid w:val="00882937"/>
    <w:rsid w:val="00884DA7"/>
    <w:rsid w:val="0089012F"/>
    <w:rsid w:val="00894763"/>
    <w:rsid w:val="00895069"/>
    <w:rsid w:val="008A2F5B"/>
    <w:rsid w:val="008A5940"/>
    <w:rsid w:val="008A7621"/>
    <w:rsid w:val="008D49EE"/>
    <w:rsid w:val="008E3889"/>
    <w:rsid w:val="008F1B88"/>
    <w:rsid w:val="008F2CE7"/>
    <w:rsid w:val="008F5841"/>
    <w:rsid w:val="008F5DBB"/>
    <w:rsid w:val="008F7156"/>
    <w:rsid w:val="00901084"/>
    <w:rsid w:val="009166EB"/>
    <w:rsid w:val="00917F31"/>
    <w:rsid w:val="00924AD7"/>
    <w:rsid w:val="00927518"/>
    <w:rsid w:val="0094650C"/>
    <w:rsid w:val="0094761B"/>
    <w:rsid w:val="00950AD3"/>
    <w:rsid w:val="009529A3"/>
    <w:rsid w:val="0095537E"/>
    <w:rsid w:val="00956776"/>
    <w:rsid w:val="00961D15"/>
    <w:rsid w:val="0096312D"/>
    <w:rsid w:val="00987E7E"/>
    <w:rsid w:val="009956D3"/>
    <w:rsid w:val="009A2D4D"/>
    <w:rsid w:val="009A4642"/>
    <w:rsid w:val="009A52B9"/>
    <w:rsid w:val="009B09EE"/>
    <w:rsid w:val="009B1259"/>
    <w:rsid w:val="009B1594"/>
    <w:rsid w:val="009C5D31"/>
    <w:rsid w:val="009D0F44"/>
    <w:rsid w:val="009D68FA"/>
    <w:rsid w:val="009D7D31"/>
    <w:rsid w:val="009F0E02"/>
    <w:rsid w:val="009F2858"/>
    <w:rsid w:val="00A11B50"/>
    <w:rsid w:val="00A20C56"/>
    <w:rsid w:val="00A20D56"/>
    <w:rsid w:val="00A22BDC"/>
    <w:rsid w:val="00A24C3F"/>
    <w:rsid w:val="00A35C37"/>
    <w:rsid w:val="00A37DB2"/>
    <w:rsid w:val="00A52241"/>
    <w:rsid w:val="00A554DE"/>
    <w:rsid w:val="00A57954"/>
    <w:rsid w:val="00A61367"/>
    <w:rsid w:val="00A96A9B"/>
    <w:rsid w:val="00AA7C0C"/>
    <w:rsid w:val="00AB03C2"/>
    <w:rsid w:val="00AB670C"/>
    <w:rsid w:val="00AC6A40"/>
    <w:rsid w:val="00AC6B44"/>
    <w:rsid w:val="00AD2882"/>
    <w:rsid w:val="00AD7615"/>
    <w:rsid w:val="00AE160B"/>
    <w:rsid w:val="00AE3FFE"/>
    <w:rsid w:val="00AF044F"/>
    <w:rsid w:val="00AF072E"/>
    <w:rsid w:val="00AF44D7"/>
    <w:rsid w:val="00AF53EB"/>
    <w:rsid w:val="00B00CD3"/>
    <w:rsid w:val="00B07948"/>
    <w:rsid w:val="00B17867"/>
    <w:rsid w:val="00B201B3"/>
    <w:rsid w:val="00B20553"/>
    <w:rsid w:val="00B22282"/>
    <w:rsid w:val="00B408F1"/>
    <w:rsid w:val="00B41C1D"/>
    <w:rsid w:val="00B4239F"/>
    <w:rsid w:val="00B43FCD"/>
    <w:rsid w:val="00B454F7"/>
    <w:rsid w:val="00B51F7A"/>
    <w:rsid w:val="00B667ED"/>
    <w:rsid w:val="00B77966"/>
    <w:rsid w:val="00B82F5D"/>
    <w:rsid w:val="00B926CA"/>
    <w:rsid w:val="00B94CF3"/>
    <w:rsid w:val="00B977C1"/>
    <w:rsid w:val="00BA0C08"/>
    <w:rsid w:val="00BA3E0F"/>
    <w:rsid w:val="00BA5BBB"/>
    <w:rsid w:val="00BC1A37"/>
    <w:rsid w:val="00BC1D7B"/>
    <w:rsid w:val="00BD0071"/>
    <w:rsid w:val="00BD0FF3"/>
    <w:rsid w:val="00BD30E6"/>
    <w:rsid w:val="00BE1B0A"/>
    <w:rsid w:val="00BE6230"/>
    <w:rsid w:val="00BF2A53"/>
    <w:rsid w:val="00BF349C"/>
    <w:rsid w:val="00BF5982"/>
    <w:rsid w:val="00C005E0"/>
    <w:rsid w:val="00C00E00"/>
    <w:rsid w:val="00C04BFE"/>
    <w:rsid w:val="00C05BEF"/>
    <w:rsid w:val="00C11E24"/>
    <w:rsid w:val="00C1700D"/>
    <w:rsid w:val="00C242EC"/>
    <w:rsid w:val="00C31758"/>
    <w:rsid w:val="00C45710"/>
    <w:rsid w:val="00C51268"/>
    <w:rsid w:val="00C53BCA"/>
    <w:rsid w:val="00C53F72"/>
    <w:rsid w:val="00C5501D"/>
    <w:rsid w:val="00C57C35"/>
    <w:rsid w:val="00C736AF"/>
    <w:rsid w:val="00C8066C"/>
    <w:rsid w:val="00C837F4"/>
    <w:rsid w:val="00C86FEC"/>
    <w:rsid w:val="00C87D83"/>
    <w:rsid w:val="00CC0AB6"/>
    <w:rsid w:val="00CC1814"/>
    <w:rsid w:val="00CD1BCE"/>
    <w:rsid w:val="00CD2A98"/>
    <w:rsid w:val="00CD46F0"/>
    <w:rsid w:val="00CD7465"/>
    <w:rsid w:val="00CE5252"/>
    <w:rsid w:val="00CF103C"/>
    <w:rsid w:val="00CF2F63"/>
    <w:rsid w:val="00CF30C7"/>
    <w:rsid w:val="00CF776D"/>
    <w:rsid w:val="00D00379"/>
    <w:rsid w:val="00D02071"/>
    <w:rsid w:val="00D0443D"/>
    <w:rsid w:val="00D10D77"/>
    <w:rsid w:val="00D13DC4"/>
    <w:rsid w:val="00D2088F"/>
    <w:rsid w:val="00D22F4E"/>
    <w:rsid w:val="00D3091A"/>
    <w:rsid w:val="00D31AA0"/>
    <w:rsid w:val="00D33664"/>
    <w:rsid w:val="00D3475E"/>
    <w:rsid w:val="00D407A8"/>
    <w:rsid w:val="00D50FD5"/>
    <w:rsid w:val="00D51704"/>
    <w:rsid w:val="00D538D1"/>
    <w:rsid w:val="00D558F5"/>
    <w:rsid w:val="00D56F53"/>
    <w:rsid w:val="00D62EB1"/>
    <w:rsid w:val="00D86CEB"/>
    <w:rsid w:val="00D86EE2"/>
    <w:rsid w:val="00D90249"/>
    <w:rsid w:val="00D9089D"/>
    <w:rsid w:val="00DA30E6"/>
    <w:rsid w:val="00DA586A"/>
    <w:rsid w:val="00DB124A"/>
    <w:rsid w:val="00DB40AF"/>
    <w:rsid w:val="00DC4B26"/>
    <w:rsid w:val="00DD11EE"/>
    <w:rsid w:val="00DE4050"/>
    <w:rsid w:val="00DE6EBE"/>
    <w:rsid w:val="00DF545F"/>
    <w:rsid w:val="00DF5FAA"/>
    <w:rsid w:val="00DF771B"/>
    <w:rsid w:val="00E15244"/>
    <w:rsid w:val="00E15F1E"/>
    <w:rsid w:val="00E16B3B"/>
    <w:rsid w:val="00E20C5F"/>
    <w:rsid w:val="00E211A1"/>
    <w:rsid w:val="00E21AA3"/>
    <w:rsid w:val="00E36161"/>
    <w:rsid w:val="00E4133F"/>
    <w:rsid w:val="00E52916"/>
    <w:rsid w:val="00E53DF0"/>
    <w:rsid w:val="00E56FE9"/>
    <w:rsid w:val="00E609E2"/>
    <w:rsid w:val="00E60D23"/>
    <w:rsid w:val="00E60FD9"/>
    <w:rsid w:val="00E6393C"/>
    <w:rsid w:val="00E837BE"/>
    <w:rsid w:val="00E8732D"/>
    <w:rsid w:val="00E924E7"/>
    <w:rsid w:val="00E93888"/>
    <w:rsid w:val="00E94ABF"/>
    <w:rsid w:val="00E96B2F"/>
    <w:rsid w:val="00EA59F9"/>
    <w:rsid w:val="00EB1989"/>
    <w:rsid w:val="00ED12D4"/>
    <w:rsid w:val="00ED24EC"/>
    <w:rsid w:val="00ED38A7"/>
    <w:rsid w:val="00EE0588"/>
    <w:rsid w:val="00EE0E5D"/>
    <w:rsid w:val="00EE2BF2"/>
    <w:rsid w:val="00EE6546"/>
    <w:rsid w:val="00EE7658"/>
    <w:rsid w:val="00EF4A12"/>
    <w:rsid w:val="00EF4EF2"/>
    <w:rsid w:val="00F026E7"/>
    <w:rsid w:val="00F06C14"/>
    <w:rsid w:val="00F10711"/>
    <w:rsid w:val="00F12F8C"/>
    <w:rsid w:val="00F153A9"/>
    <w:rsid w:val="00F20F94"/>
    <w:rsid w:val="00F23C51"/>
    <w:rsid w:val="00F2728E"/>
    <w:rsid w:val="00F3057E"/>
    <w:rsid w:val="00F34253"/>
    <w:rsid w:val="00F34436"/>
    <w:rsid w:val="00F36722"/>
    <w:rsid w:val="00F37BB8"/>
    <w:rsid w:val="00F40990"/>
    <w:rsid w:val="00F430F2"/>
    <w:rsid w:val="00F54279"/>
    <w:rsid w:val="00F5639B"/>
    <w:rsid w:val="00F61BBE"/>
    <w:rsid w:val="00F664F5"/>
    <w:rsid w:val="00F73DC3"/>
    <w:rsid w:val="00F82A2C"/>
    <w:rsid w:val="00FA4132"/>
    <w:rsid w:val="00FA4DB3"/>
    <w:rsid w:val="00FB5A1E"/>
    <w:rsid w:val="00FC2980"/>
    <w:rsid w:val="00FC3421"/>
    <w:rsid w:val="00FC610F"/>
    <w:rsid w:val="00FD0930"/>
    <w:rsid w:val="00FD18E9"/>
    <w:rsid w:val="00FD7A76"/>
    <w:rsid w:val="00FD7C09"/>
    <w:rsid w:val="00FE6820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9769C"/>
  <w15:docId w15:val="{18AB382D-72B8-5940-92BB-679AE9D4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FA3"/>
    <w:pPr>
      <w:widowControl w:val="0"/>
      <w:suppressAutoHyphens/>
    </w:pPr>
    <w:rPr>
      <w:rFonts w:ascii="Times New Roman" w:eastAsia="DejaVu Sans" w:hAnsi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565A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D31AA0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2F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3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8A6"/>
    <w:rPr>
      <w:rFonts w:ascii="Times New Roman" w:eastAsia="DejaVu Sans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38A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8A6"/>
    <w:rPr>
      <w:rFonts w:ascii="Times New Roman" w:eastAsia="DejaVu Sans" w:hAnsi="Times New Roman" w:cs="Times New Roman"/>
      <w:kern w:val="1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7338A6"/>
    <w:rPr>
      <w:color w:val="0000FF"/>
      <w:u w:val="single"/>
    </w:rPr>
  </w:style>
  <w:style w:type="character" w:customStyle="1" w:styleId="tsubjname">
    <w:name w:val="tsubjname"/>
    <w:basedOn w:val="Standardnpsmoodstavce"/>
    <w:rsid w:val="007338A6"/>
  </w:style>
  <w:style w:type="paragraph" w:styleId="Normlnweb">
    <w:name w:val="Normal (Web)"/>
    <w:basedOn w:val="Normln"/>
    <w:uiPriority w:val="99"/>
    <w:semiHidden/>
    <w:unhideWhenUsed/>
    <w:rsid w:val="007338A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Odkaznakoment">
    <w:name w:val="annotation reference"/>
    <w:semiHidden/>
    <w:unhideWhenUsed/>
    <w:rsid w:val="007338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338A6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7338A6"/>
    <w:rPr>
      <w:rFonts w:ascii="Times New Roman" w:eastAsia="DejaVu Sans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8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38A6"/>
    <w:rPr>
      <w:rFonts w:ascii="Times New Roman" w:eastAsia="DejaVu Sans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38A6"/>
    <w:rPr>
      <w:rFonts w:ascii="Tahoma" w:eastAsia="DejaVu Sans" w:hAnsi="Tahoma" w:cs="Tahoma"/>
      <w:kern w:val="1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338A6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9F28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F2858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uiPriority w:val="22"/>
    <w:qFormat/>
    <w:rsid w:val="00331A72"/>
    <w:rPr>
      <w:b/>
      <w:bCs/>
    </w:rPr>
  </w:style>
  <w:style w:type="character" w:customStyle="1" w:styleId="Nadpis2Char">
    <w:name w:val="Nadpis 2 Char"/>
    <w:link w:val="Nadpis2"/>
    <w:uiPriority w:val="9"/>
    <w:rsid w:val="00D31A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31AA0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D31AA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31AA0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semiHidden/>
    <w:rsid w:val="00D31AA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D4F57"/>
    <w:pPr>
      <w:widowControl/>
      <w:suppressAutoHyphens w:val="0"/>
    </w:pPr>
    <w:rPr>
      <w:rFonts w:ascii="Calibri" w:eastAsia="Calibri" w:hAnsi="Calibri" w:cs="Consolas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1D4F57"/>
    <w:rPr>
      <w:rFonts w:ascii="Calibri" w:hAnsi="Calibri" w:cs="Consolas"/>
      <w:szCs w:val="21"/>
    </w:rPr>
  </w:style>
  <w:style w:type="paragraph" w:customStyle="1" w:styleId="western">
    <w:name w:val="western"/>
    <w:basedOn w:val="Normln"/>
    <w:rsid w:val="008F7156"/>
    <w:pPr>
      <w:widowControl/>
      <w:suppressAutoHyphens w:val="0"/>
      <w:spacing w:before="100" w:beforeAutospacing="1" w:after="119"/>
    </w:pPr>
    <w:rPr>
      <w:rFonts w:eastAsia="Times New Roman"/>
      <w:kern w:val="0"/>
      <w:sz w:val="22"/>
      <w:szCs w:val="22"/>
    </w:rPr>
  </w:style>
  <w:style w:type="character" w:customStyle="1" w:styleId="Nadpis1Char">
    <w:name w:val="Nadpis 1 Char"/>
    <w:link w:val="Nadpis1"/>
    <w:uiPriority w:val="9"/>
    <w:rsid w:val="006565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8A2F5B"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styleId="Sledovanodkaz">
    <w:name w:val="FollowedHyperlink"/>
    <w:uiPriority w:val="99"/>
    <w:semiHidden/>
    <w:unhideWhenUsed/>
    <w:rsid w:val="00D13DC4"/>
    <w:rPr>
      <w:color w:val="954F72"/>
      <w:u w:val="single"/>
    </w:rPr>
  </w:style>
  <w:style w:type="paragraph" w:customStyle="1" w:styleId="Normln1">
    <w:name w:val="Normální1"/>
    <w:rsid w:val="00A35C37"/>
    <w:pPr>
      <w:widowControl w:val="0"/>
      <w:suppressAutoHyphens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</w:rPr>
  </w:style>
  <w:style w:type="character" w:customStyle="1" w:styleId="None">
    <w:name w:val="None"/>
    <w:rsid w:val="00A35C37"/>
  </w:style>
  <w:style w:type="character" w:customStyle="1" w:styleId="docdata">
    <w:name w:val="docdata"/>
    <w:aliases w:val="docy,v5,5020,bqiaagaaeyqcaaagiaiaaamgcqaabbgqaaaaaaaaaaaaaaaaaaaaaaaaaaaaaaaaaaaaaaaaaaaaaaaaaaaaaaaaaaaaaaaaaaaaaaaaaaaaaaaaaaaaaaaaaaaaaaaaaaaaaaaaaaaaaaaaaaaaaaaaaaaaaaaaaaaaaaaaaaaaaaaaaaaaaaaaaaaaaaaaaaaaaaaaaaaaaaaaaaaaaaaaaaaaaaaaaaaaaaaa"/>
    <w:rsid w:val="00130A05"/>
  </w:style>
  <w:style w:type="paragraph" w:customStyle="1" w:styleId="Default">
    <w:name w:val="Default"/>
    <w:rsid w:val="00BA0C0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0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771FA3"/>
  </w:style>
  <w:style w:type="paragraph" w:styleId="Revize">
    <w:name w:val="Revision"/>
    <w:hidden/>
    <w:uiPriority w:val="99"/>
    <w:semiHidden/>
    <w:rsid w:val="00480482"/>
    <w:rPr>
      <w:rFonts w:ascii="Times New Roman" w:eastAsia="DejaVu Sans" w:hAnsi="Times New Roman"/>
      <w:kern w:val="1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A4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futurium/en/content/compilation-member-states-notification-sscds-and-qsc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idas@cesne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idas.cesnet.cz/cs/members/jak_se_pripoj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stsign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88DD-3115-489E-8576-806F656F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1197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Pardubice</Company>
  <LinksUpToDate>false</LinksUpToDate>
  <CharactersWithSpaces>8249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Igliar</dc:creator>
  <cp:lastModifiedBy>Lenka Suchá</cp:lastModifiedBy>
  <cp:revision>9</cp:revision>
  <cp:lastPrinted>2019-03-27T23:14:00Z</cp:lastPrinted>
  <dcterms:created xsi:type="dcterms:W3CDTF">2023-06-05T13:19:00Z</dcterms:created>
  <dcterms:modified xsi:type="dcterms:W3CDTF">2023-07-26T12:36:00Z</dcterms:modified>
</cp:coreProperties>
</file>