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4E99429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934ACD">
        <w:rPr>
          <w:rFonts w:ascii="Arial" w:hAnsi="Arial"/>
          <w:szCs w:val="22"/>
        </w:rPr>
        <w:t>1</w:t>
      </w:r>
    </w:p>
    <w:p w14:paraId="2B871BEE" w14:textId="48EE3E31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097F62">
        <w:rPr>
          <w:rFonts w:cs="Arial"/>
          <w:sz w:val="22"/>
        </w:rPr>
        <w:t>731</w:t>
      </w:r>
      <w:r w:rsidR="004F7B83">
        <w:rPr>
          <w:rFonts w:cs="Arial"/>
          <w:sz w:val="22"/>
        </w:rPr>
        <w:t>-2022-537207</w:t>
      </w:r>
      <w:r w:rsidRPr="00BF554C">
        <w:rPr>
          <w:rFonts w:cs="Arial"/>
          <w:sz w:val="22"/>
        </w:rPr>
        <w:t xml:space="preserve"> ze dne </w:t>
      </w:r>
      <w:r w:rsidR="004F7B83">
        <w:rPr>
          <w:rFonts w:cs="Arial"/>
          <w:sz w:val="22"/>
        </w:rPr>
        <w:t>1</w:t>
      </w:r>
      <w:r w:rsidR="00C832A7">
        <w:rPr>
          <w:rFonts w:cs="Arial"/>
          <w:sz w:val="22"/>
        </w:rPr>
        <w:t>7</w:t>
      </w:r>
      <w:r w:rsidR="004F7B83">
        <w:rPr>
          <w:rFonts w:cs="Arial"/>
          <w:sz w:val="22"/>
        </w:rPr>
        <w:t xml:space="preserve">. </w:t>
      </w:r>
      <w:r w:rsidR="00C832A7">
        <w:rPr>
          <w:rFonts w:cs="Arial"/>
          <w:sz w:val="22"/>
        </w:rPr>
        <w:t>8</w:t>
      </w:r>
      <w:r w:rsidR="004F7B83">
        <w:rPr>
          <w:rFonts w:cs="Arial"/>
          <w:sz w:val="22"/>
        </w:rPr>
        <w:t>. 2022</w:t>
      </w:r>
    </w:p>
    <w:p w14:paraId="3AC5A635" w14:textId="7F80A26B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(KoPÚ </w:t>
      </w:r>
      <w:r w:rsidR="00336BFE">
        <w:rPr>
          <w:rFonts w:cs="Arial"/>
          <w:sz w:val="22"/>
        </w:rPr>
        <w:t>Čečelice</w:t>
      </w:r>
      <w:r>
        <w:rPr>
          <w:rFonts w:cs="Arial"/>
          <w:sz w:val="22"/>
        </w:rPr>
        <w:t xml:space="preserve">, </w:t>
      </w:r>
      <w:r w:rsidR="00336BFE">
        <w:rPr>
          <w:rFonts w:cs="Arial"/>
          <w:sz w:val="22"/>
        </w:rPr>
        <w:t>2</w:t>
      </w:r>
      <w:r w:rsidR="00BC2F5D">
        <w:rPr>
          <w:rFonts w:cs="Arial"/>
          <w:sz w:val="22"/>
        </w:rPr>
        <w:t>/2022-537100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</w:t>
      </w:r>
      <w:proofErr w:type="gramStart"/>
      <w:r>
        <w:rPr>
          <w:rFonts w:ascii="ArialMT" w:hAnsi="ArialMT" w:cs="ArialMT"/>
        </w:rPr>
        <w:t>11a</w:t>
      </w:r>
      <w:proofErr w:type="gramEnd"/>
      <w:r>
        <w:rPr>
          <w:rFonts w:ascii="ArialMT" w:hAnsi="ArialMT" w:cs="ArialMT"/>
        </w:rPr>
        <w:t>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5BEB7FED" w14:textId="77777777" w:rsidR="009967F2" w:rsidRPr="009967F2" w:rsidRDefault="009967F2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V technických záležitostech zastoupená: Ing. Oldřich Smolík, Pobočka Mělník</w:t>
      </w:r>
    </w:p>
    <w:p w14:paraId="74979517" w14:textId="2C9DEB0C" w:rsidR="009967F2" w:rsidRPr="009967F2" w:rsidRDefault="0061757B" w:rsidP="0061757B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336BFE">
        <w:rPr>
          <w:rFonts w:ascii="ArialMT" w:hAnsi="ArialMT" w:cs="ArialMT"/>
        </w:rPr>
        <w:t>Hana Vogelová</w:t>
      </w:r>
      <w:r w:rsidR="009967F2" w:rsidRPr="009967F2">
        <w:rPr>
          <w:rFonts w:ascii="ArialMT" w:hAnsi="ArialMT" w:cs="ArialMT"/>
        </w:rPr>
        <w:t>, Pobočka Mělník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79BF72EC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+420 602 287 360, +420 725 950 </w:t>
      </w:r>
      <w:r w:rsidR="003C0A85">
        <w:rPr>
          <w:rFonts w:ascii="ArialMT" w:hAnsi="ArialMT" w:cs="ArialMT"/>
        </w:rPr>
        <w:t>122</w:t>
      </w:r>
    </w:p>
    <w:p w14:paraId="76E166C6" w14:textId="29FFDF50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E-mail: o</w:t>
      </w:r>
      <w:r w:rsidR="003553BC">
        <w:rPr>
          <w:rFonts w:ascii="ArialMT" w:hAnsi="ArialMT" w:cs="ArialMT"/>
        </w:rPr>
        <w:t>.</w:t>
      </w:r>
      <w:r w:rsidRPr="009967F2">
        <w:rPr>
          <w:rFonts w:ascii="ArialMT" w:hAnsi="ArialMT" w:cs="ArialMT"/>
        </w:rPr>
        <w:t xml:space="preserve">smolik1@spucr.cz, </w:t>
      </w:r>
      <w:r w:rsidR="003C0A85">
        <w:rPr>
          <w:rFonts w:ascii="ArialMT" w:hAnsi="ArialMT" w:cs="ArialMT"/>
        </w:rPr>
        <w:t>h.vogelova</w:t>
      </w:r>
      <w:r w:rsidRPr="009967F2">
        <w:rPr>
          <w:rFonts w:ascii="ArialMT" w:hAnsi="ArialMT" w:cs="ArialMT"/>
        </w:rPr>
        <w:t>@spucr.cz</w:t>
      </w:r>
    </w:p>
    <w:p w14:paraId="4030BABB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487A1FDC" w14:textId="77777777" w:rsidR="00EE6FED" w:rsidRDefault="00EE6FED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676D8AF9" w14:textId="77777777" w:rsidR="00E5512E" w:rsidRDefault="00E5512E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141A8D6" w14:textId="2FC308B9" w:rsidR="002C4C5D" w:rsidRDefault="00706EF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3C0A85">
        <w:rPr>
          <w:rFonts w:ascii="Arial-BoldMT" w:eastAsia="Calibri" w:hAnsi="Arial-BoldMT" w:cs="Arial-BoldMT"/>
          <w:b/>
          <w:bCs/>
          <w:lang w:eastAsia="cs-CZ"/>
        </w:rPr>
        <w:t>AREA G. K. spol.</w:t>
      </w:r>
      <w:r w:rsidR="002C4C5D">
        <w:rPr>
          <w:rFonts w:ascii="Arial-BoldMT" w:eastAsia="Calibri" w:hAnsi="Arial-BoldMT" w:cs="Arial-BoldMT"/>
          <w:b/>
          <w:bCs/>
          <w:lang w:eastAsia="cs-CZ"/>
        </w:rPr>
        <w:t xml:space="preserve"> s. r. o.</w:t>
      </w:r>
      <w:r w:rsidR="00774593">
        <w:rPr>
          <w:rFonts w:ascii="Arial-BoldMT" w:eastAsia="Calibri" w:hAnsi="Arial-BoldMT" w:cs="Arial-BoldMT"/>
          <w:b/>
          <w:bCs/>
          <w:lang w:eastAsia="cs-CZ"/>
        </w:rPr>
        <w:t xml:space="preserve"> (reprezentant sdružení)</w:t>
      </w:r>
    </w:p>
    <w:p w14:paraId="0B990DE1" w14:textId="50792B69" w:rsidR="002C4C5D" w:rsidRDefault="002C4C5D" w:rsidP="0049598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společnost založená a existující podle právního řádu České republiky, se sídlem </w:t>
      </w:r>
      <w:r w:rsidR="00774593">
        <w:rPr>
          <w:rFonts w:ascii="ArialMT" w:eastAsia="Calibri" w:hAnsi="ArialMT" w:cs="ArialMT"/>
          <w:lang w:eastAsia="cs-CZ"/>
        </w:rPr>
        <w:t xml:space="preserve">U Elektry 650, 198 00 Praha 9, </w:t>
      </w:r>
      <w:r>
        <w:rPr>
          <w:rFonts w:ascii="ArialMT" w:eastAsia="Calibri" w:hAnsi="ArialMT" w:cs="ArialMT"/>
          <w:lang w:eastAsia="cs-CZ"/>
        </w:rPr>
        <w:t xml:space="preserve">IČO: </w:t>
      </w:r>
      <w:r w:rsidR="00BB06B7">
        <w:rPr>
          <w:rFonts w:ascii="ArialMT" w:eastAsia="Calibri" w:hAnsi="ArialMT" w:cs="ArialMT"/>
          <w:lang w:eastAsia="cs-CZ"/>
        </w:rPr>
        <w:t>25094459</w:t>
      </w:r>
      <w:r>
        <w:rPr>
          <w:rFonts w:ascii="ArialMT" w:eastAsia="Calibri" w:hAnsi="ArialMT" w:cs="ArialMT"/>
          <w:lang w:eastAsia="cs-CZ"/>
        </w:rPr>
        <w:t xml:space="preserve">, zapsaná v obchodním rejstříku vedeném u </w:t>
      </w:r>
      <w:r w:rsidR="00BB06B7">
        <w:rPr>
          <w:rFonts w:ascii="ArialMT" w:eastAsia="Calibri" w:hAnsi="ArialMT" w:cs="ArialMT"/>
          <w:lang w:eastAsia="cs-CZ"/>
        </w:rPr>
        <w:t>Městského</w:t>
      </w:r>
      <w:r>
        <w:rPr>
          <w:rFonts w:ascii="ArialMT" w:eastAsia="Calibri" w:hAnsi="ArialMT" w:cs="ArialMT"/>
          <w:lang w:eastAsia="cs-CZ"/>
        </w:rPr>
        <w:t xml:space="preserve"> soudu</w:t>
      </w:r>
      <w:r w:rsidR="00495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v </w:t>
      </w:r>
      <w:r w:rsidR="00BB06B7">
        <w:rPr>
          <w:rFonts w:ascii="ArialMT" w:eastAsia="Calibri" w:hAnsi="ArialMT" w:cs="ArialMT"/>
          <w:lang w:eastAsia="cs-CZ"/>
        </w:rPr>
        <w:t>Praze</w:t>
      </w:r>
      <w:r>
        <w:rPr>
          <w:rFonts w:ascii="ArialMT" w:eastAsia="Calibri" w:hAnsi="ArialMT" w:cs="ArialMT"/>
          <w:lang w:eastAsia="cs-CZ"/>
        </w:rPr>
        <w:t xml:space="preserve">, oddíl C, vložka </w:t>
      </w:r>
      <w:r w:rsidR="00BB06B7">
        <w:rPr>
          <w:rFonts w:ascii="ArialMT" w:eastAsia="Calibri" w:hAnsi="ArialMT" w:cs="ArialMT"/>
          <w:lang w:eastAsia="cs-CZ"/>
        </w:rPr>
        <w:t>49143</w:t>
      </w:r>
      <w:r>
        <w:rPr>
          <w:rFonts w:ascii="ArialMT" w:eastAsia="Calibri" w:hAnsi="ArialMT" w:cs="ArialMT"/>
          <w:lang w:eastAsia="cs-CZ"/>
        </w:rPr>
        <w:t>.</w:t>
      </w:r>
    </w:p>
    <w:p w14:paraId="7A7225D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09B62A5D" w14:textId="01BCAB3A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Zastoupená: </w:t>
      </w:r>
      <w:r w:rsidR="00BB06B7">
        <w:rPr>
          <w:rFonts w:ascii="ArialMT" w:eastAsia="Calibri" w:hAnsi="ArialMT" w:cs="ArialMT"/>
          <w:lang w:eastAsia="cs-CZ"/>
        </w:rPr>
        <w:t>Milan Nový, jednatel</w:t>
      </w:r>
    </w:p>
    <w:p w14:paraId="4EECC02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2C83D90D" w14:textId="1594D174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Ve smluvních záležitostech zastoupená: </w:t>
      </w:r>
      <w:r w:rsidR="007B25DF">
        <w:rPr>
          <w:rFonts w:ascii="ArialMT" w:eastAsia="Calibri" w:hAnsi="ArialMT" w:cs="ArialMT"/>
          <w:lang w:eastAsia="cs-CZ"/>
        </w:rPr>
        <w:t>Milan Nový, jednatel</w:t>
      </w:r>
    </w:p>
    <w:p w14:paraId="5482EA63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4ECD994D" w14:textId="1311651D" w:rsidR="002C4C5D" w:rsidRDefault="002C4C5D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 technických záležitostech zastoupená: </w:t>
      </w:r>
      <w:r w:rsidR="00677C22">
        <w:rPr>
          <w:rFonts w:ascii="ArialMT" w:eastAsia="Calibri" w:hAnsi="ArialMT" w:cs="ArialMT"/>
          <w:lang w:eastAsia="cs-CZ"/>
        </w:rPr>
        <w:t>XXXXX</w:t>
      </w:r>
      <w:r w:rsidR="007B25DF">
        <w:rPr>
          <w:rFonts w:ascii="ArialMT" w:eastAsia="Calibri" w:hAnsi="ArialMT" w:cs="ArialMT"/>
          <w:lang w:eastAsia="cs-CZ"/>
        </w:rPr>
        <w:t xml:space="preserve">, </w:t>
      </w:r>
      <w:r w:rsidR="00677C22">
        <w:rPr>
          <w:rFonts w:ascii="ArialMT" w:eastAsia="Calibri" w:hAnsi="ArialMT" w:cs="ArialMT"/>
          <w:lang w:eastAsia="cs-CZ"/>
        </w:rPr>
        <w:t>XXXXX</w:t>
      </w:r>
    </w:p>
    <w:p w14:paraId="65CA2FDC" w14:textId="77777777" w:rsidR="00CD1CD4" w:rsidRDefault="00CD1CD4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b/>
          <w:bCs/>
          <w:lang w:eastAsia="cs-CZ"/>
        </w:rPr>
      </w:pPr>
    </w:p>
    <w:p w14:paraId="60743F50" w14:textId="6FC7FF0E" w:rsidR="007B25DF" w:rsidRPr="00A829E7" w:rsidRDefault="00A829E7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b/>
          <w:bCs/>
          <w:lang w:eastAsia="cs-CZ"/>
        </w:rPr>
        <w:t>Společně s: Ing. Jindřich Jíra</w:t>
      </w:r>
      <w:r>
        <w:rPr>
          <w:rFonts w:ascii="ArialMT" w:eastAsia="Calibri" w:hAnsi="ArialMT" w:cs="ArialMT"/>
          <w:lang w:eastAsia="cs-CZ"/>
        </w:rPr>
        <w:t xml:space="preserve">, </w:t>
      </w:r>
      <w:r w:rsidR="00677C22">
        <w:rPr>
          <w:rFonts w:ascii="ArialMT" w:eastAsia="Calibri" w:hAnsi="ArialMT" w:cs="ArialMT"/>
          <w:lang w:eastAsia="cs-CZ"/>
        </w:rPr>
        <w:t>XXXXX</w:t>
      </w:r>
      <w:r>
        <w:rPr>
          <w:rFonts w:ascii="ArialMT" w:eastAsia="Calibri" w:hAnsi="ArialMT" w:cs="ArialMT"/>
          <w:lang w:eastAsia="cs-CZ"/>
        </w:rPr>
        <w:t>, 395 01 Pacov, IČO: 43820654</w:t>
      </w:r>
    </w:p>
    <w:p w14:paraId="7652B853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07EFCDC" w14:textId="2876F2F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62B74E40" w14:textId="59B9FE6B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Tel.: </w:t>
      </w:r>
      <w:r w:rsidR="00677C22">
        <w:rPr>
          <w:rFonts w:ascii="ArialMT" w:eastAsia="Calibri" w:hAnsi="ArialMT" w:cs="ArialMT"/>
          <w:lang w:eastAsia="cs-CZ"/>
        </w:rPr>
        <w:t>XXXXX</w:t>
      </w:r>
    </w:p>
    <w:p w14:paraId="2D41CE49" w14:textId="25A6C7A9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E-mail: </w:t>
      </w:r>
      <w:r w:rsidR="00677C22">
        <w:rPr>
          <w:rFonts w:ascii="ArialMT" w:eastAsia="Calibri" w:hAnsi="ArialMT" w:cs="ArialMT"/>
          <w:lang w:eastAsia="cs-CZ"/>
        </w:rPr>
        <w:t>XXXXX</w:t>
      </w:r>
    </w:p>
    <w:p w14:paraId="5093829D" w14:textId="67B8C7D1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ID datové schránky: </w:t>
      </w:r>
      <w:r w:rsidR="00324670">
        <w:rPr>
          <w:rFonts w:ascii="ArialMT" w:eastAsia="Calibri" w:hAnsi="ArialMT" w:cs="ArialMT"/>
          <w:lang w:eastAsia="cs-CZ"/>
        </w:rPr>
        <w:t>jyem6ry</w:t>
      </w:r>
    </w:p>
    <w:p w14:paraId="7C2FAC74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6068E70" w14:textId="53CBE98C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Bankovní spojení: </w:t>
      </w:r>
      <w:r w:rsidR="00324670">
        <w:rPr>
          <w:rFonts w:ascii="ArialMT" w:eastAsia="Calibri" w:hAnsi="ArialMT" w:cs="ArialMT"/>
          <w:lang w:eastAsia="cs-CZ"/>
        </w:rPr>
        <w:t>Komerční banka a.s.</w:t>
      </w:r>
    </w:p>
    <w:p w14:paraId="04932A85" w14:textId="1CAC125C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Číslo účtu: </w:t>
      </w:r>
      <w:r w:rsidR="00324670">
        <w:rPr>
          <w:rFonts w:ascii="ArialMT" w:eastAsia="Calibri" w:hAnsi="ArialMT" w:cs="ArialMT"/>
          <w:lang w:eastAsia="cs-CZ"/>
        </w:rPr>
        <w:t>19-4040960207</w:t>
      </w:r>
      <w:r>
        <w:rPr>
          <w:rFonts w:ascii="ArialMT" w:eastAsia="Calibri" w:hAnsi="ArialMT" w:cs="ArialMT"/>
          <w:lang w:eastAsia="cs-CZ"/>
        </w:rPr>
        <w:t>/</w:t>
      </w:r>
      <w:r w:rsidR="00324670">
        <w:rPr>
          <w:rFonts w:ascii="ArialMT" w:eastAsia="Calibri" w:hAnsi="ArialMT" w:cs="ArialMT"/>
          <w:lang w:eastAsia="cs-CZ"/>
        </w:rPr>
        <w:t>0100</w:t>
      </w:r>
    </w:p>
    <w:p w14:paraId="7D6D5B0E" w14:textId="207E43D2" w:rsidR="00BE1F23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DIČ: CZ</w:t>
      </w:r>
      <w:r w:rsidR="00760763">
        <w:rPr>
          <w:rFonts w:ascii="ArialMT" w:eastAsia="Calibri" w:hAnsi="ArialMT" w:cs="ArialMT"/>
          <w:lang w:eastAsia="cs-CZ"/>
        </w:rPr>
        <w:t>25094459</w:t>
      </w:r>
    </w:p>
    <w:p w14:paraId="0010FC96" w14:textId="77777777" w:rsidR="00706EFD" w:rsidRDefault="00706EFD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0D6039B1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9B68E9">
        <w:rPr>
          <w:rFonts w:ascii="Arial" w:hAnsi="Arial" w:cs="Arial"/>
          <w:b w:val="0"/>
          <w:bCs w:val="0"/>
          <w:szCs w:val="22"/>
        </w:rPr>
        <w:t>1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A60E1D">
        <w:rPr>
          <w:rFonts w:ascii="Arial" w:hAnsi="Arial" w:cs="Arial"/>
          <w:b w:val="0"/>
          <w:bCs w:val="0"/>
          <w:caps w:val="0"/>
          <w:szCs w:val="22"/>
        </w:rPr>
        <w:t>1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proofErr w:type="gramStart"/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30FEC763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</w:t>
      </w:r>
      <w:r w:rsidR="00171DF0">
        <w:rPr>
          <w:rFonts w:ascii="Arial" w:hAnsi="Arial" w:cs="Arial"/>
          <w:szCs w:val="22"/>
        </w:rPr>
        <w:t xml:space="preserve"> </w:t>
      </w:r>
      <w:r w:rsidR="00171DF0" w:rsidRPr="00EF35B6">
        <w:rPr>
          <w:rFonts w:ascii="Arial" w:hAnsi="Arial" w:cs="Arial"/>
          <w:i/>
          <w:iCs/>
          <w:szCs w:val="22"/>
        </w:rPr>
        <w:t xml:space="preserve">(týká se pouze </w:t>
      </w:r>
      <w:r w:rsidR="0068078B">
        <w:rPr>
          <w:rFonts w:ascii="Arial" w:hAnsi="Arial" w:cs="Arial"/>
          <w:i/>
          <w:iCs/>
          <w:szCs w:val="22"/>
        </w:rPr>
        <w:t xml:space="preserve">dosud </w:t>
      </w:r>
      <w:r w:rsidR="00171DF0" w:rsidRPr="00EF35B6">
        <w:rPr>
          <w:rFonts w:ascii="Arial" w:hAnsi="Arial" w:cs="Arial"/>
          <w:i/>
          <w:iCs/>
          <w:szCs w:val="22"/>
        </w:rPr>
        <w:t>neodevzdaných dílčích částí, které jsou předmětem smlouvy</w:t>
      </w:r>
      <w:r w:rsidR="008B2FA3">
        <w:rPr>
          <w:rFonts w:ascii="Arial" w:hAnsi="Arial" w:cs="Arial"/>
          <w:i/>
          <w:iCs/>
          <w:szCs w:val="22"/>
        </w:rPr>
        <w:t xml:space="preserve"> o dílo</w:t>
      </w:r>
      <w:r w:rsidR="00EF35B6" w:rsidRPr="00EF35B6">
        <w:rPr>
          <w:rFonts w:ascii="Arial" w:hAnsi="Arial" w:cs="Arial"/>
          <w:i/>
          <w:iCs/>
          <w:szCs w:val="22"/>
        </w:rPr>
        <w:t>)</w:t>
      </w:r>
      <w:r w:rsidRPr="00BF554C">
        <w:rPr>
          <w:rFonts w:ascii="Arial" w:hAnsi="Arial" w:cs="Arial"/>
          <w:szCs w:val="22"/>
        </w:rPr>
        <w:t>:</w:t>
      </w:r>
      <w:bookmarkEnd w:id="3"/>
    </w:p>
    <w:p w14:paraId="69AE73BC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Revize a doplnění stávajícího bodového pole – digitální vyhotovení určené Objednateli;</w:t>
      </w:r>
    </w:p>
    <w:p w14:paraId="649AD78D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Podrobné měření polohopisu v obvodu KoPÚ – digitální vyhotovení určené Objednateli;</w:t>
      </w:r>
    </w:p>
    <w:p w14:paraId="234C176A" w14:textId="77777777" w:rsidR="00213E37" w:rsidRPr="00EF35B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EF35B6">
        <w:rPr>
          <w:rFonts w:ascii="Arial" w:hAnsi="Arial" w:cs="Arial"/>
        </w:rPr>
        <w:t>Vektorizace vlastnické mapy – digitální vyhotovení určené Objednateli;</w:t>
      </w:r>
    </w:p>
    <w:p w14:paraId="392AF328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3FBF2178" w14:textId="77777777" w:rsidR="00213E37" w:rsidRPr="00EF35B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EF35B6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EF35B6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EF35B6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1110D623" w14:textId="2785C5E8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Dokumentace nároků vlastníků – </w:t>
      </w:r>
      <w:r w:rsidR="0092408F">
        <w:rPr>
          <w:rFonts w:ascii="Arial" w:hAnsi="Arial" w:cs="Arial"/>
        </w:rPr>
        <w:t>5</w:t>
      </w:r>
      <w:r w:rsidRPr="00BF554C">
        <w:rPr>
          <w:rFonts w:ascii="Arial" w:hAnsi="Arial" w:cs="Arial"/>
        </w:rPr>
        <w:t>x listinné vyhotovení určené – 1x Objednateli, 1x obci</w:t>
      </w:r>
      <w:r w:rsidR="00B30FF3">
        <w:rPr>
          <w:rFonts w:ascii="Arial" w:hAnsi="Arial" w:cs="Arial"/>
        </w:rPr>
        <w:t xml:space="preserve"> Čečelice a 1x obci Byšice</w:t>
      </w:r>
      <w:r w:rsidRPr="00BF554C">
        <w:rPr>
          <w:rFonts w:ascii="Arial" w:hAnsi="Arial" w:cs="Arial"/>
        </w:rPr>
        <w:t xml:space="preserve">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19171556" w14:textId="583439F3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dokumentace PSZ – </w:t>
      </w:r>
      <w:r w:rsidR="00C840C5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x listinné vyhotovení určené – 1x Objednateli</w:t>
      </w:r>
      <w:r w:rsidR="00C840C5">
        <w:rPr>
          <w:rFonts w:ascii="Arial" w:hAnsi="Arial" w:cs="Arial"/>
        </w:rPr>
        <w:t>,</w:t>
      </w:r>
      <w:r w:rsidRPr="00BF554C">
        <w:rPr>
          <w:rFonts w:ascii="Arial" w:hAnsi="Arial" w:cs="Arial"/>
        </w:rPr>
        <w:t xml:space="preserve"> 1x obci</w:t>
      </w:r>
      <w:r w:rsidR="00C840C5">
        <w:rPr>
          <w:rFonts w:ascii="Arial" w:hAnsi="Arial" w:cs="Arial"/>
        </w:rPr>
        <w:t xml:space="preserve"> Čečelice a 1x obci Byšice</w:t>
      </w:r>
      <w:r w:rsidRPr="00BF554C">
        <w:rPr>
          <w:rFonts w:ascii="Arial" w:hAnsi="Arial" w:cs="Arial"/>
        </w:rPr>
        <w:t>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Vypracování dokumentace technického řešení – 1x listinné a digitální vyhotovení určené Objednateli;</w:t>
      </w:r>
    </w:p>
    <w:p w14:paraId="2B82FB0C" w14:textId="6B7C4E1A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</w:t>
      </w:r>
      <w:r w:rsidR="006A6DC9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x listinné vyhotovení určené – 1x Objednateli</w:t>
      </w:r>
      <w:r w:rsidR="006A6DC9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</w:rPr>
        <w:t>1x obci</w:t>
      </w:r>
      <w:r w:rsidR="006A6DC9">
        <w:rPr>
          <w:rFonts w:ascii="Arial" w:hAnsi="Arial" w:cs="Arial"/>
        </w:rPr>
        <w:t xml:space="preserve"> Čečelice a 1x obci Byšice</w:t>
      </w:r>
      <w:r w:rsidRPr="00BF554C">
        <w:rPr>
          <w:rFonts w:ascii="Arial" w:hAnsi="Arial" w:cs="Arial"/>
        </w:rPr>
        <w:t xml:space="preserve">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3FD411F9" w14:textId="5864B471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 xml:space="preserve">Vypracování návrhu nového uspořádání pozemků k vystavení – </w:t>
      </w:r>
      <w:r w:rsidR="00686928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x listinné vyhotovení určené – 1x Objednateli</w:t>
      </w:r>
      <w:r w:rsidR="00686928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</w:rPr>
        <w:t>1x obci</w:t>
      </w:r>
      <w:r w:rsidR="00686928">
        <w:rPr>
          <w:rFonts w:ascii="Arial" w:hAnsi="Arial" w:cs="Arial"/>
        </w:rPr>
        <w:t xml:space="preserve"> Čečelice a 1x obci Byšice</w:t>
      </w:r>
      <w:r w:rsidRPr="00BF554C">
        <w:rPr>
          <w:rFonts w:ascii="Arial" w:hAnsi="Arial" w:cs="Arial"/>
        </w:rPr>
        <w:t xml:space="preserve"> k vystavení; digitální vyhotovení určené Objednateli;</w:t>
      </w:r>
      <w:bookmarkEnd w:id="5"/>
    </w:p>
    <w:p w14:paraId="45C25DF7" w14:textId="655D6A73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 xml:space="preserve">Předložení aktuální dokumentace návrhu nového uspořádání pozemků – </w:t>
      </w:r>
      <w:r w:rsidR="0046511F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>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</w:t>
      </w:r>
      <w:r w:rsidR="0046511F">
        <w:rPr>
          <w:rFonts w:ascii="Arial" w:hAnsi="Arial" w:cs="Arial"/>
        </w:rPr>
        <w:t xml:space="preserve">, </w:t>
      </w:r>
      <w:r w:rsidRPr="00BF554C">
        <w:rPr>
          <w:rFonts w:ascii="Arial" w:hAnsi="Arial" w:cs="Arial"/>
        </w:rPr>
        <w:t>1x obci</w:t>
      </w:r>
      <w:r w:rsidR="0046511F">
        <w:rPr>
          <w:rFonts w:ascii="Arial" w:hAnsi="Arial" w:cs="Arial"/>
        </w:rPr>
        <w:t xml:space="preserve"> Čečelice a 1x obci Byšice</w:t>
      </w:r>
      <w:r w:rsidRPr="00BF554C">
        <w:rPr>
          <w:rFonts w:ascii="Arial" w:hAnsi="Arial" w:cs="Arial"/>
        </w:rPr>
        <w:t xml:space="preserve">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 xml:space="preserve">, které dosud nebyly Objednateli nebo obci předány) + </w:t>
      </w:r>
      <w:r w:rsidR="00AD5CE3">
        <w:rPr>
          <w:rFonts w:ascii="Arial" w:hAnsi="Arial" w:cs="Arial"/>
        </w:rPr>
        <w:t>4</w:t>
      </w:r>
      <w:r w:rsidRPr="00BF554C">
        <w:rPr>
          <w:rFonts w:ascii="Arial" w:hAnsi="Arial" w:cs="Arial"/>
        </w:rPr>
        <w:t>x listinné vyhotovení přílohy k rozhodnutí o schválení návrhu určené – 1x Objednateli, 1x k rozeslání účastníkům řízení, 1x obci</w:t>
      </w:r>
      <w:r w:rsidR="00AD5CE3">
        <w:rPr>
          <w:rFonts w:ascii="Arial" w:hAnsi="Arial" w:cs="Arial"/>
        </w:rPr>
        <w:t xml:space="preserve"> Čečelice a 1x obci Byšice</w:t>
      </w:r>
      <w:r w:rsidRPr="00BF554C">
        <w:rPr>
          <w:rFonts w:ascii="Arial" w:hAnsi="Arial" w:cs="Arial"/>
        </w:rPr>
        <w:t xml:space="preserve"> k veřejnému nahlédnutí; digitální vyhotovení určené Objednateli;</w:t>
      </w:r>
      <w:bookmarkEnd w:id="6"/>
    </w:p>
    <w:p w14:paraId="4C9BA4C5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F554C" w:rsidRDefault="00213E37" w:rsidP="005E6975">
      <w:pPr>
        <w:pStyle w:val="Claneka"/>
        <w:keepLines w:val="0"/>
        <w:widowControl/>
        <w:numPr>
          <w:ilvl w:val="2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5E416ED4" w:rsidR="005E6975" w:rsidRDefault="00213E37" w:rsidP="00BF554C">
      <w:pPr>
        <w:pStyle w:val="Claneka"/>
        <w:keepLines w:val="0"/>
        <w:widowControl/>
        <w:numPr>
          <w:ilvl w:val="2"/>
          <w:numId w:val="17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 xml:space="preserve">Vypracování písemných příloh k rozhodnutí o výměně nebo přechodu vlastnických práv – </w:t>
      </w:r>
      <w:r w:rsidR="009F0AC1">
        <w:rPr>
          <w:rFonts w:ascii="Arial" w:hAnsi="Arial" w:cs="Arial"/>
        </w:rPr>
        <w:t>5</w:t>
      </w:r>
      <w:r w:rsidRPr="00BF554C">
        <w:rPr>
          <w:rFonts w:ascii="Arial" w:hAnsi="Arial" w:cs="Arial"/>
        </w:rPr>
        <w:t>x listinné vyhotovení určené – 1x Objednateli, 1x obci</w:t>
      </w:r>
      <w:r w:rsidR="009F0AC1">
        <w:rPr>
          <w:rFonts w:ascii="Arial" w:hAnsi="Arial" w:cs="Arial"/>
        </w:rPr>
        <w:t xml:space="preserve"> Čečelice a 1x obci Byšice</w:t>
      </w:r>
      <w:r w:rsidRPr="00BF554C">
        <w:rPr>
          <w:rFonts w:ascii="Arial" w:hAnsi="Arial" w:cs="Arial"/>
        </w:rPr>
        <w:t xml:space="preserve">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6CD2DE74" w14:textId="77777777" w:rsidR="003429B5" w:rsidRDefault="003429B5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7A8C13F9" w:rsidR="00230310" w:rsidRPr="003429B5" w:rsidRDefault="00230310" w:rsidP="001F3F4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06D8650B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8F45AE">
        <w:rPr>
          <w:rFonts w:ascii="Arial" w:hAnsi="Arial" w:cs="Arial"/>
          <w:b/>
        </w:rPr>
        <w:t>tento Dodatek č. 1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A5433DE" w14:textId="7DF7855F" w:rsidR="00321F69" w:rsidRPr="00321F69" w:rsidRDefault="00321F69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21F69">
        <w:rPr>
          <w:rFonts w:ascii="Arial" w:hAnsi="Arial" w:cs="Arial"/>
          <w:bCs/>
        </w:rPr>
        <w:t>Dodatek č. 1 je vyhotoven a podepsán v elektronické podobě.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36528EC" w:rsidR="002C5371" w:rsidRPr="00ED6435" w:rsidRDefault="002C5371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441F1">
        <w:rPr>
          <w:rFonts w:ascii="Arial" w:eastAsia="Times New Roman" w:hAnsi="Arial" w:cs="Arial"/>
          <w:b/>
          <w:lang w:eastAsia="cs-CZ"/>
        </w:rPr>
        <w:t xml:space="preserve">AREA G. K. spol. </w:t>
      </w:r>
      <w:r w:rsidR="00D9731E">
        <w:rPr>
          <w:rFonts w:ascii="Arial" w:eastAsia="Times New Roman" w:hAnsi="Arial" w:cs="Arial"/>
          <w:b/>
          <w:lang w:eastAsia="cs-CZ"/>
        </w:rPr>
        <w:t>s</w:t>
      </w:r>
      <w:r w:rsidR="004441F1">
        <w:rPr>
          <w:rFonts w:ascii="Arial" w:eastAsia="Times New Roman" w:hAnsi="Arial" w:cs="Arial"/>
          <w:b/>
          <w:lang w:eastAsia="cs-CZ"/>
        </w:rPr>
        <w:t xml:space="preserve"> </w:t>
      </w:r>
      <w:r w:rsidR="00D9731E">
        <w:rPr>
          <w:rFonts w:ascii="Arial" w:eastAsia="Times New Roman" w:hAnsi="Arial" w:cs="Arial"/>
          <w:b/>
          <w:lang w:eastAsia="cs-CZ"/>
        </w:rPr>
        <w:t>r.o.</w:t>
      </w:r>
      <w:r w:rsidR="004441F1">
        <w:rPr>
          <w:rFonts w:ascii="Arial" w:eastAsia="Times New Roman" w:hAnsi="Arial" w:cs="Arial"/>
          <w:b/>
          <w:lang w:eastAsia="cs-CZ"/>
        </w:rPr>
        <w:t xml:space="preserve"> (reprezentant sdružení)</w:t>
      </w:r>
    </w:p>
    <w:p w14:paraId="58996297" w14:textId="64531C8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277A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441F1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4221E29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77C22">
        <w:rPr>
          <w:rFonts w:ascii="Arial" w:eastAsia="Times New Roman" w:hAnsi="Arial" w:cs="Arial"/>
          <w:bCs/>
          <w:lang w:eastAsia="cs-CZ"/>
        </w:rPr>
        <w:t>27. 7. 2023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77C22">
        <w:rPr>
          <w:rFonts w:ascii="Arial" w:eastAsia="Times New Roman" w:hAnsi="Arial" w:cs="Arial"/>
          <w:bCs/>
          <w:lang w:eastAsia="cs-CZ"/>
        </w:rPr>
        <w:t>27. 7. 2023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40EF79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441F1">
        <w:rPr>
          <w:rFonts w:ascii="Arial" w:eastAsia="Times New Roman" w:hAnsi="Arial" w:cs="Arial"/>
          <w:bCs/>
          <w:lang w:eastAsia="cs-CZ"/>
        </w:rPr>
        <w:t>Milan Nový</w:t>
      </w:r>
    </w:p>
    <w:p w14:paraId="2AB930F1" w14:textId="77777777" w:rsidR="00466EBD" w:rsidRDefault="002C5371" w:rsidP="00466E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2C78A0AF" w:rsidR="002C5371" w:rsidRPr="004B45F4" w:rsidRDefault="004B45F4" w:rsidP="00466EB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F5CCFAB" w14:textId="77777777" w:rsidR="003D036B" w:rsidRDefault="003D036B">
      <w:pPr>
        <w:spacing w:line="240" w:lineRule="auto"/>
        <w:rPr>
          <w:rFonts w:ascii="Arial" w:hAnsi="Arial" w:cs="Arial"/>
        </w:rPr>
      </w:pPr>
    </w:p>
    <w:sectPr w:rsidR="003D036B" w:rsidSect="00111558">
      <w:footerReference w:type="default" r:id="rId13"/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B56A" w14:textId="77777777" w:rsidR="00976BAA" w:rsidRDefault="00976BAA" w:rsidP="007936E4">
      <w:pPr>
        <w:spacing w:after="0"/>
      </w:pPr>
      <w:r>
        <w:separator/>
      </w:r>
    </w:p>
  </w:endnote>
  <w:endnote w:type="continuationSeparator" w:id="0">
    <w:p w14:paraId="3873E0C8" w14:textId="77777777" w:rsidR="00976BAA" w:rsidRDefault="00976BAA" w:rsidP="007936E4">
      <w:pPr>
        <w:spacing w:after="0"/>
      </w:pPr>
      <w:r>
        <w:continuationSeparator/>
      </w:r>
    </w:p>
  </w:endnote>
  <w:endnote w:type="continuationNotice" w:id="1">
    <w:p w14:paraId="54BEFD9A" w14:textId="77777777" w:rsidR="00976BAA" w:rsidRDefault="00976BA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BBED" w14:textId="77777777" w:rsidR="00976BAA" w:rsidRDefault="00976BAA" w:rsidP="007936E4">
      <w:pPr>
        <w:spacing w:after="0"/>
      </w:pPr>
      <w:r>
        <w:separator/>
      </w:r>
    </w:p>
  </w:footnote>
  <w:footnote w:type="continuationSeparator" w:id="0">
    <w:p w14:paraId="3F1D7884" w14:textId="77777777" w:rsidR="00976BAA" w:rsidRDefault="00976BAA" w:rsidP="007936E4">
      <w:pPr>
        <w:spacing w:after="0"/>
      </w:pPr>
      <w:r>
        <w:continuationSeparator/>
      </w:r>
    </w:p>
  </w:footnote>
  <w:footnote w:type="continuationNotice" w:id="1">
    <w:p w14:paraId="27789D78" w14:textId="77777777" w:rsidR="00976BAA" w:rsidRDefault="00976BAA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97F62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8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DF0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202687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2E6A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C5D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F69"/>
    <w:rsid w:val="0032237D"/>
    <w:rsid w:val="003227DC"/>
    <w:rsid w:val="003242CE"/>
    <w:rsid w:val="003244C5"/>
    <w:rsid w:val="00324670"/>
    <w:rsid w:val="003247A7"/>
    <w:rsid w:val="00324E7A"/>
    <w:rsid w:val="003256CA"/>
    <w:rsid w:val="0032605F"/>
    <w:rsid w:val="003266AD"/>
    <w:rsid w:val="00327110"/>
    <w:rsid w:val="003277A1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BF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BC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A85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1F1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11F"/>
    <w:rsid w:val="00465327"/>
    <w:rsid w:val="00465B5A"/>
    <w:rsid w:val="0046606F"/>
    <w:rsid w:val="004662C1"/>
    <w:rsid w:val="004665F1"/>
    <w:rsid w:val="004667C6"/>
    <w:rsid w:val="00466EBD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89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57B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77C22"/>
    <w:rsid w:val="006806AC"/>
    <w:rsid w:val="0068078B"/>
    <w:rsid w:val="006810E8"/>
    <w:rsid w:val="00682382"/>
    <w:rsid w:val="006846A3"/>
    <w:rsid w:val="0068692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C9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3C5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763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593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5D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FA3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5AE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08F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6BAA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8E9"/>
    <w:rsid w:val="009B71ED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AC1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6E6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9E7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BC8"/>
    <w:rsid w:val="00AD36F0"/>
    <w:rsid w:val="00AD3A63"/>
    <w:rsid w:val="00AD55B3"/>
    <w:rsid w:val="00AD5799"/>
    <w:rsid w:val="00AD5CE3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F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6B7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7"/>
    <w:rsid w:val="00C832AB"/>
    <w:rsid w:val="00C83406"/>
    <w:rsid w:val="00C83856"/>
    <w:rsid w:val="00C8391D"/>
    <w:rsid w:val="00C83921"/>
    <w:rsid w:val="00C840C5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CD4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EDC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A63"/>
    <w:rsid w:val="00E51B14"/>
    <w:rsid w:val="00E51B49"/>
    <w:rsid w:val="00E52135"/>
    <w:rsid w:val="00E52863"/>
    <w:rsid w:val="00E5291F"/>
    <w:rsid w:val="00E531D5"/>
    <w:rsid w:val="00E5400B"/>
    <w:rsid w:val="00E54808"/>
    <w:rsid w:val="00E5512E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C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77C2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77C2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5</cp:revision>
  <cp:lastPrinted>2023-07-27T06:02:00Z</cp:lastPrinted>
  <dcterms:created xsi:type="dcterms:W3CDTF">2023-07-27T06:02:00Z</dcterms:created>
  <dcterms:modified xsi:type="dcterms:W3CDTF">2023-07-27T11:51:00Z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