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caps/>
          <w:sz w:val="24"/>
          <w:szCs w:val="24"/>
        </w:rPr>
      </w:pPr>
      <w:r>
        <w:rPr>
          <w:rFonts w:eastAsia="Calibri" w:cs="Arial" w:ascii="Arial" w:hAnsi="Arial"/>
          <w:b/>
          <w:caps/>
          <w:sz w:val="24"/>
          <w:szCs w:val="24"/>
        </w:rPr>
        <w:t xml:space="preserve">KUPNÍ SmlouvA č.  </w:t>
      </w:r>
      <w:r>
        <w:rPr>
          <w:rFonts w:eastAsia="Calibri" w:cs="Arial" w:ascii="Arial" w:hAnsi="Arial"/>
          <w:b/>
          <w:caps/>
          <w:sz w:val="24"/>
          <w:szCs w:val="24"/>
        </w:rPr>
        <w:t>03</w:t>
      </w:r>
      <w:r>
        <w:rPr>
          <w:rFonts w:eastAsia="Calibri" w:cs="Arial" w:ascii="Arial" w:hAnsi="Arial"/>
          <w:b/>
          <w:caps/>
          <w:sz w:val="24"/>
          <w:szCs w:val="24"/>
        </w:rPr>
        <w:t>202</w:t>
      </w:r>
      <w:r>
        <w:rPr>
          <w:rFonts w:eastAsia="Calibri" w:cs="Arial" w:ascii="Arial" w:hAnsi="Arial"/>
          <w:b/>
          <w:caps/>
          <w:sz w:val="24"/>
          <w:szCs w:val="24"/>
        </w:rPr>
        <w:t>2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uzavřená dle ustanovení § 2079 a násl. zákona č. 89/2012 Sb., občanský zákoník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eastAsia="Calibri" w:cs="Arial" w:ascii="Arial" w:hAnsi="Arial"/>
          <w:sz w:val="24"/>
          <w:szCs w:val="24"/>
        </w:rPr>
        <w:t xml:space="preserve">ve znění pozdějších předpisů (dále jen „OZ“), mezi těmito smluvními stranami: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-2410" w:leader="none"/>
        </w:tabs>
        <w:spacing w:lineRule="auto" w:line="240" w:before="120" w:after="120"/>
        <w:ind w:left="284" w:hanging="284"/>
        <w:jc w:val="center"/>
        <w:outlineLvl w:val="3"/>
        <w:rPr>
          <w:rFonts w:ascii="Arial" w:hAnsi="Arial" w:eastAsia="Times New Roman" w:cs="Arial"/>
          <w:b/>
          <w:b/>
          <w:bCs/>
          <w:caps/>
          <w:sz w:val="24"/>
          <w:szCs w:val="24"/>
        </w:rPr>
      </w:pPr>
      <w:r>
        <w:rPr>
          <w:rFonts w:eastAsia="Times New Roman" w:cs="Arial" w:ascii="Arial" w:hAnsi="Arial"/>
          <w:b/>
          <w:bCs/>
          <w:caps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-2410" w:leader="none"/>
        </w:tabs>
        <w:spacing w:lineRule="auto" w:line="240" w:before="120" w:after="120"/>
        <w:ind w:left="284" w:hanging="284"/>
        <w:jc w:val="center"/>
        <w:outlineLvl w:val="3"/>
        <w:rPr>
          <w:rFonts w:ascii="Arial" w:hAnsi="Arial" w:eastAsia="Times New Roman" w:cs="Arial"/>
          <w:b/>
          <w:b/>
          <w:bCs/>
          <w:caps/>
          <w:sz w:val="24"/>
          <w:szCs w:val="24"/>
        </w:rPr>
      </w:pPr>
      <w:r>
        <w:rPr>
          <w:rFonts w:eastAsia="Times New Roman" w:cs="Arial" w:ascii="Arial" w:hAnsi="Arial"/>
          <w:b/>
          <w:bCs/>
          <w:caps/>
          <w:sz w:val="24"/>
          <w:szCs w:val="24"/>
        </w:rPr>
        <w:t>Smluvní strany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  <w:t xml:space="preserve"> </w:t>
      </w:r>
      <w:r>
        <w:rPr>
          <w:rFonts w:eastAsia="Times New Roman" w:cs="Arial" w:ascii="Arial" w:hAnsi="Arial"/>
          <w:b/>
          <w:bCs/>
          <w:sz w:val="24"/>
          <w:szCs w:val="24"/>
        </w:rPr>
        <w:t>Základní škola Tišnov, nám 28. října, příspěvková organizace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se sídlem: </w:t>
        <w:tab/>
      </w:r>
      <w:r>
        <w:rPr>
          <w:rFonts w:cs="Arial" w:ascii="Arial" w:hAnsi="Arial"/>
          <w:sz w:val="24"/>
          <w:szCs w:val="24"/>
        </w:rPr>
        <w:t>nám. 28. října 1708, 666 01 Tišnov, okr. Brno - venkov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zastoupen:</w:t>
        <w:tab/>
      </w:r>
      <w:r>
        <w:rPr>
          <w:rFonts w:cs="Arial" w:ascii="Arial" w:hAnsi="Arial"/>
          <w:sz w:val="24"/>
          <w:szCs w:val="24"/>
        </w:rPr>
        <w:t>Zhořová Radmila, PaedDr., ředitelka školy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IČ:</w:t>
        <w:tab/>
      </w:r>
      <w:r>
        <w:rPr>
          <w:rFonts w:cs="Arial" w:ascii="Arial" w:hAnsi="Arial"/>
          <w:sz w:val="24"/>
          <w:szCs w:val="24"/>
        </w:rPr>
        <w:t>70283940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DIČ:</w:t>
        <w:tab/>
        <w:t>Nejsme plátci DPH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Bankovní spojení:</w:t>
        <w:tab/>
        <w:t xml:space="preserve">Moneta Money Bank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Číslo účtu:</w:t>
        <w:tab/>
      </w:r>
      <w:r>
        <w:rPr>
          <w:rFonts w:eastAsia="" w:cs="Arial" w:ascii="Arial" w:hAnsi="Arial" w:eastAsiaTheme="minorEastAsia"/>
          <w:color w:val="000000"/>
          <w:sz w:val="24"/>
          <w:szCs w:val="24"/>
        </w:rPr>
        <w:t>161857929/0600</w:t>
      </w:r>
    </w:p>
    <w:p>
      <w:pPr>
        <w:pStyle w:val="Normal"/>
        <w:numPr>
          <w:ilvl w:val="0"/>
          <w:numId w:val="0"/>
        </w:numPr>
        <w:spacing w:lineRule="auto" w:line="240" w:before="120" w:after="0"/>
        <w:ind w:left="360" w:hanging="0"/>
        <w:jc w:val="both"/>
        <w:rPr>
          <w:rFonts w:ascii="Arial" w:hAnsi="Arial" w:eastAsia="Times New Roman" w:cs="Arial"/>
          <w:iCs/>
          <w:sz w:val="24"/>
          <w:szCs w:val="24"/>
        </w:rPr>
      </w:pPr>
      <w:r>
        <w:rPr>
          <w:rFonts w:eastAsia="Times New Roman" w:cs="Arial" w:ascii="Arial" w:hAnsi="Arial"/>
          <w:iCs/>
          <w:sz w:val="24"/>
          <w:szCs w:val="24"/>
        </w:rPr>
        <w:t>(dále jen „kupující“)</w:t>
      </w:r>
    </w:p>
    <w:p>
      <w:pPr>
        <w:pStyle w:val="Normal"/>
        <w:tabs>
          <w:tab w:val="clear" w:pos="708"/>
          <w:tab w:val="left" w:pos="2835" w:leader="none"/>
        </w:tabs>
        <w:spacing w:lineRule="auto" w:line="240" w:before="240" w:after="24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a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120" w:after="0"/>
        <w:ind w:left="720" w:hanging="0"/>
        <w:jc w:val="both"/>
        <w:rPr>
          <w:rFonts w:ascii="Arial" w:hAnsi="Arial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  <w:t>Obchodní firma</w:t>
        <w:tab/>
      </w:r>
      <w:r>
        <w:rPr>
          <w:rFonts w:eastAsia="Times New Roman" w:cs="Arial" w:ascii="Arial" w:hAnsi="Arial"/>
          <w:b/>
          <w:bCs/>
          <w:sz w:val="24"/>
          <w:szCs w:val="24"/>
        </w:rPr>
        <w:t>ROBOT WORLD</w:t>
      </w:r>
      <w:r>
        <w:rPr>
          <w:rFonts w:eastAsia="Times New Roman" w:cs="Arial" w:ascii="Arial" w:hAnsi="Arial"/>
          <w:b/>
          <w:bCs/>
          <w:sz w:val="24"/>
          <w:szCs w:val="24"/>
        </w:rPr>
        <w:t>, s.r.o.</w:t>
      </w:r>
    </w:p>
    <w:p>
      <w:pPr>
        <w:pStyle w:val="NoSpacing"/>
        <w:rPr>
          <w:rFonts w:ascii="Arial" w:hAnsi="Arial" w:cs="Arial"/>
          <w:szCs w:val="24"/>
        </w:rPr>
      </w:pPr>
      <w:r>
        <w:rPr>
          <w:rFonts w:eastAsia="Times New Roman" w:cs="Arial" w:ascii="Arial" w:hAnsi="Arial"/>
          <w:szCs w:val="24"/>
        </w:rPr>
        <w:t xml:space="preserve">     </w:t>
      </w:r>
      <w:r>
        <w:rPr>
          <w:rFonts w:eastAsia="Times New Roman" w:cs="Arial" w:ascii="Arial" w:hAnsi="Arial"/>
          <w:szCs w:val="24"/>
        </w:rPr>
        <w:t>se sídlem:</w:t>
        <w:tab/>
        <w:tab/>
      </w:r>
      <w:r>
        <w:rPr>
          <w:rFonts w:eastAsia="Times New Roman" w:cs="Arial" w:ascii="Arial" w:hAnsi="Arial"/>
          <w:szCs w:val="24"/>
        </w:rPr>
        <w:t>Běloveská 944, 547 01 Náchod</w:t>
      </w:r>
    </w:p>
    <w:p>
      <w:pPr>
        <w:pStyle w:val="Normal"/>
        <w:tabs>
          <w:tab w:val="clear" w:pos="708"/>
          <w:tab w:val="left" w:pos="2835" w:leader="none"/>
          <w:tab w:val="left" w:pos="2880" w:leader="none"/>
        </w:tabs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zastoupena:</w:t>
        <w:tab/>
      </w:r>
      <w:r>
        <w:rPr>
          <w:rFonts w:eastAsia="Times New Roman" w:cs="Arial" w:ascii="Arial" w:hAnsi="Arial"/>
          <w:sz w:val="24"/>
          <w:szCs w:val="24"/>
        </w:rPr>
        <w:t>Klárou Kotyzovou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2835" w:leader="none"/>
          <w:tab w:val="left" w:pos="2880" w:leader="none"/>
        </w:tabs>
        <w:spacing w:lineRule="auto" w:line="240" w:before="0" w:after="0"/>
        <w:ind w:left="357" w:firstLine="3"/>
        <w:outlineLvl w:val="4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IČ:</w:t>
        <w:tab/>
      </w:r>
      <w:r>
        <w:rPr>
          <w:rFonts w:eastAsia="Times New Roman" w:cs="Arial" w:ascii="Arial" w:hAnsi="Arial"/>
          <w:sz w:val="24"/>
          <w:szCs w:val="24"/>
        </w:rPr>
        <w:t>49813366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2835" w:leader="none"/>
          <w:tab w:val="left" w:pos="2880" w:leader="none"/>
        </w:tabs>
        <w:spacing w:lineRule="auto" w:line="240" w:before="0" w:after="0"/>
        <w:ind w:left="357" w:firstLine="3"/>
        <w:outlineLvl w:val="4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DIČ:</w:t>
        <w:tab/>
        <w:t>CZ</w:t>
      </w:r>
      <w:r>
        <w:rPr>
          <w:rFonts w:eastAsia="Times New Roman" w:cs="Arial" w:ascii="Arial" w:hAnsi="Arial"/>
          <w:sz w:val="24"/>
          <w:szCs w:val="24"/>
        </w:rPr>
        <w:t>498133</w:t>
      </w:r>
      <w:r>
        <w:rPr>
          <w:rFonts w:eastAsia="Times New Roman" w:cs="Arial" w:ascii="Arial" w:hAnsi="Arial"/>
          <w:sz w:val="24"/>
          <w:szCs w:val="24"/>
        </w:rPr>
        <w:t>66</w:t>
      </w:r>
    </w:p>
    <w:p>
      <w:pPr>
        <w:pStyle w:val="Normal"/>
        <w:tabs>
          <w:tab w:val="clear" w:pos="708"/>
          <w:tab w:val="left" w:pos="2835" w:leader="none"/>
          <w:tab w:val="left" w:pos="2880" w:leader="none"/>
        </w:tabs>
        <w:spacing w:lineRule="auto" w:line="240" w:before="0" w:after="0"/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Bankovní spojení:</w:t>
        <w:tab/>
      </w:r>
      <w:r>
        <w:rPr>
          <w:rFonts w:eastAsia="Times New Roman" w:cs="Arial" w:ascii="Arial" w:hAnsi="Arial"/>
          <w:sz w:val="24"/>
          <w:szCs w:val="24"/>
        </w:rPr>
        <w:t>ČSOB</w:t>
      </w:r>
    </w:p>
    <w:p>
      <w:pPr>
        <w:pStyle w:val="Normal"/>
        <w:tabs>
          <w:tab w:val="clear" w:pos="708"/>
          <w:tab w:val="left" w:pos="0" w:leader="none"/>
          <w:tab w:val="left" w:pos="2835" w:leader="none"/>
          <w:tab w:val="left" w:pos="2880" w:leader="none"/>
        </w:tabs>
        <w:spacing w:lineRule="auto" w:line="240" w:before="0" w:after="0"/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Číslo účtu:</w:t>
        <w:tab/>
      </w:r>
      <w:r>
        <w:rPr>
          <w:rFonts w:eastAsia="" w:cs="Arial" w:ascii="Arial" w:hAnsi="Arial" w:eastAsiaTheme="minorEastAsia"/>
          <w:color w:val="000000"/>
          <w:sz w:val="24"/>
          <w:szCs w:val="24"/>
        </w:rPr>
        <w:t>233</w:t>
      </w:r>
      <w:r>
        <w:rPr>
          <w:rFonts w:eastAsia="" w:cs="Arial" w:ascii="Arial" w:hAnsi="Arial" w:eastAsiaTheme="minorEastAsia"/>
          <w:color w:val="000000"/>
          <w:sz w:val="24"/>
          <w:szCs w:val="24"/>
        </w:rPr>
        <w:t>061795</w:t>
      </w:r>
      <w:r>
        <w:rPr>
          <w:rFonts w:eastAsia="" w:cs="Arial" w:ascii="Arial" w:hAnsi="Arial" w:eastAsiaTheme="minorEastAsia"/>
          <w:color w:val="000000"/>
          <w:sz w:val="24"/>
          <w:szCs w:val="24"/>
        </w:rPr>
        <w:t>/0</w:t>
      </w:r>
      <w:r>
        <w:rPr>
          <w:rFonts w:eastAsia="" w:cs="Arial" w:ascii="Arial" w:hAnsi="Arial" w:eastAsiaTheme="minorEastAsia"/>
          <w:color w:val="000000"/>
          <w:sz w:val="24"/>
          <w:szCs w:val="24"/>
        </w:rPr>
        <w:t>30</w:t>
      </w:r>
      <w:r>
        <w:rPr>
          <w:rFonts w:eastAsia="" w:cs="Arial" w:ascii="Arial" w:hAnsi="Arial" w:eastAsiaTheme="minorEastAsia"/>
          <w:color w:val="000000"/>
          <w:sz w:val="24"/>
          <w:szCs w:val="24"/>
        </w:rPr>
        <w:t>0</w:t>
      </w:r>
    </w:p>
    <w:p>
      <w:pPr>
        <w:pStyle w:val="Normal"/>
        <w:tabs>
          <w:tab w:val="clear" w:pos="708"/>
          <w:tab w:val="left" w:pos="0" w:leader="none"/>
          <w:tab w:val="left" w:pos="2835" w:leader="none"/>
          <w:tab w:val="left" w:pos="2880" w:leader="none"/>
        </w:tabs>
        <w:spacing w:lineRule="auto" w:line="240" w:before="0" w:after="0"/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Zapsána v obchodním rejstříku vedeném u Krajského soudu v </w:t>
      </w:r>
      <w:r>
        <w:rPr>
          <w:rFonts w:eastAsia="Times New Roman" w:cs="Arial" w:ascii="Arial" w:hAnsi="Arial"/>
          <w:sz w:val="24"/>
          <w:szCs w:val="24"/>
        </w:rPr>
        <w:t>Hradci Králové</w:t>
      </w:r>
      <w:r>
        <w:rPr>
          <w:rFonts w:eastAsia="Times New Roman" w:cs="Arial" w:ascii="Arial" w:hAnsi="Arial"/>
          <w:sz w:val="24"/>
          <w:szCs w:val="24"/>
        </w:rPr>
        <w:t xml:space="preserve">, oddíl C, vložka </w:t>
      </w:r>
      <w:r>
        <w:rPr>
          <w:rFonts w:eastAsia="Times New Roman" w:cs="Arial" w:ascii="Arial" w:hAnsi="Arial"/>
          <w:sz w:val="24"/>
          <w:szCs w:val="24"/>
        </w:rPr>
        <w:t>4987</w:t>
      </w:r>
    </w:p>
    <w:p>
      <w:pPr>
        <w:pStyle w:val="Normal"/>
        <w:tabs>
          <w:tab w:val="clear" w:pos="708"/>
          <w:tab w:val="left" w:pos="2835" w:leader="none"/>
        </w:tabs>
        <w:spacing w:lineRule="auto" w:line="240" w:before="120" w:after="0"/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(dále jen „prodávající“)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left="1701" w:hanging="1701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100" w:after="10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uzavírají níže uvedeného dne, měsíce a roku tuto</w:t>
      </w:r>
    </w:p>
    <w:p>
      <w:pPr>
        <w:pStyle w:val="Normal"/>
        <w:widowControl w:val="false"/>
        <w:spacing w:lineRule="auto" w:line="240" w:before="100" w:after="10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caps/>
          <w:sz w:val="24"/>
          <w:szCs w:val="24"/>
        </w:rPr>
      </w:pPr>
      <w:r>
        <w:rPr>
          <w:rFonts w:eastAsia="Calibri" w:cs="Arial" w:ascii="Arial" w:hAnsi="Arial"/>
          <w:b/>
          <w:caps/>
          <w:sz w:val="24"/>
          <w:szCs w:val="24"/>
        </w:rPr>
        <w:t>kupní SmlouvU: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caps/>
          <w:sz w:val="24"/>
          <w:szCs w:val="24"/>
        </w:rPr>
      </w:pPr>
      <w:r>
        <w:rPr>
          <w:rFonts w:eastAsia="Calibri" w:cs="Arial" w:ascii="Arial" w:hAnsi="Arial"/>
          <w:b/>
          <w:cap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Předmět smlouvy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 xml:space="preserve">I. 1. Prodávající se zavazuje, že kupujícímu v místě plnění dle této smlouvy odevzdá níže specifikované zboží a umožní mu nabýt k němu vlastnické právo: (dále jen „zboží“ “ či „zařízení“). 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OZOBOZ BIT školní sada</w:t>
        <w:tab/>
        <w:tab/>
        <w:tab/>
        <w:tab/>
        <w:t>2 ks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TT – Blue-Bot třídní sada</w:t>
        <w:tab/>
        <w:tab/>
        <w:tab/>
        <w:tab/>
        <w:t>1 ks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TT -  Blue-Bot / Blue-Bot</w:t>
        <w:tab/>
        <w:tab/>
        <w:tab/>
        <w:tab/>
        <w:t>3 ks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TT -  Bee-Bot/Blue-Bot podložka-venkov</w:t>
        <w:tab/>
        <w:t>1 ks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TT -  Bee-Bot/Blue-Bot podložka služby</w:t>
        <w:tab/>
        <w:tab/>
        <w:t>1 ks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TT -  Bee-Bot/Blue -Bot dřevěné bludiště</w:t>
        <w:tab/>
        <w:t>1 ks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Sada barevných fixů pro Ozobot</w:t>
        <w:tab/>
        <w:tab/>
        <w:tab/>
        <w:t>4 ks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 xml:space="preserve">  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Prodávající se rovněž zavazuje zprostředkovat instalaci v místě plnění, jakož i předat kupujícímu veškeré doklady potřebné k užívání zboží.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I. 2. Kupující se zavazuje zboží řádně dodané dle této smlouvy (v požadovaném množství, specifikaci a zprovozněné) prodávajícím odebrat a zaplatit řádně a včas prodávajícímu kupní cenu ve výši a způsobem specifikovaným v této smlouvě.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I. 3. Prodávající bere na vědomí, že vymíněnou vlastností jím dodávaného zboží je to, že zboží je prosté práv třetích osob a v době, kdy bude předáno kupujícímu prosté jakýchkoliv dluhů resp. bude zaplacena celá jeho nákupní cena, za kterou prodávající toto zboží pořídil.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I. 4. Prodávající seznámil kupujícího před podpisem této smlouvy se stavem zboží, jeho jakostí a provedením, jakož i s jeho vadami a kupující ho v tomto stavu od prodávajícího kupuje jak stojí a leží (úhrnkem).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I. 5. Smluvní strany se dohodly na vyloučení ustanovení § 1799, § 1800 a § 2108 OZ.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Kupní cena zboží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II. 1. Smluvní strany se dohodli, že kupní cena za dodání zboží, je cenou smluvní a činí: </w:t>
      </w:r>
      <w:r>
        <w:rPr>
          <w:rFonts w:cs="Arial" w:ascii="Arial" w:hAnsi="Arial"/>
          <w:b/>
          <w:bCs/>
          <w:sz w:val="24"/>
          <w:szCs w:val="24"/>
        </w:rPr>
        <w:t>99 147,36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Kč</w:t>
      </w:r>
      <w:r>
        <w:rPr>
          <w:rFonts w:cs="Arial" w:ascii="Arial" w:hAnsi="Arial"/>
          <w:sz w:val="24"/>
          <w:szCs w:val="24"/>
        </w:rPr>
        <w:t xml:space="preserve"> bez DPH, cena s DPH 21 % činí </w:t>
      </w:r>
      <w:r>
        <w:rPr>
          <w:rFonts w:cs="Arial" w:ascii="Arial" w:hAnsi="Arial"/>
          <w:b/>
          <w:bCs/>
          <w:sz w:val="24"/>
          <w:szCs w:val="24"/>
        </w:rPr>
        <w:t>119 969</w:t>
      </w:r>
      <w:r>
        <w:rPr>
          <w:rFonts w:cs="Arial" w:ascii="Arial" w:hAnsi="Arial"/>
          <w:b/>
          <w:bCs/>
          <w:sz w:val="24"/>
          <w:szCs w:val="24"/>
        </w:rPr>
        <w:t xml:space="preserve"> Kč</w:t>
      </w:r>
      <w:r>
        <w:rPr>
          <w:rFonts w:cs="Arial" w:ascii="Arial" w:hAnsi="Arial"/>
          <w:sz w:val="24"/>
          <w:szCs w:val="24"/>
        </w:rPr>
        <w:t xml:space="preserve"> (dále jen „kupní cena“). Kupující prohlašuje, že je mu skutečná cena plnění dle této smlouvy známa a se smluvní cenou dle této smlouvy výslovně souhlasí.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Čas plnění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III. 1. Prodávající se zavazuje dodat  zboží </w:t>
      </w:r>
      <w:r>
        <w:rPr>
          <w:rFonts w:cs="Arial" w:ascii="Arial" w:hAnsi="Arial"/>
          <w:sz w:val="24"/>
          <w:szCs w:val="24"/>
        </w:rPr>
        <w:t xml:space="preserve">ihned po uhrazení zálohové faktury </w:t>
      </w:r>
      <w:r>
        <w:rPr>
          <w:rFonts w:cs="Arial" w:ascii="Arial" w:hAnsi="Arial"/>
          <w:sz w:val="24"/>
          <w:szCs w:val="24"/>
        </w:rPr>
        <w:t xml:space="preserve">v termínu do </w:t>
      </w:r>
      <w:r>
        <w:rPr>
          <w:rFonts w:cs="Arial" w:ascii="Arial" w:hAnsi="Arial"/>
          <w:sz w:val="24"/>
          <w:szCs w:val="24"/>
        </w:rPr>
        <w:t>24</w:t>
      </w:r>
      <w:r>
        <w:rPr>
          <w:rFonts w:cs="Arial" w:ascii="Arial" w:hAnsi="Arial"/>
          <w:sz w:val="24"/>
          <w:szCs w:val="24"/>
        </w:rPr>
        <w:t>. 1</w:t>
      </w:r>
      <w:r>
        <w:rPr>
          <w:rFonts w:cs="Arial" w:ascii="Arial" w:hAnsi="Arial"/>
          <w:sz w:val="24"/>
          <w:szCs w:val="24"/>
        </w:rPr>
        <w:t xml:space="preserve">6. </w:t>
      </w:r>
      <w:r>
        <w:rPr>
          <w:rFonts w:cs="Arial" w:ascii="Arial" w:hAnsi="Arial"/>
          <w:sz w:val="24"/>
          <w:szCs w:val="24"/>
        </w:rPr>
        <w:t>202</w:t>
      </w:r>
      <w:r>
        <w:rPr>
          <w:rFonts w:cs="Arial" w:ascii="Arial" w:hAnsi="Arial"/>
          <w:sz w:val="24"/>
          <w:szCs w:val="24"/>
        </w:rPr>
        <w:t>2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III. </w:t>
      </w:r>
      <w:r>
        <w:rPr>
          <w:rFonts w:cs="Arial" w:ascii="Arial" w:hAnsi="Arial"/>
          <w:sz w:val="24"/>
          <w:szCs w:val="24"/>
        </w:rPr>
        <w:t>2</w:t>
      </w:r>
      <w:r>
        <w:rPr>
          <w:rFonts w:cs="Arial" w:ascii="Arial" w:hAnsi="Arial"/>
          <w:sz w:val="24"/>
          <w:szCs w:val="24"/>
        </w:rPr>
        <w:t>. Kupující je povinen si zboží při dodání řádně prohlédnout a zkontrolovat nainstalování a zprovoznění. Veškeré vady je povinen uplatnit přímo při dodání zboží, jinak práva z vadného plnění zanikají.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Místo plnění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</w:t>
      </w:r>
      <w:r>
        <w:rPr>
          <w:rFonts w:cs="Arial" w:ascii="Arial" w:hAnsi="Arial"/>
          <w:sz w:val="24"/>
          <w:szCs w:val="24"/>
        </w:rPr>
        <w:t xml:space="preserve">V. 1.  Zboží bude dodáno na adrese: </w:t>
      </w:r>
      <w:r>
        <w:rPr>
          <w:rFonts w:cs="Arial" w:ascii="Arial" w:hAnsi="Arial"/>
          <w:b w:val="false"/>
          <w:bCs w:val="false"/>
          <w:sz w:val="24"/>
          <w:szCs w:val="24"/>
        </w:rPr>
        <w:t>nám. 28. října 1708, 666 01 Tišnov, okr. Brno - venkov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Vlastnické právo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V. 1. Vlastnické právo nabývá kupující okamžikem úplného zaplacení kupní ceny.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V. 2. Nebezpečí škody na zboží přechází na kupujícího dnem dodání zboží. V případě, kdy kupující neposkytne prodávajícímu součinnost nutnou k dodání zboží, přechází nebezpečí škody na zboží okamžikem, kdy byl prodávající připraven zboží dodat.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Záruka 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VI. 1. Prodávající se zavazuje, že zboží bude po záruční dobu způsobilé k použití pro obvyklý účel. Záruční doba je 36 měsíců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z w:val="24"/>
          <w:szCs w:val="24"/>
        </w:rPr>
        <w:t xml:space="preserve"> běží ode dne dodání zboží. V případě, kdy kupující neposkytne prodávajícímu součinnost nutnou k dodání zboží, běží záruční doba od okamžiku, kdy byl prodávající připraven zboží dodat.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VI. 2. </w:t>
      </w:r>
      <w:r>
        <w:rPr>
          <w:rFonts w:cs="Arial" w:ascii="Arial" w:hAnsi="Arial"/>
          <w:color w:val="000000"/>
          <w:sz w:val="24"/>
          <w:szCs w:val="24"/>
        </w:rPr>
        <w:t xml:space="preserve">Záruka se nevztahuje na situace, kdy dojde ke vzniku vady: </w:t>
      </w:r>
      <w:r>
        <w:rPr>
          <w:rFonts w:cs="Arial" w:ascii="Arial" w:hAnsi="Arial"/>
          <w:sz w:val="24"/>
          <w:szCs w:val="24"/>
        </w:rPr>
        <w:t>běžným opotřebením</w:t>
      </w:r>
      <w:r>
        <w:rPr>
          <w:rFonts w:cs="Arial" w:ascii="Arial" w:hAnsi="Arial"/>
          <w:color w:val="000000"/>
          <w:sz w:val="24"/>
          <w:szCs w:val="24"/>
        </w:rPr>
        <w:t>, nedodržením způsobu používání, neodborným zásahem nepovolané osoby, nepřiměřeným zacházením, živelnou pohromou, nebo zásahem vyšší moci.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VI. 3.  Kupující je povinen vady, na které se vztahuje záruka za jakost (dále jen „záruční vady“) uplatnit u prodávajícího písemně, a to neprodleně, nejpozději však do tří dnů potom, kdy tyto zjistil nebo zjistit při vynaložení dostatečné péče měl, jinak práva ze záruky zanikají.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VI. 4. V případě uplatnění práv ze záruky má kupující právo na odstranění záruční vady její opravou, v případě pokud závadu nejde odstranit opravou, dojde k výměně zařízení.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Platební podmínky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VII. 1. Kupující se zavazuje uhradit dohodnutou kupní cenu dle článku II. odst. II. 1. této smlouvy ve výši  </w:t>
      </w:r>
      <w:r>
        <w:rPr>
          <w:rFonts w:cs="Arial" w:ascii="Arial" w:hAnsi="Arial"/>
          <w:b/>
          <w:bCs/>
          <w:sz w:val="24"/>
          <w:szCs w:val="24"/>
        </w:rPr>
        <w:t>119 969</w:t>
      </w:r>
      <w:r>
        <w:rPr>
          <w:rFonts w:cs="Arial" w:ascii="Arial" w:hAnsi="Arial"/>
          <w:b/>
          <w:bCs/>
          <w:sz w:val="24"/>
          <w:szCs w:val="24"/>
        </w:rPr>
        <w:t xml:space="preserve"> Kč</w:t>
      </w:r>
      <w:r>
        <w:rPr>
          <w:rFonts w:cs="Arial" w:ascii="Arial" w:hAnsi="Arial"/>
          <w:sz w:val="24"/>
          <w:szCs w:val="24"/>
        </w:rPr>
        <w:t xml:space="preserve">  včetně 21% DPH 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VII. 2. Strany se výslovně dohodly, že nezaplacení kupní ceny řádně a včas dle této smlouvy je považováno za podstatné porušení této smlouvy a opravňuje prodávajícího od této smlouvy okamžitě odstoupit.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VII. 3.</w:t>
        <w:tab/>
        <w:t>Lhůta splatnosti faktury je 14 dnů od doručení na adresu objednatele.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VII. 4. Faktura - daňový doklad musí obsahovat náležitosti uvedené v zákoně číslo 235/2004 Sb., o dani z přidané hodnoty, v platném znění.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80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</w:t>
      </w:r>
      <w:r>
        <w:rPr>
          <w:rFonts w:cs="Arial" w:ascii="Arial" w:hAnsi="Arial"/>
          <w:b/>
          <w:sz w:val="24"/>
          <w:szCs w:val="24"/>
        </w:rPr>
        <w:t>ankční ujednání - smluvní pokuta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IX. 1. </w:t>
        <w:tab/>
        <w:t xml:space="preserve">Pro případ prodlení kupujícího s úhradou jakékoliv splátky kupní ceny dle čl. VII. této smlouvy je kupující povinen uhradit prodávajícímu smluvní úrok z prodlení ve výši 0,05% z dlužné částky včetně DPH denně za každý započatý den prodlení a smluvní pokutu ve výši 0,05% z dlužné částky včetně DPH denně za každý započatý den prodlení.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IX. 2. Úrok z prodlení i smluvní pokutu, sjednanou touto smlouvou, hradí kupující nezávisle na jejím zavinění a na tom, zda a v jaké výši vznikne prodávajícímu v této souvislosti škoda, kterou lze vymáhat samostatně vedle smluvní pokuty a v plné výši. Tímto je pro tento případ vyloučen § 2050 OZ.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IX. 3. Smluvní pokuta je splatná ve lhůtě deseti dnů ode dne kdy strana povinná obdrží písemnou výzvu k zaplacení smluvní pokuty od strany oprávněné.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IX. 4 V případě prodlení prodávajícího s dodáním zboží dle této smlouvy se zavazuje prodávající uhradit kupujícímu smluvní pokutu ve výši 0,05% z ceny zboží (včetně DPH) za každý den prodlení s řádným dodáním zboží, jež je předmětem této kupní smlouvy. Smluvní pokuta je splatná ve lhůtě deseti dnů ode dne kdy prodávající obdrží písemnou výzvu k zaplacení smluvní pokuty od strany kupujícího.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Ostatní ujednání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XI. 1. Tuto smlouvu lze měnit, nebo zrušit pouze oboustranným písemným ujednáním, podepsaným oprávněnými zástupci obou smluvních stran.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XI. 2. Strany prohlašují, že si smlouvu pozorně přečetly, že vyjadřuje jejich skutečnou, vážnou a svobodnou vůli, že nebyla uzavřena v tísni za nápadně nevýhodných podmínek, s jejím zněním souhlasí, na důkaz čehož připojují níže své podpisy.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XI. 3. Tato smlouva je vyhotovena ve dvou vyhotoveních, každá ze smluvních stran obdrží jedno vyhotovení.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XI. 4. Tato smlouva je účinná dnem uveřejnění v registru smluv dle zákona č. 340/2015 Sb.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889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63"/>
        <w:gridCol w:w="4535"/>
      </w:tblGrid>
      <w:tr>
        <w:trPr/>
        <w:tc>
          <w:tcPr>
            <w:tcW w:w="4363" w:type="dxa"/>
            <w:tcBorders/>
          </w:tcPr>
          <w:p>
            <w:pPr>
              <w:pStyle w:val="Normal"/>
              <w:widowControl w:val="false"/>
              <w:spacing w:lineRule="auto" w:line="240" w:before="0" w:after="22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V Tišnově dne 1</w:t>
            </w:r>
            <w:r>
              <w:rPr>
                <w:rFonts w:eastAsia="Calibri" w:cs="Arial" w:ascii="Arial" w:hAnsi="Arial"/>
                <w:sz w:val="24"/>
                <w:szCs w:val="24"/>
              </w:rPr>
              <w:t>7</w:t>
            </w:r>
            <w:r>
              <w:rPr>
                <w:rFonts w:eastAsia="Calibri" w:cs="Arial" w:ascii="Arial" w:hAnsi="Arial"/>
                <w:sz w:val="24"/>
                <w:szCs w:val="24"/>
              </w:rPr>
              <w:t xml:space="preserve">. </w:t>
            </w:r>
            <w:r>
              <w:rPr>
                <w:rFonts w:eastAsia="Calibri" w:cs="Arial" w:ascii="Arial" w:hAnsi="Arial"/>
                <w:sz w:val="24"/>
                <w:szCs w:val="24"/>
              </w:rPr>
              <w:t>6</w:t>
            </w:r>
            <w:r>
              <w:rPr>
                <w:rFonts w:eastAsia="Calibri" w:cs="Arial" w:ascii="Arial" w:hAnsi="Arial"/>
                <w:sz w:val="24"/>
                <w:szCs w:val="24"/>
              </w:rPr>
              <w:t>. 202</w:t>
            </w:r>
            <w:r>
              <w:rPr>
                <w:rFonts w:eastAsia="Calibri" w:cs="Arial" w:ascii="Arial" w:hAnsi="Arial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22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22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V Brně dne 1</w:t>
            </w:r>
            <w:r>
              <w:rPr>
                <w:rFonts w:eastAsia="Calibri" w:cs="Arial" w:ascii="Arial" w:hAnsi="Arial"/>
                <w:sz w:val="24"/>
                <w:szCs w:val="24"/>
              </w:rPr>
              <w:t>7</w:t>
            </w:r>
            <w:r>
              <w:rPr>
                <w:rFonts w:eastAsia="Calibri" w:cs="Arial" w:ascii="Arial" w:hAnsi="Arial"/>
                <w:sz w:val="24"/>
                <w:szCs w:val="24"/>
              </w:rPr>
              <w:t xml:space="preserve">. </w:t>
            </w:r>
            <w:r>
              <w:rPr>
                <w:rFonts w:eastAsia="Calibri" w:cs="Arial" w:ascii="Arial" w:hAnsi="Arial"/>
                <w:sz w:val="24"/>
                <w:szCs w:val="24"/>
              </w:rPr>
              <w:t>6.</w:t>
            </w:r>
            <w:r>
              <w:rPr>
                <w:rFonts w:eastAsia="Calibri" w:cs="Arial" w:ascii="Arial" w:hAnsi="Arial"/>
                <w:sz w:val="24"/>
                <w:szCs w:val="24"/>
              </w:rPr>
              <w:t xml:space="preserve"> 202</w:t>
            </w:r>
            <w:r>
              <w:rPr>
                <w:rFonts w:eastAsia="Calibri" w:cs="Arial" w:ascii="Arial" w:hAnsi="Arial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363" w:type="dxa"/>
            <w:tcBorders/>
          </w:tcPr>
          <w:p>
            <w:pPr>
              <w:pStyle w:val="Normal"/>
              <w:widowControl w:val="false"/>
              <w:spacing w:lineRule="auto" w:line="240" w:before="0" w:after="22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……………………………………………</w:t>
            </w:r>
            <w:r>
              <w:rPr>
                <w:rFonts w:eastAsia="Calibri" w:cs="Arial" w:ascii="Arial" w:hAnsi="Arial"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22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………………………………………………</w:t>
            </w:r>
          </w:p>
        </w:tc>
      </w:tr>
      <w:tr>
        <w:trPr/>
        <w:tc>
          <w:tcPr>
            <w:tcW w:w="43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Kupující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Zhořová Radmila, PaedDr       ředitelka školy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Základní škola Tišnov nám 28. října, příspěvková organizace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Prodávající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Klára Kotyzová</w:t>
            </w:r>
            <w:r>
              <w:rPr>
                <w:rFonts w:cs="Arial" w:ascii="Arial" w:hAnsi="Arial"/>
                <w:szCs w:val="24"/>
              </w:rPr>
              <w:t xml:space="preserve"> </w:t>
            </w:r>
          </w:p>
          <w:p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Produkt manager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Robot World</w:t>
            </w:r>
            <w:r>
              <w:rPr>
                <w:rFonts w:eastAsia="Calibri" w:cs="Arial" w:ascii="Arial" w:hAnsi="Arial"/>
                <w:sz w:val="24"/>
                <w:szCs w:val="24"/>
              </w:rPr>
              <w:t xml:space="preserve"> s.r.o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  <w:highlight w:val="yellow"/>
              </w:rPr>
            </w:pPr>
            <w:r>
              <w:rPr>
                <w:rFonts w:eastAsia="Calibri" w:cs="Arial" w:ascii="Arial" w:hAnsi="Arial"/>
                <w:sz w:val="24"/>
                <w:szCs w:val="24"/>
                <w:highlight w:val="yellow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9" w:top="1417" w:footer="709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88350832"/>
    </w:sdtPr>
    <w:sdtContent>
      <w:p>
        <w:pPr>
          <w:pStyle w:val="Zpat"/>
          <w:jc w:val="center"/>
          <w:rPr/>
        </w:pPr>
        <w:r>
          <w:rPr/>
          <w:t xml:space="preserve">Str.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  <w:r>
          <w:rPr/>
          <w:t xml:space="preserve"> kupní smlouvy</w:t>
        </w:r>
      </w:p>
      <w:p>
        <w:pPr>
          <w:pStyle w:val="Normal"/>
          <w:tabs>
            <w:tab w:val="clear" w:pos="708"/>
            <w:tab w:val="center" w:pos="4536" w:leader="none"/>
            <w:tab w:val="right" w:pos="9072" w:leader="none"/>
          </w:tabs>
          <w:spacing w:before="0" w:after="0"/>
          <w:jc w:val="center"/>
          <w:rPr>
            <w:rFonts w:ascii="Times New Roman" w:hAnsi="Times New Roman" w:eastAsia="Times New Roman"/>
            <w:sz w:val="24"/>
            <w:szCs w:val="24"/>
          </w:rPr>
        </w:pPr>
        <w:r>
          <w:rPr>
            <w:rFonts w:eastAsia="Times New Roman" w:ascii="Times New Roman" w:hAnsi="Times New Roman"/>
            <w:sz w:val="24"/>
            <w:szCs w:val="24"/>
          </w:rPr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3901" w:leader="none"/>
      </w:tabs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122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8d5ede"/>
    <w:rPr/>
  </w:style>
  <w:style w:type="character" w:styleId="ZpatChar" w:customStyle="1">
    <w:name w:val="Zápatí Char"/>
    <w:basedOn w:val="DefaultParagraphFont"/>
    <w:link w:val="Zpat"/>
    <w:uiPriority w:val="99"/>
    <w:qFormat/>
    <w:rsid w:val="008d5ede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2ff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662ff6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662ff6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62ff6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d5e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d5e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662ff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662ff6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62f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171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1"/>
      <w:lang w:val="cs-CZ" w:eastAsia="zh-CN" w:bidi="hi-IN"/>
    </w:rPr>
  </w:style>
  <w:style w:type="paragraph" w:styleId="ListParagraph">
    <w:name w:val="List Paragraph"/>
    <w:basedOn w:val="Normal"/>
    <w:uiPriority w:val="34"/>
    <w:qFormat/>
    <w:rsid w:val="00dd446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A2D3D44CB4D45BA77E9C1FA95CE41" ma:contentTypeVersion="1" ma:contentTypeDescription="Vytvoří nový dokument" ma:contentTypeScope="" ma:versionID="6a68ff404bc6247aa76496572fdaed0b">
  <xsd:schema xmlns:xsd="http://www.w3.org/2001/XMLSchema" xmlns:xs="http://www.w3.org/2001/XMLSchema" xmlns:p="http://schemas.microsoft.com/office/2006/metadata/properties" xmlns:ns3="967db3e4-2fe6-4ec7-9c1b-ee7e545aaba6" targetNamespace="http://schemas.microsoft.com/office/2006/metadata/properties" ma:root="true" ma:fieldsID="130a2c51cc288bc2121e9929c14b6e15" ns3:_="">
    <xsd:import namespace="967db3e4-2fe6-4ec7-9c1b-ee7e545aaba6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b3e4-2fe6-4ec7-9c1b-ee7e545aab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C86D9-B1FD-4302-8EFC-C1A5D4615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DA57C9-9B41-4D09-8FBD-7EAD409A1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73BE8-4204-4A64-B664-484481BDB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db3e4-2fe6-4ec7-9c1b-ee7e545aa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Application>LibreOffice/6.4.0.3$Windows_X86_64 LibreOffice_project/b0a288ab3d2d4774cb44b62f04d5d28733ac6df8</Application>
  <Pages>6</Pages>
  <Words>1123</Words>
  <Characters>5924</Characters>
  <CharactersWithSpaces>7012</CharactersWithSpaces>
  <Paragraphs>82</Paragraphs>
  <Company>AI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2021-05-22T08:05:00Z</dcterms:created>
  <dc:creator>Ivan Stuchlík</dc:creator>
  <dc:description/>
  <dc:language>cs-CZ</dc:language>
  <cp:lastModifiedBy/>
  <cp:lastPrinted>2022-07-26T09:18:07Z</cp:lastPrinted>
  <dcterms:modified xsi:type="dcterms:W3CDTF">2022-08-01T12:16:02Z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AI</vt:lpwstr>
  </property>
  <property fmtid="{D5CDD505-2E9C-101B-9397-08002B2CF9AE}" pid="4" name="ContentTypeId">
    <vt:lpwstr>0x0101002B7A2D3D44CB4D45BA77E9C1FA95CE41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IsMyDocuments">
    <vt:bool>1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