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Centrum pro seniory, příspěvková organizace</w:t>
      </w:r>
    </w:p>
    <w:p>
      <w:pPr>
        <w:spacing w:line="276" w:lineRule="auto"/>
        <w:jc w:val="both"/>
        <w:rPr>
          <w:rFonts w:ascii="Arial" w:hAnsi="Arial" w:cs="Arial"/>
          <w:sz w:val="20"/>
          <w:szCs w:val="20"/>
        </w:rPr>
      </w:pPr>
      <w:r>
        <w:rPr>
          <w:rFonts w:ascii="Arial" w:hAnsi="Arial" w:cs="Arial"/>
          <w:sz w:val="20"/>
          <w:szCs w:val="20"/>
        </w:rPr>
        <w:t>se sídlem: Příční 1475, 769 01 Holešov</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47934531</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Příspěvková organizace</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Ing. Jana Šťastná,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29336691/0100, Komerční banka, a.s.</w:t>
      </w:r>
    </w:p>
    <w:p>
      <w:pPr>
        <w:spacing w:line="276" w:lineRule="auto"/>
        <w:jc w:val="both"/>
        <w:rPr>
          <w:rFonts w:ascii="Arial" w:hAnsi="Arial" w:cs="Arial"/>
          <w:sz w:val="20"/>
          <w:szCs w:val="20"/>
        </w:rPr>
      </w:pPr>
      <w:r>
        <w:rPr>
          <w:rFonts w:ascii="Arial" w:hAnsi="Arial" w:cs="Arial"/>
          <w:sz w:val="20"/>
          <w:szCs w:val="20"/>
        </w:rPr>
        <w:t>zapsaná u Krajského soudu v Brně, oddíl Pr, vložka 1566</w:t>
      </w:r>
    </w:p>
    <w:p>
      <w:pPr>
        <w:spacing w:line="276" w:lineRule="auto"/>
        <w:jc w:val="both"/>
        <w:rPr>
          <w:rFonts w:ascii="Arial" w:hAnsi="Arial" w:cs="Arial"/>
          <w:sz w:val="20"/>
          <w:szCs w:val="20"/>
        </w:rPr>
      </w:pPr>
      <w:r>
        <w:rPr>
          <w:rFonts w:ascii="Arial" w:hAnsi="Arial" w:cs="Arial"/>
          <w:sz w:val="20"/>
        </w:rPr>
        <w:t xml:space="preserve">zřizovatel: </w:t>
      </w:r>
      <w:r>
        <w:rPr>
          <w:rFonts w:ascii="Arial" w:hAnsi="Arial" w:cs="Arial"/>
          <w:sz w:val="20"/>
          <w:szCs w:val="20"/>
        </w:rPr>
        <w:t>Město Holešov, IČO 00287172</w:t>
      </w:r>
    </w:p>
    <w:p>
      <w:pPr>
        <w:spacing w:after="120" w:line="276" w:lineRule="auto"/>
        <w:jc w:val="both"/>
        <w:rPr>
          <w:rFonts w:ascii="Arial" w:hAnsi="Arial" w:cs="Arial"/>
          <w:color w:val="000000" w:themeColor="text1"/>
          <w:sz w:val="20"/>
          <w:szCs w:val="20"/>
        </w:rPr>
      </w:pPr>
      <w:r>
        <w:rPr>
          <w:rFonts w:ascii="Arial" w:hAnsi="Arial" w:cs="Arial"/>
          <w:color w:val="000000" w:themeColor="text1"/>
          <w:sz w:val="20"/>
        </w:rPr>
        <w:t xml:space="preserve">bankovní spojení zřizovatele: </w:t>
      </w:r>
      <w:r>
        <w:rPr>
          <w:rFonts w:ascii="Arial" w:hAnsi="Arial" w:cs="Arial"/>
          <w:sz w:val="20"/>
          <w:szCs w:val="20"/>
        </w:rPr>
        <w:t>94-1819691/0710, Česká národní banka</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i/>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w:t>
      </w:r>
      <w:r>
        <w:rPr>
          <w:rFonts w:ascii="Arial" w:hAnsi="Arial" w:cs="Arial"/>
          <w:color w:val="000000" w:themeColor="text1"/>
          <w:sz w:val="20"/>
          <w:szCs w:val="20"/>
        </w:rPr>
        <w:lastRenderedPageBreak/>
        <w:t>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lastRenderedPageBreak/>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1 003 200,00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jeden milion tři tisíce dvě stě</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 xml:space="preserve">V souladu s ustanovením § 28 odst. 12 zákona č. 250/2000 Sb., o rozpočtových pravidlech územních rozpočtů, ve znění pozdějších předpisů, bude finanční podpora převedena na účet zřizovatele Poskytovatele sociální služby dle záhlaví této Smlouvy. </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lastRenderedPageBreak/>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lastRenderedPageBreak/>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lastRenderedPageBreak/>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lastRenderedPageBreak/>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jejího </w:t>
      </w:r>
      <w:r>
        <w:rPr>
          <w:rFonts w:ascii="Arial" w:hAnsi="Arial" w:cs="Arial"/>
          <w:sz w:val="20"/>
          <w:szCs w:val="20"/>
        </w:rPr>
        <w:t>zveřejnění</w:t>
      </w:r>
      <w:r>
        <w:rPr>
          <w:rFonts w:ascii="Arial" w:hAnsi="Arial" w:cs="Arial"/>
          <w:spacing w:val="-4"/>
          <w:sz w:val="20"/>
          <w:szCs w:val="20"/>
        </w:rPr>
        <w:t xml:space="preserve">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z w:val="20"/>
        </w:rPr>
        <w:t xml:space="preserve">Nedílnou součástí této Smlouvy je příloha č. 1. </w:t>
      </w: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 xml:space="preserve">e-mailem. </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Jana Šťastná</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Centrum pro seniory, příspěvková organizace</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Příční 1475, 769 01 Holešov</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47934531</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8"/>
        <w:gridCol w:w="1090"/>
        <w:gridCol w:w="1220"/>
        <w:gridCol w:w="1510"/>
        <w:gridCol w:w="2076"/>
        <w:gridCol w:w="1816"/>
        <w:gridCol w:w="1254"/>
        <w:gridCol w:w="890"/>
        <w:gridCol w:w="1269"/>
        <w:gridCol w:w="1050"/>
        <w:gridCol w:w="1109"/>
        <w:gridCol w:w="1404"/>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Domovy pro seniory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1375503</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Centrum pro seniory, příspěvková organizace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Holešov</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118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30 478</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799 300,00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Domovy se zvláštním režimem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5437570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KOPRETINA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Holešov</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50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18 028</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203 900,00</w:t>
            </w:r>
          </w:p>
        </w:tc>
      </w:tr>
    </w:tbl>
    <w:p>
      <w:pPr>
        <w:spacing w:before="120"/>
        <w:jc w:val="both"/>
        <w:rPr>
          <w:rFonts w:ascii="Arial" w:hAnsi="Arial" w:cs="Arial"/>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1 003 200,00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6C6D04AC-ACCB-4C31-A83F-41CCCA50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4778</Words>
  <Characters>28381</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2023-06-21T06:51:00Z</dcterms:created>
  <dcterms:modified xsi:type="dcterms:W3CDTF">2023-06-21T06:51:00Z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