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B)</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 xml:space="preserve"> (dále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ABAPO, s.r.o.</w:t>
      </w:r>
    </w:p>
    <w:p>
      <w:pPr>
        <w:spacing w:line="276" w:lineRule="auto"/>
        <w:jc w:val="both"/>
        <w:rPr>
          <w:rFonts w:ascii="Arial" w:hAnsi="Arial" w:cs="Arial"/>
          <w:sz w:val="20"/>
          <w:szCs w:val="20"/>
        </w:rPr>
      </w:pPr>
      <w:r>
        <w:rPr>
          <w:rFonts w:ascii="Arial" w:hAnsi="Arial" w:cs="Arial"/>
          <w:sz w:val="20"/>
          <w:szCs w:val="20"/>
        </w:rPr>
        <w:t>se sídlem: Divadelní 3242, 760 01 Zlín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02672910</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Společnost s ručením omezeným</w:t>
      </w:r>
    </w:p>
    <w:p>
      <w:pPr>
        <w:tabs>
          <w:tab w:val="left" w:pos="0"/>
        </w:tabs>
        <w:spacing w:line="276" w:lineRule="auto"/>
        <w:jc w:val="both"/>
        <w:rPr>
          <w:rFonts w:ascii="Arial" w:hAnsi="Arial" w:cs="Arial"/>
          <w:color w:val="000000" w:themeColor="text1"/>
          <w:sz w:val="20"/>
          <w:szCs w:val="20"/>
        </w:rPr>
      </w:pPr>
      <w:r>
        <w:rPr>
          <w:rFonts w:ascii="Arial" w:hAnsi="Arial" w:cs="Arial"/>
          <w:sz w:val="20"/>
          <w:szCs w:val="20"/>
        </w:rPr>
        <w:t>jednající</w:t>
      </w:r>
      <w:r>
        <w:rPr>
          <w:rFonts w:ascii="Arial" w:hAnsi="Arial" w:cs="Arial"/>
          <w:color w:val="000000" w:themeColor="text1"/>
          <w:sz w:val="20"/>
          <w:szCs w:val="20"/>
        </w:rPr>
        <w:t xml:space="preserve">: </w:t>
      </w:r>
      <w:r>
        <w:rPr>
          <w:rFonts w:ascii="Arial" w:hAnsi="Arial" w:cs="Arial"/>
          <w:sz w:val="20"/>
          <w:szCs w:val="20"/>
        </w:rPr>
        <w:t>Ing. Ivo Daněk, jednatel</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2800550800/2010, Fio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u Krajského soudu v Brně, oddíl C, vložka 82134</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contextualSpacing w:val="0"/>
        <w:jc w:val="both"/>
        <w:rPr>
          <w:rFonts w:ascii="Arial" w:hAnsi="Arial" w:cs="Arial"/>
          <w:sz w:val="20"/>
          <w:szCs w:val="20"/>
        </w:rPr>
      </w:pPr>
      <w:r>
        <w:rPr>
          <w:rFonts w:ascii="Arial" w:hAnsi="Arial" w:cs="Arial"/>
          <w:color w:val="000000" w:themeColor="text1"/>
          <w:sz w:val="20"/>
          <w:szCs w:val="20"/>
        </w:rPr>
        <w:t xml:space="preserve">Kraj na základě Pověření k poskytování služeb obecného hospodářského zájmu schváleného Radou Zlínského kraje dne 19. 12. 2022, č. usnesení 1067/R37/22, 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80 % se finanční podpora nekrátí. Při naplnění indikátoru/ů na méně než 80 % (v případě pečovatelských služeb a odlehčovacích služeb poskytovaných terénní formou na méně než 70 %), ale alespoň na 50 %, bude finanční podpora snížena o 1 % </w:t>
      </w:r>
      <w:r>
        <w:rPr>
          <w:rFonts w:ascii="Arial" w:hAnsi="Arial" w:cs="Arial"/>
          <w:color w:val="000000"/>
          <w:sz w:val="20"/>
          <w:szCs w:val="20"/>
        </w:rPr>
        <w:t>– </w:t>
      </w:r>
      <w:r>
        <w:rPr>
          <w:rFonts w:ascii="Arial" w:hAnsi="Arial" w:cs="Arial"/>
          <w:sz w:val="20"/>
          <w:szCs w:val="20"/>
        </w:rPr>
        <w:t xml:space="preserve">30 % (v případě pečovatelských služeb a odlehčovacích služeb poskytovaných terénní formou o 1 % - 20 %)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50 %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Naplnění </w:t>
      </w:r>
      <w:r>
        <w:rPr>
          <w:rFonts w:ascii="Arial" w:hAnsi="Arial" w:cs="Arial"/>
          <w:color w:val="000000" w:themeColor="text1"/>
          <w:sz w:val="20"/>
          <w:szCs w:val="20"/>
        </w:rPr>
        <w:t xml:space="preserve">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B“. Vykazování indikátoru/ů musí být pro účely kontroly nezaměnitelné s vykazováním indikátoru/ů v rámci jakéhokoliv jiného způsobu poskytování finanční podpory.</w:t>
      </w:r>
    </w:p>
    <w:p>
      <w:pPr>
        <w:pageBreakBefore/>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 Výše finanční podpory je vypočítaná postupem: Finanční podpora = obvyklé náklady sociální služby mínus obvyklé výnosy sociální služby plus přiměřený zisk sociální služby dle pravidel a vzorce stanoveného v Podmínkách a Programu. Zlínský kraj financuje podíl kraje a modelovaný podíl MPSV dle Programu. Povolená výše přiměřeného zisku na Poskytovatele sociální služby je do 2,00 % p.a. včetně, ze všech nákladů služeb obecného hospodářského zájmu poskytovaných Poskytovatelem sociální služby.</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lastRenderedPageBreak/>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 xml:space="preserve">3 708 200,00 Kč, </w:t>
      </w:r>
      <w:r>
        <w:rPr>
          <w:rFonts w:ascii="Arial" w:hAnsi="Arial" w:cs="Arial"/>
          <w:color w:val="000000" w:themeColor="text1"/>
          <w:sz w:val="20"/>
          <w:szCs w:val="20"/>
        </w:rPr>
        <w:t>slovy tři miliony sedm set osm tisíc dvě stě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Přidělená finanční podpora bude Poskytovateli sociální služby vyplacena, dle přílohy č. 1 této Smlouvy, na jeho běžný účet uvedený v záhlaví. </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2023)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včetně přiměřeného zisku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 xml:space="preserve">této Smlouvy, </w:t>
      </w:r>
      <w:r>
        <w:rPr>
          <w:rFonts w:ascii="Arial" w:hAnsi="Arial" w:cs="Arial"/>
          <w:sz w:val="20"/>
          <w:szCs w:val="20"/>
        </w:rPr>
        <w:t xml:space="preserve">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Pokud Poskytovatel sociální služby nesprávně vyčíslí přeplatek poskytnuté finanční podpory a částka vyčísleného přeplatku bude nižší než skutečný přeplatek, je Poskytovatel sociální služby </w:t>
      </w:r>
      <w:r>
        <w:rPr>
          <w:rFonts w:ascii="Arial" w:hAnsi="Arial" w:cs="Arial"/>
          <w:sz w:val="20"/>
          <w:szCs w:val="20"/>
        </w:rPr>
        <w:lastRenderedPageBreak/>
        <w:t>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pStyle w:val="Odstavecseseznamem"/>
        <w:spacing w:after="120"/>
        <w:ind w:left="425"/>
        <w:contextualSpacing w:val="0"/>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B“.</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před podáním žádosti o zrušení registrace na registrující orgán oznámit tuto skutečnost koordinačnímu, projektovému </w:t>
      </w:r>
      <w:r>
        <w:rPr>
          <w:rFonts w:ascii="Arial" w:hAnsi="Arial" w:cs="Arial"/>
          <w:color w:val="000000" w:themeColor="text1"/>
          <w:sz w:val="20"/>
          <w:szCs w:val="20"/>
        </w:rPr>
        <w:lastRenderedPageBreak/>
        <w:t>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w:t>
      </w:r>
      <w:r>
        <w:rPr>
          <w:rFonts w:ascii="Arial" w:hAnsi="Arial" w:cs="Arial"/>
          <w:b/>
          <w:color w:val="000000" w:themeColor="text1"/>
          <w:sz w:val="20"/>
          <w:szCs w:val="20"/>
        </w:rPr>
        <w:t>do 10. 11. 2023</w:t>
      </w:r>
      <w:r>
        <w:rPr>
          <w:rFonts w:ascii="Arial" w:hAnsi="Arial" w:cs="Arial"/>
          <w:color w:val="000000" w:themeColor="text1"/>
          <w:sz w:val="20"/>
          <w:szCs w:val="20"/>
        </w:rPr>
        <w:t xml:space="preserve"> Odboru sociálních věcí KÚZK předložit Přehled finanční podpory poskytnuté ze strany obcí za jednotlivé sociální služby (ID) pro rok 2023 dle Přílohy č. 1 Programu pro sociální služby. V případě, že má poskytovatel v rámci jednoho ID podpořenou kapacitu v rámci Programu pro sociální služby v části A i části B, vykáže poskytnuté zdroje od obcí ve vztahu k jednotlivým kapacitám a jednotlivým územím v těchto částech. Poskytovatel sociální služby bere na vědomí, že pokud nedoloží skutečně poskytnuté zdroje obce v požadované výši dle Programu, bude to důvodem pro změnu kapacity navržené k podpoře do sítě roku 2024.</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po celou dobu podpory realizovat kapacitu deklarovanou v podané Žádosti pro část B. Poskytovatel sociální služby bere na vědomí, že pokud nedodrží výši průměrných přepočtených úvazků pracovníků v přímé péči v rozsahu stanoveném touto Smlouvou, bude to zohledněno pro tvorbu Sítí ZK na rok 2024, a to tak, že podpořená kapacita bude snížena na reálně vykázanou. </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sz w:val="20"/>
          <w:szCs w:val="20"/>
        </w:rPr>
        <w:t xml:space="preserve">Pokud je výpočet dotace pro sociální službu v Programu bonifikován dle </w:t>
      </w:r>
      <w:r>
        <w:rPr>
          <w:rFonts w:ascii="Arial" w:hAnsi="Arial" w:cs="Arial"/>
          <w:color w:val="000000" w:themeColor="text1"/>
          <w:sz w:val="20"/>
          <w:szCs w:val="20"/>
        </w:rPr>
        <w:t>podmínek stanovených v Příloze č. 6 Střednědobého plánu pro období 2023–2025</w:t>
      </w:r>
      <w:r>
        <w:rPr>
          <w:rFonts w:ascii="Arial" w:hAnsi="Arial" w:cs="Arial"/>
          <w:sz w:val="20"/>
          <w:szCs w:val="20"/>
        </w:rPr>
        <w:t>, je poskytovatel sociální služby povinen dodržet podmínky bonifikace. Dodržení všech podmínek bonifikace je i předmětem kontroly dle čl. IX smlouvy. V případě nedodržení podmínek bonifikace je poskytovatel sociální služby povinen vrátit vzniklý přeplatek na účet kraje do 15 dnů ode dne, kdy sám tuto skutečnost zjistil, nebo tato skutečnost byla zjištěna provedenou kontrolou.</w:t>
      </w:r>
    </w:p>
    <w:p>
      <w:pPr>
        <w:pStyle w:val="Odstavecseseznamem"/>
        <w:spacing w:after="120"/>
        <w:ind w:left="425"/>
        <w:contextualSpacing w:val="0"/>
        <w:jc w:val="both"/>
        <w:outlineLvl w:val="0"/>
        <w:rPr>
          <w:rFonts w:ascii="Arial" w:hAnsi="Arial" w:cs="Arial"/>
          <w:sz w:val="20"/>
          <w:szCs w:val="20"/>
        </w:rPr>
      </w:pPr>
      <w:r>
        <w:rPr>
          <w:rFonts w:ascii="Arial" w:hAnsi="Arial" w:cs="Arial"/>
          <w:color w:val="000000" w:themeColor="text1"/>
          <w:sz w:val="20"/>
          <w:szCs w:val="20"/>
        </w:rPr>
        <w:t xml:space="preserve">Výši průměrných přepočtených úvazků v přímé péči stanovených v příloze č. 1 Smlouvy pro poskytovatele sociální služby dle § 44 se poskytovatel zavazuje splnit alespoň na 93 %. V případě nesplnění tohoto závazku se zavazuje vrátit finanční podporu, a to ve výši bonifikace finanční podpory </w:t>
      </w:r>
      <w:r>
        <w:rPr>
          <w:rFonts w:ascii="Arial" w:hAnsi="Arial" w:cs="Arial"/>
          <w:sz w:val="20"/>
          <w:szCs w:val="20"/>
        </w:rPr>
        <w:t>na účet kraje do 15 dnů ode dne, kdy sám tuto skutečnost zjistil, nebo tato skutečnost byla zjištěna provedenou kontrolou</w:t>
      </w:r>
      <w:r>
        <w:rPr>
          <w:rFonts w:ascii="Arial" w:hAnsi="Arial" w:cs="Arial"/>
          <w:color w:val="000000" w:themeColor="text1"/>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hanging="644"/>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pStyle w:val="Odstavecseseznamem"/>
        <w:spacing w:after="120"/>
        <w:ind w:left="425"/>
        <w:contextualSpacing w:val="0"/>
        <w:jc w:val="both"/>
        <w:outlineLvl w:val="0"/>
        <w:rPr>
          <w:rFonts w:ascii="Arial" w:hAnsi="Arial" w:cs="Arial"/>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Předmětem kontroly je také kontrola článku IV. bodu 1. této Smlouvy.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a odstavci 9. článku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Style w:val="Hypertextovodkaz"/>
          <w:rFonts w:ascii="Arial" w:hAnsi="Arial" w:cs="Arial"/>
          <w:sz w:val="20"/>
          <w:szCs w:val="20"/>
          <w:shd w:val="clear" w:color="auto" w:fill="F5F5F5"/>
        </w:rPr>
        <w:t>.</w:t>
      </w: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jejího </w:t>
      </w:r>
      <w:r>
        <w:rPr>
          <w:rFonts w:ascii="Arial" w:hAnsi="Arial" w:cs="Arial"/>
          <w:sz w:val="20"/>
          <w:szCs w:val="20"/>
        </w:rPr>
        <w:t>zveřejnění</w:t>
      </w:r>
      <w:r>
        <w:rPr>
          <w:rFonts w:ascii="Arial" w:hAnsi="Arial" w:cs="Arial"/>
          <w:spacing w:val="-4"/>
          <w:sz w:val="20"/>
          <w:szCs w:val="20"/>
        </w:rPr>
        <w:t xml:space="preserve">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 xml:space="preserve">Nedílnou součástí této Smlouvy je příloha č. 1.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Ivo Daněk</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jednatel</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3"/>
          <w:footerReference w:type="first" r:id="rId14"/>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ABAPO, s.r.o.</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Divadelní 3242, 760 01 Zlín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02672910</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0296"/>
        <w:gridCol w:w="360"/>
        <w:gridCol w:w="360"/>
        <w:gridCol w:w="360"/>
        <w:gridCol w:w="360"/>
        <w:gridCol w:w="360"/>
        <w:gridCol w:w="360"/>
        <w:gridCol w:w="360"/>
        <w:gridCol w:w="360"/>
        <w:gridCol w:w="360"/>
        <w:gridCol w:w="360"/>
        <w:gridCol w:w="360"/>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4200668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ABAPO 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 Osoby se zdravotním postižením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Vizovice, 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6 402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3 708 200,00</w:t>
            </w:r>
          </w:p>
        </w:tc>
      </w:tr>
    </w:tbl>
    <w:p>
      <w:pPr>
        <w:rPr>
          <w:rFonts w:ascii="Arial" w:hAnsi="Arial" w:cs="Arial"/>
          <w:i/>
          <w:color w:val="000000" w:themeColor="text1"/>
          <w:sz w:val="16"/>
          <w:szCs w:val="16"/>
        </w:rPr>
      </w:pPr>
    </w:p>
    <w:p>
      <w:pPr>
        <w:rPr>
          <w:rFonts w:ascii="Arial" w:hAnsi="Arial" w:cs="Arial"/>
          <w:i/>
          <w:color w:val="000000" w:themeColor="text1"/>
          <w:sz w:val="16"/>
          <w:szCs w:val="16"/>
        </w:rPr>
      </w:pPr>
    </w:p>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3 708 200,00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B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poskytnutých intervencí </w:t>
      </w:r>
      <w:r>
        <w:rPr>
          <w:rFonts w:ascii="Arial" w:hAnsi="Arial" w:cs="Arial"/>
          <w:b/>
          <w:bCs/>
          <w:color w:val="000000"/>
          <w:sz w:val="20"/>
          <w:szCs w:val="20"/>
        </w:rPr>
        <w:t>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p>
    <w:sectPr>
      <w:footerReference w:type="first" r:id="rId15"/>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A2610"/>
    <w:multiLevelType w:val="hybridMultilevel"/>
    <w:tmpl w:val="CDE2E488"/>
    <w:lvl w:ilvl="0" w:tplc="67A45C54">
      <w:start w:val="1"/>
      <w:numFmt w:val="decimal"/>
      <w:lvlText w:val="%1."/>
      <w:lvlJc w:val="left"/>
      <w:pPr>
        <w:ind w:left="1146" w:hanging="360"/>
      </w:pPr>
      <w:rPr>
        <w:rFonts w:hint="default"/>
        <w:strike w:val="0"/>
        <w:color w:val="000000" w:themeColor="text1"/>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7"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14AEC"/>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6"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6CB2EA5"/>
    <w:multiLevelType w:val="hybridMultilevel"/>
    <w:tmpl w:val="734A4AC4"/>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3"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
  </w:num>
  <w:num w:numId="2">
    <w:abstractNumId w:val="18"/>
  </w:num>
  <w:num w:numId="3">
    <w:abstractNumId w:val="30"/>
  </w:num>
  <w:num w:numId="4">
    <w:abstractNumId w:val="31"/>
  </w:num>
  <w:num w:numId="5">
    <w:abstractNumId w:val="4"/>
  </w:num>
  <w:num w:numId="6">
    <w:abstractNumId w:val="21"/>
  </w:num>
  <w:num w:numId="7">
    <w:abstractNumId w:val="0"/>
  </w:num>
  <w:num w:numId="8">
    <w:abstractNumId w:val="29"/>
  </w:num>
  <w:num w:numId="9">
    <w:abstractNumId w:val="26"/>
  </w:num>
  <w:num w:numId="10">
    <w:abstractNumId w:val="27"/>
  </w:num>
  <w:num w:numId="11">
    <w:abstractNumId w:val="5"/>
  </w:num>
  <w:num w:numId="12">
    <w:abstractNumId w:val="33"/>
  </w:num>
  <w:num w:numId="13">
    <w:abstractNumId w:val="32"/>
  </w:num>
  <w:num w:numId="14">
    <w:abstractNumId w:val="6"/>
  </w:num>
  <w:num w:numId="15">
    <w:abstractNumId w:val="25"/>
  </w:num>
  <w:num w:numId="16">
    <w:abstractNumId w:val="12"/>
  </w:num>
  <w:num w:numId="17">
    <w:abstractNumId w:val="24"/>
  </w:num>
  <w:num w:numId="18">
    <w:abstractNumId w:val="13"/>
  </w:num>
  <w:num w:numId="19">
    <w:abstractNumId w:val="19"/>
  </w:num>
  <w:num w:numId="20">
    <w:abstractNumId w:val="16"/>
  </w:num>
  <w:num w:numId="21">
    <w:abstractNumId w:val="20"/>
  </w:num>
  <w:num w:numId="22">
    <w:abstractNumId w:val="10"/>
  </w:num>
  <w:num w:numId="23">
    <w:abstractNumId w:val="3"/>
  </w:num>
  <w:num w:numId="24">
    <w:abstractNumId w:val="8"/>
  </w:num>
  <w:num w:numId="25">
    <w:abstractNumId w:val="2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22"/>
  </w:num>
  <w:num w:numId="30">
    <w:abstractNumId w:val="23"/>
  </w:num>
  <w:num w:numId="31">
    <w:abstractNumId w:val="17"/>
  </w:num>
  <w:num w:numId="32">
    <w:abstractNumId w:val="7"/>
  </w:num>
  <w:num w:numId="33">
    <w:abstractNumId w:val="15"/>
  </w:num>
  <w:num w:numId="34">
    <w:abstractNumId w:val="11"/>
  </w:num>
  <w:num w:numId="35">
    <w:abstractNumId w:val="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90973971">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http://purl.org/dc/elements/1.1/"/>
    <ds:schemaRef ds:uri="http://schemas.microsoft.com/office/2006/metadata/properties"/>
    <ds:schemaRef ds:uri="http://purl.org/dc/terms/"/>
    <ds:schemaRef ds:uri="http://schemas.openxmlformats.org/package/2006/metadata/core-properties"/>
    <ds:schemaRef ds:uri="17b54d2e-dc38-44b7-96ae-9486366d5d5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540ED6DD-A25D-41D3-88DA-A2109AFA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5012</Words>
  <Characters>29572</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2022-07-01T10:26:00Z</cp:lastPrinted>
  <dcterms:created xsi:type="dcterms:W3CDTF">2023-06-20T08:20:00Z</dcterms:created>
  <dcterms:modified xsi:type="dcterms:W3CDTF">2023-06-20T08:20:00Z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