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7221100069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MX-NET</w:t>
      </w:r>
      <w:r>
        <w:rPr>
          <w:spacing w:val="-13"/>
        </w:rPr>
        <w:t> </w:t>
      </w:r>
      <w:r>
        <w:rPr/>
        <w:t>Telekomunikace</w:t>
      </w:r>
      <w:r>
        <w:rPr>
          <w:spacing w:val="-12"/>
        </w:rPr>
        <w:t> </w:t>
      </w:r>
      <w:r>
        <w:rPr>
          <w:spacing w:val="-2"/>
        </w:rPr>
        <w:t>s.r.o.</w:t>
      </w:r>
    </w:p>
    <w:p>
      <w:pPr>
        <w:pStyle w:val="BodyText"/>
        <w:ind w:left="102" w:right="11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Ostravě, oddíl C, vložka 41875</w:t>
      </w:r>
    </w:p>
    <w:p>
      <w:pPr>
        <w:pStyle w:val="BodyText"/>
        <w:tabs>
          <w:tab w:pos="2982" w:val="left" w:leader="none"/>
        </w:tabs>
        <w:spacing w:line="265" w:lineRule="exact"/>
        <w:ind w:left="102"/>
      </w:pPr>
      <w:r>
        <w:rPr/>
        <w:t>se</w:t>
      </w:r>
      <w:r>
        <w:rPr>
          <w:spacing w:val="-5"/>
        </w:rPr>
        <w:t> </w:t>
      </w:r>
      <w:r>
        <w:rPr>
          <w:spacing w:val="-2"/>
        </w:rPr>
        <w:t>sídlem:</w:t>
      </w:r>
      <w:r>
        <w:rPr/>
        <w:tab/>
        <w:t>č.</w:t>
      </w:r>
      <w:r>
        <w:rPr>
          <w:spacing w:val="-3"/>
        </w:rPr>
        <w:t> </w:t>
      </w:r>
      <w:r>
        <w:rPr/>
        <w:t>p.</w:t>
      </w:r>
      <w:r>
        <w:rPr>
          <w:spacing w:val="-2"/>
        </w:rPr>
        <w:t> </w:t>
      </w:r>
      <w:r>
        <w:rPr/>
        <w:t>95,</w:t>
      </w:r>
      <w:r>
        <w:rPr>
          <w:spacing w:val="-4"/>
        </w:rPr>
        <w:t> </w:t>
      </w:r>
      <w:r>
        <w:rPr/>
        <w:t>792 01</w:t>
      </w:r>
      <w:r>
        <w:rPr>
          <w:spacing w:val="-2"/>
        </w:rPr>
        <w:t> Oborná</w:t>
      </w:r>
    </w:p>
    <w:p>
      <w:pPr>
        <w:pStyle w:val="BodyText"/>
        <w:tabs>
          <w:tab w:pos="2982" w:val="left" w:leader="none"/>
        </w:tabs>
        <w:spacing w:before="1"/>
        <w:ind w:left="102"/>
      </w:pPr>
      <w:r>
        <w:rPr>
          <w:spacing w:val="-4"/>
        </w:rPr>
        <w:t>IČO:</w:t>
      </w:r>
      <w:r>
        <w:rPr>
          <w:rFonts w:ascii="Times New Roman" w:hAnsi="Times New Roman"/>
        </w:rPr>
        <w:tab/>
      </w:r>
      <w:r>
        <w:rPr/>
        <w:t>278</w:t>
      </w:r>
      <w:r>
        <w:rPr>
          <w:spacing w:val="-2"/>
        </w:rPr>
        <w:t> </w:t>
      </w:r>
      <w:r>
        <w:rPr/>
        <w:t>00</w:t>
      </w:r>
      <w:r>
        <w:rPr>
          <w:spacing w:val="-2"/>
        </w:rPr>
        <w:t> </w:t>
      </w:r>
      <w:r>
        <w:rPr>
          <w:spacing w:val="-5"/>
        </w:rPr>
        <w:t>334</w:t>
      </w:r>
    </w:p>
    <w:p>
      <w:pPr>
        <w:pStyle w:val="BodyText"/>
        <w:tabs>
          <w:tab w:pos="2982" w:val="left" w:leader="none"/>
        </w:tabs>
        <w:ind w:left="102"/>
      </w:pPr>
      <w:r>
        <w:rPr>
          <w:spacing w:val="-2"/>
        </w:rPr>
        <w:t>zastoupená:</w:t>
      </w:r>
      <w:r>
        <w:rPr/>
        <w:tab/>
        <w:t>Tomášem</w:t>
      </w:r>
      <w:r>
        <w:rPr>
          <w:spacing w:val="-2"/>
        </w:rPr>
        <w:t> </w:t>
      </w:r>
      <w:r>
        <w:rPr/>
        <w:t>N</w:t>
      </w:r>
      <w:r>
        <w:rPr>
          <w:spacing w:val="-3"/>
        </w:rPr>
        <w:t> </w:t>
      </w:r>
      <w:r>
        <w:rPr/>
        <w:t>e</w:t>
      </w:r>
      <w:r>
        <w:rPr>
          <w:spacing w:val="-4"/>
        </w:rPr>
        <w:t> </w:t>
      </w:r>
      <w:r>
        <w:rPr/>
        <w:t>d</w:t>
      </w:r>
      <w:r>
        <w:rPr>
          <w:spacing w:val="-2"/>
        </w:rPr>
        <w:t> </w:t>
      </w:r>
      <w:r>
        <w:rPr/>
        <w:t>b</w:t>
      </w:r>
      <w:r>
        <w:rPr>
          <w:spacing w:val="-3"/>
        </w:rPr>
        <w:t> </w:t>
      </w:r>
      <w:r>
        <w:rPr/>
        <w:t>a</w:t>
      </w:r>
      <w:r>
        <w:rPr>
          <w:spacing w:val="-3"/>
        </w:rPr>
        <w:t> </w:t>
      </w:r>
      <w:r>
        <w:rPr/>
        <w:t>l</w:t>
      </w:r>
      <w:r>
        <w:rPr>
          <w:spacing w:val="-2"/>
        </w:rPr>
        <w:t> </w:t>
      </w:r>
      <w:r>
        <w:rPr/>
        <w:t>e</w:t>
      </w:r>
      <w:r>
        <w:rPr>
          <w:spacing w:val="-1"/>
        </w:rPr>
        <w:t> </w:t>
      </w:r>
      <w:r>
        <w:rPr/>
        <w:t>m,</w:t>
      </w:r>
      <w:r>
        <w:rPr>
          <w:spacing w:val="-4"/>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right="4751"/>
      </w:pPr>
      <w:r>
        <w:rPr/>
        <w:t>číslo účtu:</w:t>
        <w:tab/>
      </w:r>
      <w:r>
        <w:rPr>
          <w:spacing w:val="-2"/>
        </w:rPr>
        <w:t>35-9431400277/0100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7221100069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969" w:top="2040" w:bottom="11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868"/>
        <w:jc w:val="both"/>
      </w:pPr>
      <w:r>
        <w:rPr/>
        <w:t>„Instalace</w:t>
      </w:r>
      <w:r>
        <w:rPr>
          <w:spacing w:val="-8"/>
        </w:rPr>
        <w:t> </w:t>
      </w:r>
      <w:r>
        <w:rPr/>
        <w:t>FVE</w:t>
      </w:r>
      <w:r>
        <w:rPr>
          <w:spacing w:val="-7"/>
        </w:rPr>
        <w:t> </w:t>
      </w:r>
      <w:r>
        <w:rPr/>
        <w:t>vč.</w:t>
      </w:r>
      <w:r>
        <w:rPr>
          <w:spacing w:val="-9"/>
        </w:rPr>
        <w:t> </w:t>
      </w:r>
      <w:r>
        <w:rPr/>
        <w:t>akumulace</w:t>
      </w:r>
      <w:r>
        <w:rPr>
          <w:spacing w:val="-5"/>
        </w:rPr>
        <w:t> </w:t>
      </w:r>
      <w:r>
        <w:rPr/>
        <w:t>-</w:t>
      </w:r>
      <w:r>
        <w:rPr>
          <w:spacing w:val="-6"/>
        </w:rPr>
        <w:t> </w:t>
      </w:r>
      <w:r>
        <w:rPr/>
        <w:t>MX-NET</w:t>
      </w:r>
      <w:r>
        <w:rPr>
          <w:spacing w:val="-7"/>
        </w:rPr>
        <w:t> </w:t>
      </w:r>
      <w:r>
        <w:rPr/>
        <w:t>Telekomunikace</w:t>
      </w:r>
      <w:r>
        <w:rPr>
          <w:spacing w:val="-7"/>
        </w:rPr>
        <w:t> </w:t>
      </w:r>
      <w:r>
        <w:rPr>
          <w:spacing w:val="-2"/>
        </w:rPr>
        <w:t>s.r.o.“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000</w:t>
      </w:r>
      <w:r>
        <w:rPr>
          <w:b/>
          <w:spacing w:val="-1"/>
          <w:sz w:val="20"/>
        </w:rPr>
        <w:t> </w:t>
      </w:r>
      <w:r>
        <w:rPr>
          <w:b/>
          <w:sz w:val="20"/>
        </w:rPr>
        <w:t>146,58 Kč </w:t>
      </w:r>
      <w:r>
        <w:rPr>
          <w:sz w:val="20"/>
        </w:rPr>
        <w:t>(slovy: jeden milion jedno sto čtyřicet šest korun českých a padesát osm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2 892 499,00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9"/>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w:t>
      </w:r>
    </w:p>
    <w:p>
      <w:pPr>
        <w:spacing w:after="0" w:line="240" w:lineRule="auto"/>
        <w:jc w:val="both"/>
        <w:rPr>
          <w:sz w:val="20"/>
        </w:rPr>
        <w:sectPr>
          <w:pgSz w:w="12240" w:h="15840"/>
          <w:pgMar w:header="708" w:footer="969" w:top="2040" w:bottom="1180" w:left="1600" w:right="1020"/>
        </w:sectPr>
      </w:pPr>
    </w:p>
    <w:p>
      <w:pPr>
        <w:pStyle w:val="BodyText"/>
        <w:spacing w:before="12"/>
        <w:rPr>
          <w:sz w:val="9"/>
        </w:rPr>
      </w:pPr>
    </w:p>
    <w:p>
      <w:pPr>
        <w:pStyle w:val="BodyText"/>
        <w:spacing w:before="99"/>
        <w:ind w:left="385"/>
        <w:jc w:val="both"/>
      </w:pPr>
      <w:r>
        <w:rPr/>
        <w:t>akce</w:t>
      </w:r>
      <w:r>
        <w:rPr>
          <w:spacing w:val="-7"/>
        </w:rPr>
        <w:t> </w:t>
      </w:r>
      <w:r>
        <w:rPr/>
        <w:t>přesahující</w:t>
      </w:r>
      <w:r>
        <w:rPr>
          <w:spacing w:val="-6"/>
        </w:rPr>
        <w:t> </w:t>
      </w:r>
      <w:r>
        <w:rPr/>
        <w:t>základ</w:t>
      </w:r>
      <w:r>
        <w:rPr>
          <w:spacing w:val="-5"/>
        </w:rPr>
        <w:t> </w:t>
      </w:r>
      <w:r>
        <w:rPr/>
        <w:t>pro</w:t>
      </w:r>
      <w:r>
        <w:rPr>
          <w:spacing w:val="-3"/>
        </w:rPr>
        <w:t> </w:t>
      </w:r>
      <w:r>
        <w:rPr/>
        <w:t>stanovení</w:t>
      </w:r>
      <w:r>
        <w:rPr>
          <w:spacing w:val="-6"/>
        </w:rPr>
        <w:t> </w:t>
      </w:r>
      <w:r>
        <w:rPr/>
        <w:t>podpory.</w:t>
      </w:r>
      <w:r>
        <w:rPr>
          <w:spacing w:val="-6"/>
        </w:rPr>
        <w:t> </w:t>
      </w:r>
      <w:r>
        <w:rPr/>
        <w:t>Ustanovení</w:t>
      </w:r>
      <w:r>
        <w:rPr>
          <w:spacing w:val="-6"/>
        </w:rPr>
        <w:t> </w:t>
      </w:r>
      <w:r>
        <w:rPr/>
        <w:t>článku</w:t>
      </w:r>
      <w:r>
        <w:rPr>
          <w:spacing w:val="-5"/>
        </w:rPr>
        <w:t> </w:t>
      </w:r>
      <w:r>
        <w:rPr/>
        <w:t>V</w:t>
      </w:r>
      <w:r>
        <w:rPr>
          <w:spacing w:val="-5"/>
        </w:rPr>
        <w:t> </w:t>
      </w:r>
      <w:r>
        <w:rPr/>
        <w:t>bodu</w:t>
      </w:r>
      <w:r>
        <w:rPr>
          <w:spacing w:val="-5"/>
        </w:rPr>
        <w:t> </w:t>
      </w:r>
      <w:r>
        <w:rPr/>
        <w:t>1</w:t>
      </w:r>
      <w:r>
        <w:rPr>
          <w:spacing w:val="-5"/>
        </w:rPr>
        <w:t> </w:t>
      </w:r>
      <w:r>
        <w:rPr/>
        <w:t>tím</w:t>
      </w:r>
      <w:r>
        <w:rPr>
          <w:spacing w:val="-7"/>
        </w:rPr>
        <w:t> </w:t>
      </w:r>
      <w:r>
        <w:rPr/>
        <w:t>není</w:t>
      </w:r>
      <w:r>
        <w:rPr>
          <w:spacing w:val="-6"/>
        </w:rPr>
        <w:t> </w:t>
      </w:r>
      <w:r>
        <w:rPr>
          <w:spacing w:val="-2"/>
        </w:rPr>
        <w:t>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5"/>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24"/>
          <w:sz w:val="20"/>
        </w:rPr>
        <w:t> </w:t>
      </w:r>
      <w:r>
        <w:rPr>
          <w:sz w:val="20"/>
        </w:rPr>
        <w:t>účel</w:t>
      </w:r>
      <w:r>
        <w:rPr>
          <w:spacing w:val="25"/>
          <w:sz w:val="20"/>
        </w:rPr>
        <w:t> </w:t>
      </w:r>
      <w:r>
        <w:rPr>
          <w:sz w:val="20"/>
        </w:rPr>
        <w:t>akce</w:t>
      </w:r>
      <w:r>
        <w:rPr>
          <w:spacing w:val="24"/>
          <w:sz w:val="20"/>
        </w:rPr>
        <w:t> </w:t>
      </w:r>
      <w:r>
        <w:rPr>
          <w:sz w:val="20"/>
        </w:rPr>
        <w:t>„Instalace</w:t>
      </w:r>
      <w:r>
        <w:rPr>
          <w:spacing w:val="24"/>
          <w:sz w:val="20"/>
        </w:rPr>
        <w:t> </w:t>
      </w:r>
      <w:r>
        <w:rPr>
          <w:sz w:val="20"/>
        </w:rPr>
        <w:t>FVE</w:t>
      </w:r>
      <w:r>
        <w:rPr>
          <w:spacing w:val="25"/>
          <w:sz w:val="20"/>
        </w:rPr>
        <w:t> </w:t>
      </w:r>
      <w:r>
        <w:rPr>
          <w:sz w:val="20"/>
        </w:rPr>
        <w:t>vč.</w:t>
      </w:r>
      <w:r>
        <w:rPr>
          <w:spacing w:val="24"/>
          <w:sz w:val="20"/>
        </w:rPr>
        <w:t> </w:t>
      </w:r>
      <w:r>
        <w:rPr>
          <w:sz w:val="20"/>
        </w:rPr>
        <w:t>akumulace</w:t>
      </w:r>
      <w:r>
        <w:rPr>
          <w:spacing w:val="26"/>
          <w:sz w:val="20"/>
        </w:rPr>
        <w:t> </w:t>
      </w:r>
      <w:r>
        <w:rPr>
          <w:sz w:val="20"/>
        </w:rPr>
        <w:t>-</w:t>
      </w:r>
      <w:r>
        <w:rPr>
          <w:spacing w:val="24"/>
          <w:sz w:val="20"/>
        </w:rPr>
        <w:t> </w:t>
      </w:r>
      <w:r>
        <w:rPr>
          <w:sz w:val="20"/>
        </w:rPr>
        <w:t>MX-NET</w:t>
      </w:r>
      <w:r>
        <w:rPr>
          <w:spacing w:val="24"/>
          <w:sz w:val="20"/>
        </w:rPr>
        <w:t> </w:t>
      </w:r>
      <w:r>
        <w:rPr>
          <w:sz w:val="20"/>
        </w:rPr>
        <w:t>Telekomunikace</w:t>
      </w:r>
      <w:r>
        <w:rPr>
          <w:spacing w:val="24"/>
          <w:sz w:val="20"/>
        </w:rPr>
        <w:t> </w:t>
      </w:r>
      <w:r>
        <w:rPr>
          <w:sz w:val="20"/>
        </w:rPr>
        <w:t>s.r.o.“</w:t>
      </w:r>
      <w:r>
        <w:rPr>
          <w:spacing w:val="24"/>
          <w:sz w:val="20"/>
        </w:rPr>
        <w:t> </w:t>
      </w:r>
      <w:r>
        <w:rPr>
          <w:sz w:val="20"/>
        </w:rPr>
        <w:t>tím,</w:t>
      </w:r>
      <w:r>
        <w:rPr>
          <w:spacing w:val="25"/>
          <w:sz w:val="20"/>
        </w:rPr>
        <w:t> </w:t>
      </w:r>
      <w:r>
        <w:rPr>
          <w:sz w:val="20"/>
        </w:rPr>
        <w:t>že</w:t>
      </w:r>
      <w:r>
        <w:rPr>
          <w:spacing w:val="24"/>
          <w:sz w:val="20"/>
        </w:rPr>
        <w:t> </w:t>
      </w:r>
      <w:r>
        <w:rPr>
          <w:sz w:val="20"/>
        </w:rPr>
        <w:t>akce</w:t>
      </w:r>
      <w:r>
        <w:rPr>
          <w:spacing w:val="24"/>
          <w:sz w:val="20"/>
        </w:rPr>
        <w:t> </w:t>
      </w:r>
      <w:r>
        <w:rPr>
          <w:sz w:val="20"/>
        </w:rPr>
        <w:t>bude provedena v souladu s Výzvou, žádostí o 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52,8 kWp a instalací akumulace o kapacitě 52,2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4"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52.20</w:t>
            </w:r>
          </w:p>
        </w:tc>
      </w:tr>
      <w:tr>
        <w:trPr>
          <w:trHeight w:val="505"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52.80</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17.20</w:t>
            </w:r>
          </w:p>
        </w:tc>
      </w:tr>
      <w:tr>
        <w:trPr>
          <w:trHeight w:val="533" w:hRule="atLeast"/>
        </w:trPr>
        <w:tc>
          <w:tcPr>
            <w:tcW w:w="3771" w:type="dxa"/>
          </w:tcPr>
          <w:p>
            <w:pPr>
              <w:pStyle w:val="TableParagraph"/>
              <w:spacing w:line="260" w:lineRule="atLeas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3"/>
              <w:ind w:left="0" w:right="444"/>
              <w:jc w:val="right"/>
              <w:rPr>
                <w:sz w:val="20"/>
              </w:rPr>
            </w:pPr>
            <w:r>
              <w:rPr>
                <w:spacing w:val="-2"/>
                <w:sz w:val="20"/>
              </w:rPr>
              <w:t>MWh/rok</w:t>
            </w:r>
          </w:p>
        </w:tc>
        <w:tc>
          <w:tcPr>
            <w:tcW w:w="1719" w:type="dxa"/>
          </w:tcPr>
          <w:p>
            <w:pPr>
              <w:pStyle w:val="TableParagraph"/>
              <w:spacing w:before="123"/>
              <w:ind w:left="388"/>
              <w:rPr>
                <w:sz w:val="20"/>
              </w:rPr>
            </w:pPr>
            <w:r>
              <w:rPr>
                <w:w w:val="99"/>
                <w:sz w:val="20"/>
              </w:rPr>
              <w:t>0</w:t>
            </w:r>
          </w:p>
        </w:tc>
        <w:tc>
          <w:tcPr>
            <w:tcW w:w="1651" w:type="dxa"/>
          </w:tcPr>
          <w:p>
            <w:pPr>
              <w:pStyle w:val="TableParagraph"/>
              <w:spacing w:before="123"/>
              <w:ind w:left="390"/>
              <w:rPr>
                <w:sz w:val="20"/>
              </w:rPr>
            </w:pPr>
            <w:r>
              <w:rPr>
                <w:spacing w:val="-2"/>
                <w:sz w:val="20"/>
              </w:rPr>
              <w:t>51.90</w:t>
            </w:r>
          </w:p>
        </w:tc>
      </w:tr>
      <w:tr>
        <w:trPr>
          <w:trHeight w:val="506"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53.10</w:t>
            </w:r>
          </w:p>
        </w:tc>
      </w:tr>
    </w:tbl>
    <w:p>
      <w:pPr>
        <w:spacing w:after="0"/>
        <w:rPr>
          <w:sz w:val="20"/>
        </w:rPr>
        <w:sectPr>
          <w:pgSz w:w="12240" w:h="15840"/>
          <w:pgMar w:header="708" w:footer="969" w:top="2040" w:bottom="118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49" w:lineRule="auto" w:before="44"/>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9"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w:t>
      </w:r>
    </w:p>
    <w:p>
      <w:pPr>
        <w:spacing w:after="0" w:line="240" w:lineRule="auto"/>
        <w:jc w:val="both"/>
        <w:rPr>
          <w:sz w:val="20"/>
        </w:rPr>
        <w:sectPr>
          <w:pgSz w:w="12240" w:h="15840"/>
          <w:pgMar w:header="708" w:footer="969" w:top="2040" w:bottom="1180" w:left="1600" w:right="1020"/>
        </w:sectPr>
      </w:pPr>
    </w:p>
    <w:p>
      <w:pPr>
        <w:pStyle w:val="BodyText"/>
        <w:spacing w:before="12"/>
        <w:rPr>
          <w:sz w:val="9"/>
        </w:rPr>
      </w:pPr>
    </w:p>
    <w:p>
      <w:pPr>
        <w:pStyle w:val="BodyText"/>
        <w:spacing w:before="99"/>
        <w:ind w:left="745"/>
        <w:jc w:val="both"/>
      </w:pPr>
      <w:r>
        <w:rPr/>
        <w:t>které</w:t>
      </w:r>
      <w:r>
        <w:rPr>
          <w:spacing w:val="-6"/>
        </w:rPr>
        <w:t> </w:t>
      </w:r>
      <w:r>
        <w:rPr/>
        <w:t>s</w:t>
      </w:r>
      <w:r>
        <w:rPr>
          <w:spacing w:val="-5"/>
        </w:rPr>
        <w:t> </w:t>
      </w:r>
      <w:r>
        <w:rPr/>
        <w:t>akcí</w:t>
      </w:r>
      <w:r>
        <w:rPr>
          <w:spacing w:val="-6"/>
        </w:rPr>
        <w:t> </w:t>
      </w:r>
      <w:r>
        <w:rPr/>
        <w:t>nesouvisejí,</w:t>
      </w:r>
      <w:r>
        <w:rPr>
          <w:spacing w:val="-6"/>
        </w:rPr>
        <w:t> </w:t>
      </w:r>
      <w:r>
        <w:rPr/>
        <w:t>a</w:t>
      </w:r>
      <w:r>
        <w:rPr>
          <w:spacing w:val="-5"/>
        </w:rPr>
        <w:t> </w:t>
      </w:r>
      <w:r>
        <w:rPr/>
        <w:t>zavazuje</w:t>
      </w:r>
      <w:r>
        <w:rPr>
          <w:spacing w:val="-6"/>
        </w:rPr>
        <w:t> </w:t>
      </w:r>
      <w:r>
        <w:rPr/>
        <w:t>se</w:t>
      </w:r>
      <w:r>
        <w:rPr>
          <w:spacing w:val="-6"/>
        </w:rPr>
        <w:t> </w:t>
      </w:r>
      <w:r>
        <w:rPr/>
        <w:t>vést</w:t>
      </w:r>
      <w:r>
        <w:rPr>
          <w:spacing w:val="-6"/>
        </w:rPr>
        <w:t> </w:t>
      </w:r>
      <w:r>
        <w:rPr/>
        <w:t>analytickou</w:t>
      </w:r>
      <w:r>
        <w:rPr>
          <w:spacing w:val="-3"/>
        </w:rPr>
        <w:t> </w:t>
      </w:r>
      <w:r>
        <w:rPr/>
        <w:t>evidenci</w:t>
      </w:r>
      <w:r>
        <w:rPr>
          <w:spacing w:val="-5"/>
        </w:rPr>
        <w:t> </w:t>
      </w:r>
      <w:r>
        <w:rPr/>
        <w:t>s</w:t>
      </w:r>
      <w:r>
        <w:rPr>
          <w:spacing w:val="-1"/>
        </w:rPr>
        <w:t> </w:t>
      </w:r>
      <w:r>
        <w:rPr/>
        <w:t>vazbou</w:t>
      </w:r>
      <w:r>
        <w:rPr>
          <w:spacing w:val="-4"/>
        </w:rPr>
        <w:t> </w:t>
      </w:r>
      <w:r>
        <w:rPr/>
        <w:t>ke</w:t>
      </w:r>
      <w:r>
        <w:rPr>
          <w:spacing w:val="-4"/>
        </w:rPr>
        <w:t> </w:t>
      </w:r>
      <w:r>
        <w:rPr/>
        <w:t>konkrétní</w:t>
      </w:r>
      <w:r>
        <w:rPr>
          <w:spacing w:val="-6"/>
        </w:rPr>
        <w:t> </w:t>
      </w:r>
      <w:r>
        <w:rPr>
          <w:spacing w:val="-2"/>
        </w:rPr>
        <w:t>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7"/>
          <w:sz w:val="20"/>
        </w:rPr>
        <w:t> </w:t>
      </w:r>
      <w:r>
        <w:rPr>
          <w:sz w:val="20"/>
        </w:rPr>
        <w:t>ve</w:t>
      </w:r>
      <w:r>
        <w:rPr>
          <w:spacing w:val="37"/>
          <w:sz w:val="20"/>
        </w:rPr>
        <w:t> </w:t>
      </w:r>
      <w:r>
        <w:rPr>
          <w:sz w:val="20"/>
        </w:rPr>
        <w:t>smyslu</w:t>
      </w:r>
      <w:r>
        <w:rPr>
          <w:spacing w:val="38"/>
          <w:sz w:val="20"/>
        </w:rPr>
        <w:t> </w:t>
      </w:r>
      <w:r>
        <w:rPr>
          <w:sz w:val="20"/>
        </w:rPr>
        <w:t>příslušných</w:t>
      </w:r>
      <w:r>
        <w:rPr>
          <w:spacing w:val="38"/>
          <w:sz w:val="20"/>
        </w:rPr>
        <w:t> </w:t>
      </w:r>
      <w:r>
        <w:rPr>
          <w:sz w:val="20"/>
        </w:rPr>
        <w:t>ustanovení</w:t>
      </w:r>
      <w:r>
        <w:rPr>
          <w:spacing w:val="38"/>
          <w:sz w:val="20"/>
        </w:rPr>
        <w:t> </w:t>
      </w:r>
      <w:r>
        <w:rPr>
          <w:sz w:val="20"/>
        </w:rPr>
        <w:t>zákona</w:t>
      </w:r>
      <w:r>
        <w:rPr>
          <w:spacing w:val="39"/>
          <w:sz w:val="20"/>
        </w:rPr>
        <w:t> </w:t>
      </w:r>
      <w:r>
        <w:rPr>
          <w:sz w:val="20"/>
        </w:rPr>
        <w:t>č.</w:t>
      </w:r>
      <w:r>
        <w:rPr>
          <w:spacing w:val="38"/>
          <w:sz w:val="20"/>
        </w:rPr>
        <w:t> </w:t>
      </w:r>
      <w:r>
        <w:rPr>
          <w:sz w:val="20"/>
        </w:rPr>
        <w:t>218/2000</w:t>
      </w:r>
      <w:r>
        <w:rPr>
          <w:spacing w:val="39"/>
          <w:sz w:val="20"/>
        </w:rPr>
        <w:t> </w:t>
      </w:r>
      <w:r>
        <w:rPr>
          <w:sz w:val="20"/>
        </w:rPr>
        <w:t>Sb.,</w:t>
      </w:r>
      <w:r>
        <w:rPr>
          <w:spacing w:val="38"/>
          <w:sz w:val="20"/>
        </w:rPr>
        <w:t> </w:t>
      </w:r>
      <w:r>
        <w:rPr>
          <w:sz w:val="20"/>
        </w:rPr>
        <w:t>o</w:t>
      </w:r>
      <w:r>
        <w:rPr>
          <w:spacing w:val="38"/>
          <w:sz w:val="20"/>
        </w:rPr>
        <w:t> </w:t>
      </w:r>
      <w:r>
        <w:rPr>
          <w:sz w:val="20"/>
        </w:rPr>
        <w:t>rozpočtových</w:t>
      </w:r>
      <w:r>
        <w:rPr>
          <w:spacing w:val="40"/>
          <w:sz w:val="20"/>
        </w:rPr>
        <w:t> </w:t>
      </w:r>
      <w:r>
        <w:rPr>
          <w:sz w:val="20"/>
        </w:rPr>
        <w:t>pravidlech</w:t>
      </w:r>
      <w:r>
        <w:rPr>
          <w:spacing w:val="40"/>
          <w:sz w:val="20"/>
        </w:rPr>
        <w:t> </w:t>
      </w:r>
      <w:r>
        <w:rPr>
          <w:sz w:val="20"/>
        </w:rPr>
        <w:t>a</w:t>
      </w:r>
    </w:p>
    <w:p>
      <w:pPr>
        <w:pStyle w:val="BodyText"/>
        <w:spacing w:line="264" w:lineRule="exac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spacing w:after="0" w:line="264" w:lineRule="exact"/>
        <w:jc w:val="both"/>
        <w:sectPr>
          <w:pgSz w:w="12240" w:h="15840"/>
          <w:pgMar w:header="708" w:footer="969" w:top="2040" w:bottom="118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18"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9"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1"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0"/>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spacing w:after="0" w:line="237" w:lineRule="auto"/>
        <w:jc w:val="both"/>
        <w:rPr>
          <w:sz w:val="20"/>
        </w:rPr>
        <w:sectPr>
          <w:pgSz w:w="12240" w:h="15840"/>
          <w:pgMar w:header="708" w:footer="969" w:top="2040" w:bottom="11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3"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8"/>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969" w:top="2040" w:bottom="118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1" w:val="left" w:leader="none"/>
          <w:tab w:pos="1879" w:val="left" w:leader="none"/>
          <w:tab w:pos="2875" w:val="left" w:leader="none"/>
          <w:tab w:pos="3575" w:val="left" w:leader="none"/>
          <w:tab w:pos="3990"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969" w:top="2040" w:bottom="118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969" w:top="2040" w:bottom="118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969" w:top="2040" w:bottom="118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969" w:top="2040" w:bottom="118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2"/>
        <w:rPr>
          <w:b/>
          <w:sz w:val="9"/>
        </w:rPr>
      </w:pPr>
      <w:r>
        <w:rPr/>
        <w:pict>
          <v:rect style="position:absolute;margin-left:85.103996pt;margin-top:7.30996pt;width:144.020pt;height:.48004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
        <w:rPr>
          <w:b/>
          <w:sz w:val="14"/>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7"/>
        <w:rPr>
          <w:sz w:val="21"/>
        </w:rPr>
      </w:pPr>
      <w:r>
        <w:rPr/>
        <w:pict>
          <v:rect style="position:absolute;margin-left:85.103996pt;margin-top:15.55996pt;width:144.020pt;height:.48004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
        <w:rPr>
          <w:sz w:val="14"/>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969" w:top="2040" w:bottom="118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969" w:top="2040" w:bottom="11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312.290009pt;margin-top:731.100525pt;width:17.1pt;height:13.05pt;mso-position-horizontal-relative:page;mso-position-vertical-relative:page;z-index:-16272384" type="#_x0000_t202" id="docshape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2023-07-26T05:55:35Z</dcterms:created>
  <dcterms:modified xsi:type="dcterms:W3CDTF">2023-07-26T05:55:35Z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2016</vt:lpwstr>
  </property>
  <property fmtid="{D5CDD505-2E9C-101B-9397-08002B2CF9AE}" pid="4" name="LastSaved">
    <vt:filetime>2023-07-26T00:00:00Z</vt:filetime>
  </property>
</Properties>
</file>