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0017920123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868510864" name="Picture">
</wp:docPr>
                  <a:graphic>
                    <a:graphicData uri="http://schemas.openxmlformats.org/drawingml/2006/picture">
                      <pic:pic>
                        <pic:nvPicPr>
                          <pic:cNvPr id="1868510864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S17/055E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47450436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Sonepar Česká republika spol. s r.o.</w:t>
                    <w:br/>
                    <w:t xml:space="preserve">Vážní 1125</w:t>
                    <w:br/>
                    <w:t xml:space="preserve">500 03  HRADEC KRÁLOVÉ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NS020901 Sekce 9 - nákladové středisko</w:t>
                    <w:br/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02.05.2017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 Tato objednávka bude uveřejněna v souladu se zákonem č. 340/2015 Sb., o zvláštních podmínkách účinnosti některých smluv, uveřejňování těchto smluv a o registru smluv, v 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Zdroj CP-E 24/10  - 24V DC/10A, 115-230V AC  	1SVR427035R0000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1 967.37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147 552.75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Zdroj CP-E 24/5 - 24V DC/5A, 115-230V AC         	1SVR427034R0000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1 398.90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104 917.50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Zdroj Zdroj CP-E 12/10 - 12VDC/10A	1SVR427035R1000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1 552.15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62 086.00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66 057.00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66 057.00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380 613.25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380 613.25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27.04.2017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