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9CB" w:rsidRDefault="00341E58">
      <w:pPr>
        <w:pStyle w:val="Zkladntext"/>
        <w:tabs>
          <w:tab w:val="left" w:pos="7819"/>
        </w:tabs>
        <w:spacing w:before="69"/>
        <w:ind w:left="552"/>
      </w:pPr>
      <w:r>
        <w:rPr>
          <w:position w:val="1"/>
        </w:rPr>
        <w:t>smlouva č.</w:t>
      </w:r>
      <w:r>
        <w:rPr>
          <w:spacing w:val="4"/>
          <w:position w:val="1"/>
        </w:rPr>
        <w:t xml:space="preserve"> </w:t>
      </w:r>
      <w:r>
        <w:rPr>
          <w:position w:val="1"/>
        </w:rPr>
        <w:t>(společnost):</w:t>
      </w:r>
      <w:r>
        <w:rPr>
          <w:spacing w:val="3"/>
          <w:position w:val="1"/>
        </w:rPr>
        <w:t xml:space="preserve"> </w:t>
      </w:r>
      <w:r>
        <w:rPr>
          <w:position w:val="1"/>
        </w:rPr>
        <w:t>OS202320001916</w:t>
      </w:r>
      <w:r>
        <w:rPr>
          <w:position w:val="1"/>
        </w:rPr>
        <w:tab/>
      </w:r>
      <w:r>
        <w:t>Evidenční číslo:</w:t>
      </w:r>
      <w:r>
        <w:rPr>
          <w:spacing w:val="2"/>
        </w:rPr>
        <w:t xml:space="preserve"> </w:t>
      </w:r>
      <w:r>
        <w:t>70/0106</w:t>
      </w:r>
    </w:p>
    <w:p w:rsidR="002969CB" w:rsidRDefault="00341E58">
      <w:pPr>
        <w:pStyle w:val="Zkladntext"/>
        <w:spacing w:before="121"/>
        <w:ind w:left="552"/>
      </w:pPr>
      <w:r>
        <w:t>smlouva č. (obec):</w:t>
      </w:r>
      <w:r w:rsidR="00D23559">
        <w:t xml:space="preserve"> 0340/2023</w:t>
      </w:r>
    </w:p>
    <w:p w:rsidR="002969CB" w:rsidRDefault="002969CB">
      <w:pPr>
        <w:pStyle w:val="Zkladntext"/>
        <w:rPr>
          <w:sz w:val="24"/>
        </w:rPr>
      </w:pPr>
    </w:p>
    <w:p w:rsidR="002969CB" w:rsidRDefault="00341E58">
      <w:pPr>
        <w:spacing w:before="200"/>
        <w:ind w:left="2189" w:right="1835"/>
        <w:jc w:val="center"/>
        <w:rPr>
          <w:b/>
          <w:sz w:val="28"/>
        </w:rPr>
      </w:pPr>
      <w:r>
        <w:rPr>
          <w:b/>
          <w:sz w:val="28"/>
        </w:rPr>
        <w:t>Smlouva o spolupráci při zajištění zpětného odběru a zařazení místa zpětného odběru do obecního systému odpadového hospodářství</w:t>
      </w:r>
    </w:p>
    <w:p w:rsidR="002969CB" w:rsidRDefault="00341E58">
      <w:pPr>
        <w:pStyle w:val="Zkladntext"/>
        <w:spacing w:before="268"/>
        <w:ind w:left="643"/>
      </w:pPr>
      <w:r>
        <w:t>smluvní strany:</w:t>
      </w:r>
    </w:p>
    <w:p w:rsidR="002969CB" w:rsidRDefault="002969CB">
      <w:pPr>
        <w:pStyle w:val="Zkladntext"/>
        <w:spacing w:before="9"/>
        <w:rPr>
          <w:sz w:val="23"/>
        </w:rPr>
      </w:pPr>
    </w:p>
    <w:p w:rsidR="002969CB" w:rsidRDefault="00341E58">
      <w:pPr>
        <w:pStyle w:val="Odstavecseseznamem"/>
        <w:numPr>
          <w:ilvl w:val="0"/>
          <w:numId w:val="8"/>
        </w:numPr>
        <w:tabs>
          <w:tab w:val="left" w:pos="1070"/>
          <w:tab w:val="left" w:pos="1071"/>
        </w:tabs>
        <w:spacing w:before="1" w:line="269" w:lineRule="exact"/>
        <w:rPr>
          <w:b/>
        </w:rPr>
      </w:pPr>
      <w:r>
        <w:rPr>
          <w:b/>
        </w:rPr>
        <w:t>EKO-KOM,</w:t>
      </w:r>
      <w:r>
        <w:rPr>
          <w:b/>
          <w:spacing w:val="-7"/>
        </w:rPr>
        <w:t xml:space="preserve"> </w:t>
      </w:r>
      <w:r>
        <w:rPr>
          <w:b/>
          <w:spacing w:val="-4"/>
        </w:rPr>
        <w:t>a.s.</w:t>
      </w:r>
    </w:p>
    <w:p w:rsidR="002969CB" w:rsidRDefault="00341E58">
      <w:pPr>
        <w:pStyle w:val="Zkladntext"/>
        <w:spacing w:line="252" w:lineRule="exact"/>
        <w:ind w:left="1068"/>
      </w:pPr>
      <w:r>
        <w:t>IČO: 251 34 701, DIČ: CZ25134701</w:t>
      </w:r>
    </w:p>
    <w:p w:rsidR="002969CB" w:rsidRDefault="00341E58">
      <w:pPr>
        <w:pStyle w:val="Zkladntext"/>
        <w:ind w:left="1068"/>
      </w:pPr>
      <w:r>
        <w:t>se sídlem Praha 4, Na Pankráci 1685/17, PSČ 140 21</w:t>
      </w:r>
    </w:p>
    <w:p w:rsidR="002969CB" w:rsidRDefault="00341E58">
      <w:pPr>
        <w:pStyle w:val="Zkladntext"/>
        <w:spacing w:before="1"/>
        <w:ind w:left="1068" w:right="1642"/>
      </w:pPr>
      <w:r>
        <w:t>zapsaná v obchodním rejstříku u Městského soudu v Praze, oddíl B, vložka 4763, kterou zastupuje Martina Filipová, na základě plné moci,</w:t>
      </w:r>
    </w:p>
    <w:p w:rsidR="002969CB" w:rsidRDefault="009E02C7">
      <w:pPr>
        <w:pStyle w:val="Zkladntext"/>
        <w:spacing w:before="2"/>
        <w:ind w:left="1068" w:right="3377"/>
      </w:pPr>
      <w:r>
        <w:t xml:space="preserve">č. účtu: </w:t>
      </w:r>
      <w:proofErr w:type="spellStart"/>
      <w:r>
        <w:t>xxxxxxxxxxxxxxx</w:t>
      </w:r>
      <w:proofErr w:type="spellEnd"/>
      <w:r w:rsidR="00341E58">
        <w:t xml:space="preserve">, bankovní spojení: ING Bank </w:t>
      </w:r>
      <w:proofErr w:type="gramStart"/>
      <w:r w:rsidR="00341E58">
        <w:t>N.V. adresa</w:t>
      </w:r>
      <w:proofErr w:type="gramEnd"/>
      <w:r w:rsidR="00341E58">
        <w:t xml:space="preserve"> elektronické pošty: </w:t>
      </w:r>
      <w:proofErr w:type="spellStart"/>
      <w:r>
        <w:t>xxxxxxxxxxxxxxx</w:t>
      </w:r>
      <w:proofErr w:type="spellEnd"/>
    </w:p>
    <w:p w:rsidR="002969CB" w:rsidRDefault="00341E58">
      <w:pPr>
        <w:pStyle w:val="Zkladntext"/>
        <w:spacing w:before="1"/>
        <w:ind w:left="1068" w:right="4337"/>
      </w:pPr>
      <w:r>
        <w:t>identifikátor datové schránky: kbbdu2k („</w:t>
      </w:r>
      <w:r>
        <w:rPr>
          <w:b/>
        </w:rPr>
        <w:t>společnost</w:t>
      </w:r>
      <w:r>
        <w:t>“) na straně jedné</w:t>
      </w:r>
    </w:p>
    <w:p w:rsidR="002969CB" w:rsidRDefault="002969CB">
      <w:pPr>
        <w:pStyle w:val="Zkladntext"/>
        <w:spacing w:before="6"/>
      </w:pPr>
    </w:p>
    <w:p w:rsidR="002969CB" w:rsidRDefault="00341E58">
      <w:pPr>
        <w:pStyle w:val="Zkladntext"/>
        <w:spacing w:before="1"/>
        <w:ind w:left="643"/>
      </w:pPr>
      <w:r>
        <w:t>a</w:t>
      </w:r>
    </w:p>
    <w:p w:rsidR="002969CB" w:rsidRDefault="002969CB">
      <w:pPr>
        <w:pStyle w:val="Zkladntext"/>
        <w:spacing w:before="1"/>
      </w:pPr>
    </w:p>
    <w:p w:rsidR="002969CB" w:rsidRDefault="00341E58">
      <w:pPr>
        <w:pStyle w:val="Odstavecseseznamem"/>
        <w:numPr>
          <w:ilvl w:val="0"/>
          <w:numId w:val="8"/>
        </w:numPr>
        <w:tabs>
          <w:tab w:val="left" w:pos="1070"/>
          <w:tab w:val="left" w:pos="1071"/>
        </w:tabs>
        <w:spacing w:line="263" w:lineRule="exact"/>
        <w:rPr>
          <w:b/>
        </w:rPr>
      </w:pPr>
      <w:r>
        <w:rPr>
          <w:i/>
        </w:rPr>
        <w:t xml:space="preserve">(obec) </w:t>
      </w:r>
      <w:r>
        <w:rPr>
          <w:b/>
        </w:rPr>
        <w:t>Město</w:t>
      </w:r>
      <w:r>
        <w:rPr>
          <w:b/>
          <w:spacing w:val="-30"/>
        </w:rPr>
        <w:t xml:space="preserve"> </w:t>
      </w:r>
      <w:r>
        <w:rPr>
          <w:b/>
        </w:rPr>
        <w:t>Svitavy</w:t>
      </w:r>
    </w:p>
    <w:p w:rsidR="002969CB" w:rsidRDefault="00341E58">
      <w:pPr>
        <w:pStyle w:val="Zkladntext"/>
        <w:spacing w:line="246" w:lineRule="exact"/>
        <w:ind w:left="1076"/>
      </w:pPr>
      <w:r>
        <w:t>IČO: 00277444</w:t>
      </w:r>
    </w:p>
    <w:p w:rsidR="002969CB" w:rsidRDefault="00341E58">
      <w:pPr>
        <w:pStyle w:val="Zkladntext"/>
        <w:ind w:left="1076"/>
      </w:pPr>
      <w:r>
        <w:t>DIČ: CZ00277444</w:t>
      </w:r>
    </w:p>
    <w:p w:rsidR="002969CB" w:rsidRDefault="00341E58">
      <w:pPr>
        <w:pStyle w:val="Zkladntext"/>
        <w:spacing w:before="1"/>
        <w:ind w:left="1076"/>
      </w:pPr>
      <w:r>
        <w:t xml:space="preserve">se sídlem </w:t>
      </w:r>
      <w:proofErr w:type="spellStart"/>
      <w:proofErr w:type="gramStart"/>
      <w:r>
        <w:t>T.G.Masaryka</w:t>
      </w:r>
      <w:proofErr w:type="spellEnd"/>
      <w:proofErr w:type="gramEnd"/>
      <w:r>
        <w:t xml:space="preserve"> 35, 568 02 Svitavy</w:t>
      </w:r>
    </w:p>
    <w:p w:rsidR="002969CB" w:rsidRDefault="00341E58">
      <w:pPr>
        <w:pStyle w:val="Zkladntext"/>
        <w:spacing w:line="252" w:lineRule="exact"/>
        <w:ind w:left="1076"/>
      </w:pPr>
      <w:r>
        <w:t>kterou zastupuje Mgr. David Šimek, starosta</w:t>
      </w:r>
    </w:p>
    <w:p w:rsidR="002969CB" w:rsidRDefault="001744BC">
      <w:pPr>
        <w:pStyle w:val="Zkladntext"/>
        <w:tabs>
          <w:tab w:val="left" w:pos="3821"/>
        </w:tabs>
        <w:spacing w:line="252" w:lineRule="exact"/>
        <w:ind w:left="1076"/>
      </w:pPr>
      <w:r>
        <w:t xml:space="preserve">č. účtu: </w:t>
      </w:r>
      <w:proofErr w:type="spellStart"/>
      <w:r>
        <w:t>xxxxxxxxxxx</w:t>
      </w:r>
      <w:proofErr w:type="spellEnd"/>
      <w:r w:rsidR="00341E58">
        <w:t>, bankovní spojení: Komerční banka, a.s.</w:t>
      </w:r>
    </w:p>
    <w:p w:rsidR="002969CB" w:rsidRDefault="00341E58">
      <w:pPr>
        <w:pStyle w:val="Zkladntext"/>
        <w:spacing w:before="3"/>
        <w:ind w:left="1076"/>
      </w:pPr>
      <w:r>
        <w:t>identifikátor datové schránky: 6jrbphg</w:t>
      </w:r>
    </w:p>
    <w:p w:rsidR="002969CB" w:rsidRDefault="00341E58">
      <w:pPr>
        <w:pStyle w:val="Zkladntext"/>
        <w:spacing w:line="252" w:lineRule="exact"/>
        <w:ind w:left="1076"/>
      </w:pPr>
      <w:r>
        <w:t xml:space="preserve">adresa elektronické pošty: </w:t>
      </w:r>
    </w:p>
    <w:p w:rsidR="002969CB" w:rsidRDefault="00341E58">
      <w:pPr>
        <w:pStyle w:val="Zkladntext"/>
        <w:spacing w:line="252" w:lineRule="exact"/>
        <w:ind w:left="1076"/>
      </w:pPr>
      <w:r>
        <w:t>(„</w:t>
      </w:r>
      <w:r>
        <w:rPr>
          <w:b/>
        </w:rPr>
        <w:t>obec</w:t>
      </w:r>
      <w:r>
        <w:t>“) na straně druhé</w:t>
      </w:r>
    </w:p>
    <w:p w:rsidR="002969CB" w:rsidRDefault="00341E58">
      <w:pPr>
        <w:ind w:left="1076"/>
      </w:pPr>
      <w:r>
        <w:t>(společnost a obec společně „</w:t>
      </w:r>
      <w:r>
        <w:rPr>
          <w:b/>
        </w:rPr>
        <w:t>smluvní strany</w:t>
      </w:r>
      <w:r>
        <w:t>“ nebo každá jednotlivě „</w:t>
      </w:r>
      <w:r>
        <w:rPr>
          <w:b/>
        </w:rPr>
        <w:t>smluvní strana</w:t>
      </w:r>
      <w:r>
        <w:t>“)</w:t>
      </w:r>
    </w:p>
    <w:p w:rsidR="002969CB" w:rsidRDefault="002969CB">
      <w:pPr>
        <w:pStyle w:val="Zkladntext"/>
      </w:pPr>
    </w:p>
    <w:p w:rsidR="002969CB" w:rsidRDefault="00341E58">
      <w:pPr>
        <w:pStyle w:val="Zkladntext"/>
        <w:spacing w:before="1"/>
        <w:ind w:left="643" w:right="223"/>
        <w:jc w:val="both"/>
      </w:pPr>
      <w:r>
        <w:t>uzavírají níže uvedeného dne, měsíce a roku na základě úplného konsensu o všech níže uvedených skutečnostech v souladu s § 1746 odst. 2 zákona č. 89/2012 Sb., občanský zákoník, ve znění pozdějších předpisů, a § 21 odst. 1 písm. d) zákona č. 477/2001 Sb., o obalech a o změně některých zákonů, ve znění pozdějších předpisů („</w:t>
      </w:r>
      <w:r>
        <w:rPr>
          <w:b/>
        </w:rPr>
        <w:t>zákon o obalech</w:t>
      </w:r>
      <w:r>
        <w:t>“), tuto</w:t>
      </w:r>
    </w:p>
    <w:p w:rsidR="002969CB" w:rsidRDefault="002969CB">
      <w:pPr>
        <w:pStyle w:val="Zkladntext"/>
        <w:spacing w:before="10"/>
        <w:rPr>
          <w:sz w:val="23"/>
        </w:rPr>
      </w:pPr>
    </w:p>
    <w:p w:rsidR="002969CB" w:rsidRDefault="00341E58">
      <w:pPr>
        <w:pStyle w:val="Nadpis11"/>
        <w:spacing w:line="240" w:lineRule="auto"/>
        <w:ind w:left="1003" w:right="589"/>
      </w:pPr>
      <w:r>
        <w:t>SMLOUVU</w:t>
      </w:r>
      <w:r>
        <w:rPr>
          <w:spacing w:val="-18"/>
        </w:rPr>
        <w:t xml:space="preserve"> </w:t>
      </w:r>
      <w:r>
        <w:t>O</w:t>
      </w:r>
      <w:r>
        <w:rPr>
          <w:spacing w:val="-17"/>
        </w:rPr>
        <w:t xml:space="preserve"> </w:t>
      </w:r>
      <w:r>
        <w:t>SPOLUPRÁCI</w:t>
      </w:r>
      <w:r>
        <w:rPr>
          <w:spacing w:val="-17"/>
        </w:rPr>
        <w:t xml:space="preserve"> </w:t>
      </w:r>
      <w:r>
        <w:t>PŘI</w:t>
      </w:r>
      <w:r>
        <w:rPr>
          <w:spacing w:val="-17"/>
        </w:rPr>
        <w:t xml:space="preserve"> </w:t>
      </w:r>
      <w:r>
        <w:t>ZAJIŠTĚNÍ</w:t>
      </w:r>
      <w:r>
        <w:rPr>
          <w:spacing w:val="-19"/>
        </w:rPr>
        <w:t xml:space="preserve"> </w:t>
      </w:r>
      <w:r>
        <w:t>ZPĚTNÉHO</w:t>
      </w:r>
      <w:r>
        <w:rPr>
          <w:spacing w:val="-17"/>
        </w:rPr>
        <w:t xml:space="preserve"> </w:t>
      </w:r>
      <w:r>
        <w:t>ODBĚRU</w:t>
      </w:r>
      <w:r>
        <w:rPr>
          <w:spacing w:val="-21"/>
        </w:rPr>
        <w:t xml:space="preserve"> </w:t>
      </w:r>
      <w:r>
        <w:t>A</w:t>
      </w:r>
      <w:r>
        <w:rPr>
          <w:spacing w:val="-18"/>
        </w:rPr>
        <w:t xml:space="preserve"> </w:t>
      </w:r>
      <w:r>
        <w:t xml:space="preserve">ZAŘAZENÍ MÍSTA ZPĚTNÉHO ODBĚRU DO OBECNÍHO SYSTÉMU ODPADOVÉHO </w:t>
      </w:r>
      <w:r>
        <w:rPr>
          <w:spacing w:val="-3"/>
        </w:rPr>
        <w:t>HOSPODÁŘSTVÍ</w:t>
      </w:r>
    </w:p>
    <w:p w:rsidR="002969CB" w:rsidRDefault="00341E58">
      <w:pPr>
        <w:spacing w:before="1"/>
        <w:ind w:left="2189" w:right="1779"/>
        <w:jc w:val="center"/>
        <w:rPr>
          <w:sz w:val="24"/>
        </w:rPr>
      </w:pPr>
      <w:r>
        <w:rPr>
          <w:sz w:val="24"/>
        </w:rPr>
        <w:t>(„</w:t>
      </w:r>
      <w:r>
        <w:rPr>
          <w:b/>
          <w:sz w:val="24"/>
        </w:rPr>
        <w:t>smlouva</w:t>
      </w:r>
      <w:r>
        <w:rPr>
          <w:sz w:val="24"/>
        </w:rPr>
        <w:t>“).</w:t>
      </w:r>
    </w:p>
    <w:p w:rsidR="002969CB" w:rsidRDefault="002969CB">
      <w:pPr>
        <w:pStyle w:val="Zkladntext"/>
        <w:spacing w:before="4"/>
        <w:rPr>
          <w:sz w:val="23"/>
        </w:rPr>
      </w:pPr>
    </w:p>
    <w:p w:rsidR="002969CB" w:rsidRDefault="00341E58">
      <w:pPr>
        <w:pStyle w:val="Nadpis11"/>
        <w:ind w:right="1774"/>
      </w:pPr>
      <w:r>
        <w:t>I.</w:t>
      </w:r>
    </w:p>
    <w:p w:rsidR="002969CB" w:rsidRDefault="00341E58">
      <w:pPr>
        <w:spacing w:line="272" w:lineRule="exact"/>
        <w:ind w:left="2189" w:right="1782"/>
        <w:jc w:val="center"/>
        <w:rPr>
          <w:b/>
          <w:sz w:val="24"/>
        </w:rPr>
      </w:pPr>
      <w:r>
        <w:rPr>
          <w:b/>
          <w:sz w:val="24"/>
        </w:rPr>
        <w:t>Úvodní ustanovení</w:t>
      </w:r>
    </w:p>
    <w:p w:rsidR="002969CB" w:rsidRDefault="002969CB">
      <w:pPr>
        <w:pStyle w:val="Zkladntext"/>
        <w:spacing w:before="1"/>
        <w:rPr>
          <w:b/>
          <w:sz w:val="29"/>
        </w:rPr>
      </w:pPr>
    </w:p>
    <w:p w:rsidR="002969CB" w:rsidRDefault="00341E58">
      <w:pPr>
        <w:pStyle w:val="Odstavecseseznamem"/>
        <w:numPr>
          <w:ilvl w:val="0"/>
          <w:numId w:val="7"/>
        </w:numPr>
        <w:tabs>
          <w:tab w:val="left" w:pos="944"/>
          <w:tab w:val="left" w:pos="945"/>
        </w:tabs>
        <w:spacing w:before="90" w:line="252" w:lineRule="auto"/>
        <w:ind w:right="103"/>
        <w:jc w:val="both"/>
      </w:pPr>
      <w:r>
        <w:t>Společnost je oprávněna zajišťovat sdružené plnění pro prodejní (spotřebitelské), skupinové, přepravní a průmyslové obaly a pro všechny druhy obalů. Toto sdružené plnění zajišťuje ve spolupráci s obcemi a s dalšími osobami oprávněnými nakládat s odpady v rámci jí provozovaného systému, kterého se dále účastní osoby povinné zajišťovat zpětný odběr a využití obalů a odpadu z obalů jakožto smluvní partneři společnosti („</w:t>
      </w:r>
      <w:r>
        <w:rPr>
          <w:b/>
        </w:rPr>
        <w:t>Systém sdruženého plnění</w:t>
      </w:r>
      <w:r>
        <w:rPr>
          <w:b/>
          <w:spacing w:val="-1"/>
        </w:rPr>
        <w:t xml:space="preserve"> </w:t>
      </w:r>
      <w:r>
        <w:rPr>
          <w:b/>
        </w:rPr>
        <w:t>EKO-KOM</w:t>
      </w:r>
      <w:r>
        <w:t>“).</w:t>
      </w:r>
    </w:p>
    <w:p w:rsidR="002969CB" w:rsidRDefault="002969CB">
      <w:pPr>
        <w:spacing w:line="252" w:lineRule="auto"/>
        <w:jc w:val="both"/>
        <w:sectPr w:rsidR="002969CB">
          <w:footerReference w:type="default" r:id="rId7"/>
          <w:type w:val="continuous"/>
          <w:pgSz w:w="11920" w:h="16850"/>
          <w:pgMar w:top="740" w:right="840" w:bottom="1040" w:left="660" w:header="708" w:footer="852" w:gutter="0"/>
          <w:pgNumType w:start="1"/>
          <w:cols w:space="708"/>
        </w:sectPr>
      </w:pPr>
    </w:p>
    <w:p w:rsidR="002969CB" w:rsidRDefault="00341E58">
      <w:pPr>
        <w:pStyle w:val="Odstavecseseznamem"/>
        <w:numPr>
          <w:ilvl w:val="0"/>
          <w:numId w:val="7"/>
        </w:numPr>
        <w:tabs>
          <w:tab w:val="left" w:pos="1382"/>
        </w:tabs>
        <w:spacing w:before="83"/>
        <w:ind w:left="1381" w:right="195" w:hanging="693"/>
        <w:jc w:val="both"/>
      </w:pPr>
      <w:r>
        <w:lastRenderedPageBreak/>
        <w:t>Obec je původcem komunálního odpadu podle § 5 odst. 1 písm. c) zákona č. 541/2020 Sb., o odpadech, ve znění pozdějších předpisů („zákon o odpadech“), a zajišťuje provoz obecního systému odpadového hospodářství („Obecní systém“). Při provozování Obecního systému je sbírán a tříděn odpad včetně obalové složky, který je dále předáván k recyklaci, popřípadě k jinému využití. V rámci Obecního systému se nakládá i s odpadem z obalů, včetně odpadu z obalů vznikajícího z obalů uváděných na trh či do oběhu osobami, jež jsou smluvními partnery společnosti.</w:t>
      </w:r>
    </w:p>
    <w:p w:rsidR="002969CB" w:rsidRDefault="002969CB">
      <w:pPr>
        <w:pStyle w:val="Zkladntext"/>
        <w:spacing w:before="5"/>
        <w:rPr>
          <w:sz w:val="20"/>
        </w:rPr>
      </w:pPr>
    </w:p>
    <w:p w:rsidR="002969CB" w:rsidRDefault="00341E58">
      <w:pPr>
        <w:pStyle w:val="Odstavecseseznamem"/>
        <w:numPr>
          <w:ilvl w:val="0"/>
          <w:numId w:val="7"/>
        </w:numPr>
        <w:tabs>
          <w:tab w:val="left" w:pos="1382"/>
        </w:tabs>
        <w:ind w:left="1381" w:right="195" w:hanging="693"/>
        <w:jc w:val="both"/>
      </w:pPr>
      <w:r>
        <w:t>Společnost a obec uzavírají tuto smlouvu s cílem zajistit plnění povinností zpětného odběru a využití odpadů z obalů, které společnost zajišťuje pro své smluvní partnery, prostřednictvím činnosti obce a Obecního systému, jakožto služby poskytované obcí společnosti, a s cílem zajistit co nejvyšší využití odpadů z obalů především jako druhotné suroviny, a to v souladu s platnou právní úpravou.</w:t>
      </w:r>
    </w:p>
    <w:p w:rsidR="002969CB" w:rsidRDefault="002969CB">
      <w:pPr>
        <w:pStyle w:val="Zkladntext"/>
        <w:spacing w:before="3"/>
        <w:rPr>
          <w:sz w:val="21"/>
        </w:rPr>
      </w:pPr>
    </w:p>
    <w:p w:rsidR="002969CB" w:rsidRDefault="00341E58">
      <w:pPr>
        <w:pStyle w:val="Odstavecseseznamem"/>
        <w:numPr>
          <w:ilvl w:val="0"/>
          <w:numId w:val="7"/>
        </w:numPr>
        <w:tabs>
          <w:tab w:val="left" w:pos="1382"/>
        </w:tabs>
        <w:ind w:left="1381" w:right="195" w:hanging="693"/>
        <w:jc w:val="both"/>
      </w:pPr>
      <w:r>
        <w:t xml:space="preserve">Není-li stanoveno jinak, uplatní se pro smlouvu definice uvedené v čl. II. odst. 1 Všeobecných obchodních podmínek společnosti EKO-KOM, a.s., upravujících spolupráci s obcí při zajištění zpětného odběru, které jsou ke dni uzavření smlouvy v aktuálním znění pro obec k dispozici na internetové stránce společnosti dostupné na odkazu: </w:t>
      </w:r>
      <w:hyperlink r:id="rId8">
        <w:r>
          <w:t>www.ekokom.cz</w:t>
        </w:r>
      </w:hyperlink>
      <w:r>
        <w:t xml:space="preserve"> („VOP“). Aktuální znění VOP tvoří přílohu č. 1</w:t>
      </w:r>
      <w:r>
        <w:rPr>
          <w:spacing w:val="-1"/>
        </w:rPr>
        <w:t xml:space="preserve"> </w:t>
      </w:r>
      <w:r>
        <w:t>smlouvy.</w:t>
      </w:r>
    </w:p>
    <w:p w:rsidR="002969CB" w:rsidRDefault="002969CB">
      <w:pPr>
        <w:pStyle w:val="Zkladntext"/>
        <w:rPr>
          <w:sz w:val="24"/>
        </w:rPr>
      </w:pPr>
    </w:p>
    <w:p w:rsidR="002969CB" w:rsidRDefault="00341E58">
      <w:pPr>
        <w:pStyle w:val="Nadpis11"/>
        <w:spacing w:before="156" w:line="240" w:lineRule="auto"/>
        <w:ind w:right="1834"/>
      </w:pPr>
      <w:r>
        <w:t>II.</w:t>
      </w:r>
    </w:p>
    <w:p w:rsidR="002969CB" w:rsidRDefault="00341E58">
      <w:pPr>
        <w:spacing w:before="2"/>
        <w:ind w:left="2180" w:right="1835"/>
        <w:jc w:val="center"/>
        <w:rPr>
          <w:b/>
          <w:sz w:val="24"/>
        </w:rPr>
      </w:pPr>
      <w:r>
        <w:rPr>
          <w:b/>
          <w:sz w:val="24"/>
        </w:rPr>
        <w:t>Předmět smlouvy</w:t>
      </w:r>
    </w:p>
    <w:p w:rsidR="002969CB" w:rsidRDefault="00341E58" w:rsidP="00466E1A">
      <w:pPr>
        <w:pStyle w:val="Odstavecseseznamem"/>
        <w:numPr>
          <w:ilvl w:val="0"/>
          <w:numId w:val="6"/>
        </w:numPr>
        <w:tabs>
          <w:tab w:val="left" w:pos="1369"/>
          <w:tab w:val="left" w:pos="1370"/>
        </w:tabs>
        <w:spacing w:before="154"/>
        <w:ind w:right="111"/>
        <w:jc w:val="both"/>
      </w:pPr>
      <w:r>
        <w:t xml:space="preserve">Obec se zavazuje v rámci provozování Obecního systému zajišťovat zpětný odběr odpadu z obalů, tj. odebírat použité obaly od nepodnikajících fyzických osob a podnikajících fyzických osob zapojených smluvně do Obecního systému za účelem využití nebo odstranění odpadu z obalů, a zajišťovat předání k recyklaci odpadu z obalů nebo k jeho dalšímu využití v souladu se zákonem </w:t>
      </w:r>
      <w:r w:rsidR="00466E1A">
        <w:t xml:space="preserve">o </w:t>
      </w:r>
      <w:r>
        <w:t>obalech a zákonem o odpadech, a vést o tomto evidenci a poskytovat údaje z ní společnosti v souladu se smlouvou.</w:t>
      </w:r>
    </w:p>
    <w:p w:rsidR="002969CB" w:rsidRDefault="00341E58">
      <w:pPr>
        <w:pStyle w:val="Odstavecseseznamem"/>
        <w:numPr>
          <w:ilvl w:val="0"/>
          <w:numId w:val="6"/>
        </w:numPr>
        <w:tabs>
          <w:tab w:val="left" w:pos="1369"/>
          <w:tab w:val="left" w:pos="1370"/>
        </w:tabs>
        <w:spacing w:before="150"/>
        <w:ind w:hanging="682"/>
      </w:pPr>
      <w:r>
        <w:t>Společnost se zavazuje hradit obci odměnu v souladu se</w:t>
      </w:r>
      <w:r>
        <w:rPr>
          <w:spacing w:val="-9"/>
        </w:rPr>
        <w:t xml:space="preserve"> </w:t>
      </w:r>
      <w:r>
        <w:t>smlouvou.</w:t>
      </w:r>
    </w:p>
    <w:p w:rsidR="002969CB" w:rsidRDefault="00341E58">
      <w:pPr>
        <w:pStyle w:val="Odstavecseseznamem"/>
        <w:numPr>
          <w:ilvl w:val="0"/>
          <w:numId w:val="6"/>
        </w:numPr>
        <w:tabs>
          <w:tab w:val="left" w:pos="1370"/>
        </w:tabs>
        <w:spacing w:before="152"/>
        <w:ind w:right="112" w:hanging="694"/>
        <w:jc w:val="both"/>
      </w:pPr>
      <w:r>
        <w:t xml:space="preserve">Předmětem smlouvy je i závazek společnosti hradit obci prostřednictvím jedné ze složek odměny podle smlouvy náklady na úklid odpadu z jednorázových plastových obalů specifikovaných zákonem o obalech (§ 10a), kterého </w:t>
      </w:r>
      <w:r>
        <w:rPr>
          <w:spacing w:val="-12"/>
        </w:rPr>
        <w:t xml:space="preserve">se </w:t>
      </w:r>
      <w:r>
        <w:t>osoby zbavují mimo místa určená k jeho odkládání, a na následnou přepravu a zpracování tohoto odpadu.</w:t>
      </w:r>
    </w:p>
    <w:p w:rsidR="002969CB" w:rsidRDefault="002969CB">
      <w:pPr>
        <w:pStyle w:val="Zkladntext"/>
        <w:rPr>
          <w:sz w:val="24"/>
        </w:rPr>
      </w:pPr>
    </w:p>
    <w:p w:rsidR="002969CB" w:rsidRDefault="00341E58">
      <w:pPr>
        <w:pStyle w:val="Nadpis11"/>
        <w:spacing w:before="156"/>
        <w:ind w:left="2188"/>
      </w:pPr>
      <w:r>
        <w:t>III.</w:t>
      </w:r>
    </w:p>
    <w:p w:rsidR="002969CB" w:rsidRDefault="00341E58">
      <w:pPr>
        <w:spacing w:line="272" w:lineRule="exact"/>
        <w:ind w:left="2179" w:right="1835"/>
        <w:jc w:val="center"/>
        <w:rPr>
          <w:b/>
          <w:sz w:val="24"/>
        </w:rPr>
      </w:pPr>
      <w:r>
        <w:rPr>
          <w:b/>
          <w:sz w:val="24"/>
        </w:rPr>
        <w:t>Zpětný odběr a využití odpadu z obalů</w:t>
      </w:r>
    </w:p>
    <w:p w:rsidR="002969CB" w:rsidRDefault="00341E58">
      <w:pPr>
        <w:pStyle w:val="Odstavecseseznamem"/>
        <w:numPr>
          <w:ilvl w:val="0"/>
          <w:numId w:val="5"/>
        </w:numPr>
        <w:tabs>
          <w:tab w:val="left" w:pos="1383"/>
        </w:tabs>
        <w:spacing w:before="164"/>
        <w:ind w:right="98"/>
        <w:jc w:val="both"/>
      </w:pPr>
      <w:r>
        <w:t>Obec je povinna určit místa pro soustřeďování komunálního odpadu, kam mohou nepodnikající fyzické osoby nebo podnikající fyzické osoby zapojené smluvně do Obecního systému odkládat komunální odpad včetně obalové složky, který produkují, a která jsou současně místy zpětného odběru odpadu z obalů, a komunální odpad odděleně shromažďovat, třídit a předávat k dalšímu využití, v souladu se zákonem o odpadech a zákonem o</w:t>
      </w:r>
      <w:r>
        <w:rPr>
          <w:spacing w:val="1"/>
        </w:rPr>
        <w:t xml:space="preserve"> </w:t>
      </w:r>
      <w:r>
        <w:t>obalech.</w:t>
      </w:r>
    </w:p>
    <w:p w:rsidR="002969CB" w:rsidRDefault="00341E58">
      <w:pPr>
        <w:pStyle w:val="Odstavecseseznamem"/>
        <w:numPr>
          <w:ilvl w:val="0"/>
          <w:numId w:val="5"/>
        </w:numPr>
        <w:tabs>
          <w:tab w:val="left" w:pos="1383"/>
        </w:tabs>
        <w:spacing w:before="149"/>
        <w:ind w:right="98" w:hanging="694"/>
        <w:jc w:val="both"/>
      </w:pPr>
      <w:r>
        <w:t>Obec se zavazuje zajistit dostatečnou četnost sběrných míst, jejich dostupnost a dostatečné pokrytí území obce s ohledem na rozmístění sídel na území obce; dostupností se v souladu s § 10 odst. 1 zákona o obalech rozumí přiměřená docházková</w:t>
      </w:r>
      <w:r>
        <w:rPr>
          <w:spacing w:val="1"/>
        </w:rPr>
        <w:t xml:space="preserve"> </w:t>
      </w:r>
      <w:r>
        <w:t>vzdálenost.</w:t>
      </w:r>
    </w:p>
    <w:p w:rsidR="002969CB" w:rsidRDefault="002969CB">
      <w:pPr>
        <w:jc w:val="both"/>
        <w:sectPr w:rsidR="002969CB">
          <w:pgSz w:w="11920" w:h="16850"/>
          <w:pgMar w:top="820" w:right="840" w:bottom="1040" w:left="660" w:header="0" w:footer="852" w:gutter="0"/>
          <w:cols w:space="708"/>
        </w:sectPr>
      </w:pPr>
    </w:p>
    <w:p w:rsidR="002969CB" w:rsidRDefault="00341E58">
      <w:pPr>
        <w:pStyle w:val="Nadpis11"/>
        <w:spacing w:before="77" w:line="274" w:lineRule="exact"/>
        <w:ind w:right="1831"/>
      </w:pPr>
      <w:r>
        <w:lastRenderedPageBreak/>
        <w:t>IV.</w:t>
      </w:r>
    </w:p>
    <w:p w:rsidR="002969CB" w:rsidRDefault="00341E58">
      <w:pPr>
        <w:spacing w:line="274" w:lineRule="exact"/>
        <w:ind w:left="2189" w:right="1835"/>
        <w:jc w:val="center"/>
        <w:rPr>
          <w:b/>
          <w:sz w:val="24"/>
        </w:rPr>
      </w:pPr>
      <w:r>
        <w:rPr>
          <w:b/>
          <w:sz w:val="24"/>
        </w:rPr>
        <w:t>Vedení evidence, vykazování a dotazník</w:t>
      </w:r>
    </w:p>
    <w:p w:rsidR="002969CB" w:rsidRDefault="00341E58">
      <w:pPr>
        <w:pStyle w:val="Odstavecseseznamem"/>
        <w:numPr>
          <w:ilvl w:val="0"/>
          <w:numId w:val="4"/>
        </w:numPr>
        <w:tabs>
          <w:tab w:val="left" w:pos="1352"/>
        </w:tabs>
        <w:spacing w:before="161"/>
        <w:ind w:right="285"/>
        <w:jc w:val="both"/>
      </w:pPr>
      <w:r>
        <w:t>Obec je povinna zajistit vedení průběžné evidence o celkovém množství a druzích komunálního odpadu, který byl v rámci Obecního systému vytříděn, předán k recyklaci (popř. k jinému využití) a odstraněn, a o způsobu nakládání s komunálním odpadem, a to v rozsahu stanoveném právními předpisy (včetně všech prováděcích vyhlášek) a smlouvou a v souladu s nimi. Tato evidence musí být pravdivá a</w:t>
      </w:r>
      <w:r>
        <w:rPr>
          <w:spacing w:val="-1"/>
        </w:rPr>
        <w:t xml:space="preserve"> </w:t>
      </w:r>
      <w:r>
        <w:t>úplná.</w:t>
      </w:r>
    </w:p>
    <w:p w:rsidR="002969CB" w:rsidRDefault="00341E58">
      <w:pPr>
        <w:pStyle w:val="Odstavecseseznamem"/>
        <w:numPr>
          <w:ilvl w:val="0"/>
          <w:numId w:val="4"/>
        </w:numPr>
        <w:tabs>
          <w:tab w:val="left" w:pos="1352"/>
        </w:tabs>
        <w:spacing w:before="160"/>
        <w:ind w:right="289"/>
        <w:jc w:val="both"/>
      </w:pPr>
      <w:r>
        <w:t xml:space="preserve">V případě recyklace je evidence v souladu s právními předpisy vedena až po využití nebo </w:t>
      </w:r>
      <w:r>
        <w:rPr>
          <w:spacing w:val="-3"/>
        </w:rPr>
        <w:t xml:space="preserve">po </w:t>
      </w:r>
      <w:r>
        <w:t xml:space="preserve">výstup z třídícího zařízení, pokud je tento výstup dodáván do procesu využití bez významných ztrát (resp. po přechod druhotné suroviny vzniklé z odpadu dotříděním nebo jinou úpravou </w:t>
      </w:r>
      <w:r>
        <w:rPr>
          <w:spacing w:val="-3"/>
        </w:rPr>
        <w:t xml:space="preserve">na </w:t>
      </w:r>
      <w:r>
        <w:t>standardizovanou kvalitu do režimu volného obchodu). V případě energetického využití a využití biologickými procesy je vedena evidence až po zařízení, kde došlo k využití odpadu procesem energetického využití nebo využití biologickými</w:t>
      </w:r>
      <w:r>
        <w:rPr>
          <w:spacing w:val="-4"/>
        </w:rPr>
        <w:t xml:space="preserve"> </w:t>
      </w:r>
      <w:r>
        <w:t>procesy.</w:t>
      </w:r>
    </w:p>
    <w:p w:rsidR="002969CB" w:rsidRDefault="00341E58">
      <w:pPr>
        <w:pStyle w:val="Odstavecseseznamem"/>
        <w:numPr>
          <w:ilvl w:val="0"/>
          <w:numId w:val="4"/>
        </w:numPr>
        <w:tabs>
          <w:tab w:val="left" w:pos="1352"/>
        </w:tabs>
        <w:spacing w:before="161"/>
        <w:ind w:right="284"/>
        <w:jc w:val="both"/>
      </w:pPr>
      <w:r>
        <w:t>Obec se zavazuje poskytovat společnosti správné a úplné informace o celkovém množství odpadu, s nímž nakládala v příslušném Období, a o dodávkách odpadu jednotlivým odběratelům (oprávněným osobám podle zákona o odpadech) a další informace o Obecním systému (mimo jiné i o způsobu tříděného sběru v obci), vše za podmínek a v rozsahu</w:t>
      </w:r>
      <w:r>
        <w:rPr>
          <w:spacing w:val="-10"/>
        </w:rPr>
        <w:t xml:space="preserve"> </w:t>
      </w:r>
      <w:r>
        <w:t>VOP.</w:t>
      </w:r>
    </w:p>
    <w:p w:rsidR="002969CB" w:rsidRDefault="00341E58">
      <w:pPr>
        <w:pStyle w:val="Odstavecseseznamem"/>
        <w:numPr>
          <w:ilvl w:val="0"/>
          <w:numId w:val="4"/>
        </w:numPr>
        <w:tabs>
          <w:tab w:val="left" w:pos="1352"/>
        </w:tabs>
        <w:spacing w:before="159"/>
        <w:ind w:right="284"/>
        <w:jc w:val="both"/>
      </w:pPr>
      <w:r>
        <w:t xml:space="preserve">Obec je dále povinna poskytovat společnosti </w:t>
      </w:r>
      <w:proofErr w:type="spellStart"/>
      <w:r>
        <w:t>technicko-ekonomické</w:t>
      </w:r>
      <w:proofErr w:type="spellEnd"/>
      <w:r>
        <w:t xml:space="preserve"> informace týkající se sběru, soustřeďování, třídění, využívání a odstraňování komunálního odpadu, a to formou dotazníku, jehož aktuální podoba tvoří přílohu č. 3 smlouvy. Společnost zašle obci každoročně aktualizovaný formulář tohoto dotazníku, vždy nejpozději do konce příslušného kalendářního roku, a obec se zavazuje tento dotazník řádně, úplně a pravdivě vyplnit a předat ho společnosti nejpozději do 28. února, nejsou-li statutárním městem dle § 4 odst. 1 zákona o obcích, nebo nejpozději do 31. března, jsou-li statutárním městem dle § 4 odst. 1 zákona o obcích, vždy kalendářního roku následujícího po roce, za který se dotazník vyplňuje. Dotazník se poprvé vyplňuje a předává za kalendářní rok, v němž byla uzavřena smlouva, a to až po uplynutí tohoto kalendářního</w:t>
      </w:r>
      <w:r>
        <w:rPr>
          <w:spacing w:val="-13"/>
        </w:rPr>
        <w:t xml:space="preserve"> </w:t>
      </w:r>
      <w:r>
        <w:t>roku.</w:t>
      </w:r>
    </w:p>
    <w:p w:rsidR="002969CB" w:rsidRDefault="00341E58">
      <w:pPr>
        <w:pStyle w:val="Odstavecseseznamem"/>
        <w:numPr>
          <w:ilvl w:val="0"/>
          <w:numId w:val="4"/>
        </w:numPr>
        <w:tabs>
          <w:tab w:val="left" w:pos="1352"/>
        </w:tabs>
        <w:spacing w:before="162"/>
        <w:ind w:right="281"/>
        <w:jc w:val="both"/>
      </w:pPr>
      <w:r>
        <w:t xml:space="preserve">Podrobné podmínky vedení evidence, vykazování a předkládání dotazníku dle tohoto </w:t>
      </w:r>
      <w:r>
        <w:rPr>
          <w:spacing w:val="-3"/>
        </w:rPr>
        <w:t xml:space="preserve">článku </w:t>
      </w:r>
      <w:r>
        <w:t>smlouvy</w:t>
      </w:r>
      <w:r>
        <w:rPr>
          <w:spacing w:val="-3"/>
        </w:rPr>
        <w:t xml:space="preserve"> </w:t>
      </w:r>
      <w:r>
        <w:t>a</w:t>
      </w:r>
      <w:r>
        <w:rPr>
          <w:spacing w:val="-3"/>
        </w:rPr>
        <w:t xml:space="preserve"> </w:t>
      </w:r>
      <w:r>
        <w:t>plnění</w:t>
      </w:r>
      <w:r>
        <w:rPr>
          <w:spacing w:val="-1"/>
        </w:rPr>
        <w:t xml:space="preserve"> </w:t>
      </w:r>
      <w:r>
        <w:t>s</w:t>
      </w:r>
      <w:r>
        <w:rPr>
          <w:spacing w:val="-3"/>
        </w:rPr>
        <w:t xml:space="preserve"> </w:t>
      </w:r>
      <w:r>
        <w:t>tím</w:t>
      </w:r>
      <w:r>
        <w:rPr>
          <w:spacing w:val="-7"/>
        </w:rPr>
        <w:t xml:space="preserve"> </w:t>
      </w:r>
      <w:r>
        <w:t>souvisejících</w:t>
      </w:r>
      <w:r>
        <w:rPr>
          <w:spacing w:val="-2"/>
        </w:rPr>
        <w:t xml:space="preserve"> </w:t>
      </w:r>
      <w:r>
        <w:t>povinností obce</w:t>
      </w:r>
      <w:r>
        <w:rPr>
          <w:spacing w:val="-3"/>
        </w:rPr>
        <w:t xml:space="preserve"> </w:t>
      </w:r>
      <w:r>
        <w:t>je pak</w:t>
      </w:r>
      <w:r>
        <w:rPr>
          <w:spacing w:val="-6"/>
        </w:rPr>
        <w:t xml:space="preserve"> </w:t>
      </w:r>
      <w:r>
        <w:t>upraveno</w:t>
      </w:r>
      <w:r>
        <w:rPr>
          <w:spacing w:val="-2"/>
        </w:rPr>
        <w:t xml:space="preserve"> </w:t>
      </w:r>
      <w:r>
        <w:t>v</w:t>
      </w:r>
      <w:r>
        <w:rPr>
          <w:spacing w:val="-1"/>
        </w:rPr>
        <w:t xml:space="preserve"> </w:t>
      </w:r>
      <w:r>
        <w:t>čl.</w:t>
      </w:r>
      <w:r>
        <w:rPr>
          <w:spacing w:val="-6"/>
        </w:rPr>
        <w:t xml:space="preserve"> </w:t>
      </w:r>
      <w:r>
        <w:t>VI. a</w:t>
      </w:r>
      <w:r>
        <w:rPr>
          <w:spacing w:val="-3"/>
        </w:rPr>
        <w:t xml:space="preserve"> </w:t>
      </w:r>
      <w:r>
        <w:t>čl.</w:t>
      </w:r>
      <w:r>
        <w:rPr>
          <w:spacing w:val="-1"/>
        </w:rPr>
        <w:t xml:space="preserve"> </w:t>
      </w:r>
      <w:r>
        <w:t xml:space="preserve">VII. </w:t>
      </w:r>
      <w:r>
        <w:rPr>
          <w:spacing w:val="-5"/>
        </w:rPr>
        <w:t>VOP.</w:t>
      </w:r>
    </w:p>
    <w:p w:rsidR="002969CB" w:rsidRDefault="002969CB">
      <w:pPr>
        <w:pStyle w:val="Zkladntext"/>
        <w:rPr>
          <w:sz w:val="24"/>
        </w:rPr>
      </w:pPr>
    </w:p>
    <w:p w:rsidR="002969CB" w:rsidRDefault="00341E58">
      <w:pPr>
        <w:pStyle w:val="Nadpis11"/>
        <w:spacing w:before="164"/>
        <w:ind w:left="2185"/>
      </w:pPr>
      <w:r>
        <w:t>V.</w:t>
      </w:r>
    </w:p>
    <w:p w:rsidR="002969CB" w:rsidRDefault="00341E58">
      <w:pPr>
        <w:spacing w:line="272" w:lineRule="exact"/>
        <w:ind w:left="2185" w:right="1835"/>
        <w:jc w:val="center"/>
        <w:rPr>
          <w:b/>
          <w:sz w:val="24"/>
        </w:rPr>
      </w:pPr>
      <w:r>
        <w:rPr>
          <w:b/>
          <w:sz w:val="24"/>
        </w:rPr>
        <w:t>Odměna</w:t>
      </w:r>
    </w:p>
    <w:p w:rsidR="002969CB" w:rsidRDefault="00341E58">
      <w:pPr>
        <w:pStyle w:val="Odstavecseseznamem"/>
        <w:numPr>
          <w:ilvl w:val="0"/>
          <w:numId w:val="3"/>
        </w:numPr>
        <w:tabs>
          <w:tab w:val="left" w:pos="1364"/>
        </w:tabs>
        <w:spacing w:before="167" w:line="232" w:lineRule="auto"/>
        <w:ind w:right="288"/>
        <w:jc w:val="both"/>
      </w:pPr>
      <w:r>
        <w:t>Společnost se zavazuje zaplatit obci za plnění poskytovaná podle smlouvy odměnu sestávající se z jednotlivých složek stanovených v ceníku, který tvoří přílohu č. 4 smlouvy, a to ve výši určené dle pravidel a podmínek uvedených ve</w:t>
      </w:r>
      <w:r>
        <w:rPr>
          <w:spacing w:val="-2"/>
        </w:rPr>
        <w:t xml:space="preserve"> </w:t>
      </w:r>
      <w:r>
        <w:t>VOP.</w:t>
      </w:r>
    </w:p>
    <w:p w:rsidR="002969CB" w:rsidRDefault="00341E58">
      <w:pPr>
        <w:pStyle w:val="Odstavecseseznamem"/>
        <w:numPr>
          <w:ilvl w:val="0"/>
          <w:numId w:val="3"/>
        </w:numPr>
        <w:tabs>
          <w:tab w:val="left" w:pos="1364"/>
        </w:tabs>
        <w:spacing w:before="167" w:line="235" w:lineRule="auto"/>
        <w:ind w:right="282"/>
        <w:jc w:val="both"/>
      </w:pPr>
      <w:r>
        <w:t>Odměna podle odstavce 1 může být navýšena o bonusovou složku, pokud obec splní podmínky pro vznik nároku na bonusovou složku odměny. Zvýšení odměny prostřednictvím bonusů, výše těchto bonusů a způsob výpočtu navýšení odměny jsou stanoveny v ceníku, který tvoří přílohu č. 4 smlouvy. V případě pochybností se má za to, že bonus se vztahuje jen na tu složku odměny, u níž je to výslovně</w:t>
      </w:r>
      <w:r>
        <w:rPr>
          <w:spacing w:val="-1"/>
        </w:rPr>
        <w:t xml:space="preserve"> </w:t>
      </w:r>
      <w:r>
        <w:t>uvedeno.</w:t>
      </w:r>
    </w:p>
    <w:p w:rsidR="002969CB" w:rsidRDefault="002969CB">
      <w:pPr>
        <w:pStyle w:val="Zkladntext"/>
        <w:spacing w:before="8"/>
        <w:rPr>
          <w:sz w:val="31"/>
        </w:rPr>
      </w:pPr>
    </w:p>
    <w:p w:rsidR="002969CB" w:rsidRDefault="00341E58">
      <w:pPr>
        <w:pStyle w:val="Nadpis11"/>
        <w:spacing w:line="240" w:lineRule="auto"/>
        <w:ind w:right="1831"/>
      </w:pPr>
      <w:r>
        <w:t>VI.</w:t>
      </w:r>
    </w:p>
    <w:p w:rsidR="002969CB" w:rsidRDefault="00341E58">
      <w:pPr>
        <w:ind w:left="2185" w:right="1835"/>
        <w:jc w:val="center"/>
        <w:rPr>
          <w:b/>
          <w:sz w:val="24"/>
        </w:rPr>
      </w:pPr>
      <w:r>
        <w:rPr>
          <w:b/>
          <w:sz w:val="24"/>
        </w:rPr>
        <w:t>Všeobecné obchodní podmínky</w:t>
      </w:r>
    </w:p>
    <w:p w:rsidR="002969CB" w:rsidRDefault="00341E58">
      <w:pPr>
        <w:pStyle w:val="Zkladntext"/>
        <w:spacing w:before="168" w:line="232" w:lineRule="auto"/>
        <w:ind w:left="1363" w:right="281" w:hanging="720"/>
        <w:jc w:val="both"/>
      </w:pPr>
      <w:r>
        <w:rPr>
          <w:rFonts w:ascii="Garamond" w:hAnsi="Garamond"/>
          <w:sz w:val="24"/>
        </w:rPr>
        <w:t xml:space="preserve">1. </w:t>
      </w:r>
      <w:r w:rsidR="00466E1A">
        <w:rPr>
          <w:rFonts w:ascii="Garamond" w:hAnsi="Garamond"/>
          <w:sz w:val="24"/>
        </w:rPr>
        <w:tab/>
      </w:r>
      <w:r>
        <w:t>Práva a povinnosti smluvních stran jsou podrobně upraveny VOP. Obec prohlašuje, že se seznámila se všemi ustanoveními této smlouvy, včetně VOP, včetně příloh smlouvy, a všechna tato ustanovení byla</w:t>
      </w:r>
      <w:r w:rsidR="00466E1A">
        <w:t xml:space="preserve"> </w:t>
      </w:r>
      <w:r>
        <w:t xml:space="preserve">dobře čitelná a srozumitelná, </w:t>
      </w:r>
      <w:r>
        <w:rPr>
          <w:spacing w:val="5"/>
        </w:rPr>
        <w:t>a</w:t>
      </w:r>
      <w:r w:rsidR="00466E1A">
        <w:rPr>
          <w:spacing w:val="5"/>
        </w:rPr>
        <w:t xml:space="preserve"> </w:t>
      </w:r>
      <w:r>
        <w:rPr>
          <w:spacing w:val="5"/>
        </w:rPr>
        <w:t xml:space="preserve">že </w:t>
      </w:r>
      <w:r>
        <w:t>před uzavřením smlouvy využila</w:t>
      </w:r>
      <w:r>
        <w:rPr>
          <w:spacing w:val="45"/>
        </w:rPr>
        <w:t xml:space="preserve"> </w:t>
      </w:r>
      <w:r>
        <w:t>možnosti</w:t>
      </w:r>
    </w:p>
    <w:p w:rsidR="002969CB" w:rsidRDefault="002969CB">
      <w:pPr>
        <w:spacing w:line="232" w:lineRule="auto"/>
        <w:jc w:val="both"/>
        <w:sectPr w:rsidR="002969CB">
          <w:pgSz w:w="11920" w:h="16850"/>
          <w:pgMar w:top="1200" w:right="840" w:bottom="1040" w:left="660" w:header="0" w:footer="852" w:gutter="0"/>
          <w:cols w:space="708"/>
        </w:sectPr>
      </w:pPr>
    </w:p>
    <w:p w:rsidR="002969CB" w:rsidRDefault="00341E58">
      <w:pPr>
        <w:pStyle w:val="Zkladntext"/>
        <w:spacing w:before="64"/>
        <w:ind w:left="1363" w:right="290"/>
        <w:jc w:val="both"/>
      </w:pPr>
      <w:r>
        <w:lastRenderedPageBreak/>
        <w:t>dodatečného vysvětlení ustanovení návrhu smlouvy ze strany společnosti. Obec neshledala, že by některé ustanovení bylo pro obec zvláště nevýhodné, hrubě odporovalo obchodním zvyklostem nebo zásadě poctivého obchodního styku.</w:t>
      </w:r>
    </w:p>
    <w:p w:rsidR="002969CB" w:rsidRDefault="002969CB">
      <w:pPr>
        <w:pStyle w:val="Zkladntext"/>
        <w:rPr>
          <w:sz w:val="20"/>
        </w:rPr>
      </w:pPr>
    </w:p>
    <w:p w:rsidR="002969CB" w:rsidRDefault="002969CB">
      <w:pPr>
        <w:pStyle w:val="Zkladntext"/>
        <w:spacing w:before="7"/>
        <w:rPr>
          <w:sz w:val="25"/>
        </w:rPr>
      </w:pPr>
    </w:p>
    <w:p w:rsidR="002969CB" w:rsidRDefault="00341E58">
      <w:pPr>
        <w:pStyle w:val="Nadpis11"/>
        <w:spacing w:before="90"/>
        <w:ind w:left="2185"/>
      </w:pPr>
      <w:r>
        <w:t>VII.</w:t>
      </w:r>
    </w:p>
    <w:p w:rsidR="002969CB" w:rsidRDefault="00341E58">
      <w:pPr>
        <w:spacing w:line="272" w:lineRule="exact"/>
        <w:ind w:left="2182" w:right="1835"/>
        <w:jc w:val="center"/>
        <w:rPr>
          <w:b/>
          <w:sz w:val="24"/>
        </w:rPr>
      </w:pPr>
      <w:r>
        <w:rPr>
          <w:b/>
          <w:sz w:val="24"/>
        </w:rPr>
        <w:t>Změna VOP, ceníku a dalších příloh smlouvy</w:t>
      </w:r>
    </w:p>
    <w:p w:rsidR="002969CB" w:rsidRDefault="00341E58">
      <w:pPr>
        <w:pStyle w:val="Odstavecseseznamem"/>
        <w:numPr>
          <w:ilvl w:val="0"/>
          <w:numId w:val="2"/>
        </w:numPr>
        <w:tabs>
          <w:tab w:val="left" w:pos="1370"/>
        </w:tabs>
        <w:spacing w:before="162"/>
        <w:ind w:right="308"/>
        <w:jc w:val="both"/>
      </w:pPr>
      <w:r>
        <w:t>Obsah VOP a obsah přílohy č. 4 smlouvy (ceník a standardy složení) mohou smluvní strany měnit na základě písemné dohody anebo postupem podle odstavců 3 až 8 níže; pro změny výkazu se uplatní postup podle čl. VI. odst. 4 VOP a aktualizace dotazníku probíhá podle čl. IV. odst. 4 smlouvy.</w:t>
      </w:r>
    </w:p>
    <w:p w:rsidR="002969CB" w:rsidRDefault="002969CB">
      <w:pPr>
        <w:pStyle w:val="Zkladntext"/>
        <w:spacing w:before="3"/>
        <w:rPr>
          <w:sz w:val="20"/>
        </w:rPr>
      </w:pPr>
    </w:p>
    <w:p w:rsidR="002969CB" w:rsidRDefault="00341E58">
      <w:pPr>
        <w:pStyle w:val="Odstavecseseznamem"/>
        <w:numPr>
          <w:ilvl w:val="0"/>
          <w:numId w:val="2"/>
        </w:numPr>
        <w:tabs>
          <w:tab w:val="left" w:pos="1370"/>
        </w:tabs>
        <w:ind w:right="307"/>
        <w:jc w:val="both"/>
      </w:pPr>
      <w:r>
        <w:t>Smluvní strany shodně konstatují, že z povahy smlouvy plyne rozumná potřeba upravit obsah VOP a dalších příloh smlouvy v budoucnu, zejména s ohledem na vývoj trhu s</w:t>
      </w:r>
      <w:r>
        <w:rPr>
          <w:spacing w:val="2"/>
        </w:rPr>
        <w:t xml:space="preserve"> </w:t>
      </w:r>
      <w:r>
        <w:t xml:space="preserve">druhotnými surovinami, na vývoj zajišťování sdruženého plnění povinností zpětného odběru a využití odpadu z obalů podle zákona o obalech, na množství odpadů z obalů (v absolutním vyjádření) i na </w:t>
      </w:r>
      <w:proofErr w:type="gramStart"/>
      <w:r>
        <w:t>podíl  z celkového</w:t>
      </w:r>
      <w:proofErr w:type="gramEnd"/>
      <w:r>
        <w:t xml:space="preserve"> množství odpadů z obalů v České republice (v relativním vyjádření), ve vztahu k němuž společnost zajišťuje sdružené plnění povinností v Systému sdruženého plnění EKO-KOM, s ohledem na faktické změny při nakládání s odpady a druhotnými surovinami a na legislativní změny, popřípadě z dalších důležitých důvodů.</w:t>
      </w:r>
    </w:p>
    <w:p w:rsidR="002969CB" w:rsidRDefault="002969CB">
      <w:pPr>
        <w:pStyle w:val="Zkladntext"/>
        <w:spacing w:before="1"/>
      </w:pPr>
    </w:p>
    <w:p w:rsidR="002969CB" w:rsidRDefault="00341E58">
      <w:pPr>
        <w:pStyle w:val="Odstavecseseznamem"/>
        <w:numPr>
          <w:ilvl w:val="0"/>
          <w:numId w:val="2"/>
        </w:numPr>
        <w:tabs>
          <w:tab w:val="left" w:pos="1370"/>
        </w:tabs>
        <w:ind w:right="308"/>
        <w:jc w:val="both"/>
      </w:pPr>
      <w:r>
        <w:t>Společnost je oprávněna změnit VOP, či obsah přílohy č. 4 smlouvy, a v takovém případě je společnost povinna zaslat obci písemné oznámení o změně VOP nebo o změně ceníku a standardů složení (příloha č. 4 smlouvy), a to v elektronické podobě prostřednictvím datové schránky obce. V případě nefunkčnosti systému datových schránek (např.: informuje-li Ministerstvo vnitra o nedostupnosti systému) je společnost oprávněna oznámit změnu VOP či přílohy č. 4 smlouvy obci oznámením v listinné podobě zaslaným na adresu obce, nebo v elektronické podobě zaslaným na adresu elektronické pošty obce a umístěním oznámení na Internetové stránky. Oznámením změny dojde ke změně ve smyslu obsahu oznámení s účinností ke dni uvedenému v oznámení (které musí připadnout na první den kalendářního čtvrtletí, nebude-li z důvodů stanovených či vyplývajících z právních předpisů nutné stanovit jiný den účinnosti změny). Oznámení se považuje za účinné doručením obci prostřednictvím datové schránky obce. Není-</w:t>
      </w:r>
      <w:proofErr w:type="gramStart"/>
      <w:r>
        <w:t>li  pro</w:t>
      </w:r>
      <w:proofErr w:type="gramEnd"/>
      <w:r>
        <w:t xml:space="preserve"> nefunkčnost systému datových schránek možné zajistit doručení obci prostřednictvím datové schránky, považuje se oznámení za účinné doručením prostřednictví adresy elektronické pošty, umístěním na Internetové stránky, nebo doručením prostřednictví držitele poštovní licence, a to podle toho, který z těchto okamžiků nastane dříve. Obec je povinna se s oznámením seznámit. Společnost je povinna oznámit obci změnu VOP alespoň 30 dnů před okamžikem účinnosti změny a změnu příloh VOP či přílohy č. 4 smlouvy alespoň 10 dnů před okamžikem účinnosti</w:t>
      </w:r>
      <w:r>
        <w:rPr>
          <w:spacing w:val="12"/>
        </w:rPr>
        <w:t xml:space="preserve"> </w:t>
      </w:r>
      <w:r>
        <w:t>změny.</w:t>
      </w:r>
    </w:p>
    <w:p w:rsidR="002969CB" w:rsidRDefault="002969CB">
      <w:pPr>
        <w:pStyle w:val="Zkladntext"/>
        <w:spacing w:before="2"/>
        <w:rPr>
          <w:sz w:val="21"/>
        </w:rPr>
      </w:pPr>
    </w:p>
    <w:p w:rsidR="002969CB" w:rsidRDefault="00341E58">
      <w:pPr>
        <w:pStyle w:val="Odstavecseseznamem"/>
        <w:numPr>
          <w:ilvl w:val="0"/>
          <w:numId w:val="2"/>
        </w:numPr>
        <w:tabs>
          <w:tab w:val="left" w:pos="1370"/>
        </w:tabs>
        <w:ind w:right="308"/>
        <w:jc w:val="both"/>
      </w:pPr>
      <w:r>
        <w:t>V případě obdržení oznámení od společnosti podle odstavce 3 tohoto článku smlouvy je obec oprávněna smlouvu písemně vypovědět a tím změnu odmítnout; vypovězení smlouvy představuje smluvními stranami dohodnutý výlučný nástroj pro vyjádření nesouhlasu s návrhem změny. Právo vypovědět smlouvu dle tohoto odstavce může obec využít pouze do třiceti dnů od obdržení tohoto oznámení v případě změny VOP a pouze do deseti dnů od obdržení oznámení v případě změny příloh VOP či přílohy č. 4 smlouvy. Ve výpovědi musí být výslovně uveden důvod vypovězení smlouvy, přičemž musí být z výpovědi patrné, že obec smlouvu vypovídá z důvodu nesouhlasu se změnou. V případě, že výpověď nebude písemná (tj. učiněná v listinné podobě či v elektronické podobě prostřednictvím datové schránky), nebude obsahovat důvod výpovědi či z jejího obsahu nebude zřejmé, že důvodem výpovědi je nesouhlas obce se změnou dle tohoto odstavce smlouvy nebo bude společnosti doručena po uplynutí uvedených lhůt, je</w:t>
      </w:r>
      <w:r>
        <w:rPr>
          <w:spacing w:val="2"/>
        </w:rPr>
        <w:t xml:space="preserve"> </w:t>
      </w:r>
      <w:r>
        <w:t>neplatná.</w:t>
      </w:r>
    </w:p>
    <w:p w:rsidR="002969CB" w:rsidRDefault="002969CB">
      <w:pPr>
        <w:jc w:val="both"/>
        <w:sectPr w:rsidR="002969CB">
          <w:pgSz w:w="11920" w:h="16850"/>
          <w:pgMar w:top="1220" w:right="840" w:bottom="1040" w:left="660" w:header="0" w:footer="852" w:gutter="0"/>
          <w:cols w:space="708"/>
        </w:sectPr>
      </w:pPr>
    </w:p>
    <w:p w:rsidR="002969CB" w:rsidRDefault="00341E58">
      <w:pPr>
        <w:pStyle w:val="Odstavecseseznamem"/>
        <w:numPr>
          <w:ilvl w:val="0"/>
          <w:numId w:val="2"/>
        </w:numPr>
        <w:tabs>
          <w:tab w:val="left" w:pos="1364"/>
        </w:tabs>
        <w:spacing w:before="97" w:line="225" w:lineRule="auto"/>
        <w:ind w:left="1363" w:right="291"/>
        <w:jc w:val="both"/>
        <w:rPr>
          <w:rFonts w:ascii="Garamond" w:hAnsi="Garamond"/>
          <w:sz w:val="24"/>
        </w:rPr>
      </w:pPr>
      <w:r>
        <w:lastRenderedPageBreak/>
        <w:t>Výpověď dle předchozího odstavce je účinná ke dni bezprostředně předcházejícímu dni účinnosti změny, jak je uvedeno v oznámení dle odst. 3. Smlouva zaniká ke dni účinnosti</w:t>
      </w:r>
      <w:r>
        <w:rPr>
          <w:spacing w:val="-1"/>
        </w:rPr>
        <w:t xml:space="preserve"> </w:t>
      </w:r>
      <w:r>
        <w:rPr>
          <w:spacing w:val="-3"/>
        </w:rPr>
        <w:t>výpovědi.</w:t>
      </w:r>
    </w:p>
    <w:p w:rsidR="002969CB" w:rsidRDefault="00341E58">
      <w:pPr>
        <w:pStyle w:val="Odstavecseseznamem"/>
        <w:numPr>
          <w:ilvl w:val="0"/>
          <w:numId w:val="2"/>
        </w:numPr>
        <w:tabs>
          <w:tab w:val="left" w:pos="1364"/>
        </w:tabs>
        <w:spacing w:before="166" w:line="237" w:lineRule="auto"/>
        <w:ind w:left="1363" w:right="284"/>
        <w:jc w:val="both"/>
        <w:rPr>
          <w:rFonts w:ascii="Garamond" w:hAnsi="Garamond"/>
          <w:sz w:val="24"/>
        </w:rPr>
      </w:pPr>
      <w:r>
        <w:t>Svojí nečinností, tj. tím, že obec po obdržení oznámení od společnosti podle odstavce 3 tohoto článku smlouvy nevypoví smlouvu způsobem podle odstavce 4 tohoto článku smlouvy, obec vyjadřuje svůj souhlas s návrhem změny a akceptuje návrh na změnu, která je pak pro obě smluvní strany závazná. To platí i v případě, že obec učiní vůči společnosti jiné právní jednání, představující akceptaci návrhu na změnu, a v případě změny přílohy č. 4 smlouvy i v případě, že obec vystaví fakturu na zaplacení odměny ve změněné</w:t>
      </w:r>
      <w:r>
        <w:rPr>
          <w:spacing w:val="-8"/>
        </w:rPr>
        <w:t xml:space="preserve"> </w:t>
      </w:r>
      <w:r>
        <w:t>výši.</w:t>
      </w:r>
    </w:p>
    <w:p w:rsidR="002969CB" w:rsidRDefault="00341E58">
      <w:pPr>
        <w:pStyle w:val="Odstavecseseznamem"/>
        <w:numPr>
          <w:ilvl w:val="0"/>
          <w:numId w:val="2"/>
        </w:numPr>
        <w:tabs>
          <w:tab w:val="left" w:pos="1363"/>
          <w:tab w:val="left" w:pos="1364"/>
        </w:tabs>
        <w:spacing w:before="156"/>
        <w:ind w:left="1363" w:hanging="723"/>
        <w:rPr>
          <w:rFonts w:ascii="Garamond" w:hAnsi="Garamond"/>
          <w:sz w:val="24"/>
        </w:rPr>
      </w:pPr>
      <w:r>
        <w:t>Právo</w:t>
      </w:r>
      <w:r>
        <w:rPr>
          <w:spacing w:val="-6"/>
        </w:rPr>
        <w:t xml:space="preserve"> </w:t>
      </w:r>
      <w:r>
        <w:t>vypovědět</w:t>
      </w:r>
      <w:r>
        <w:rPr>
          <w:spacing w:val="-3"/>
        </w:rPr>
        <w:t xml:space="preserve"> </w:t>
      </w:r>
      <w:r>
        <w:t>smlouvu</w:t>
      </w:r>
      <w:r>
        <w:rPr>
          <w:spacing w:val="-7"/>
        </w:rPr>
        <w:t xml:space="preserve"> </w:t>
      </w:r>
      <w:r>
        <w:t>nevzniká,</w:t>
      </w:r>
      <w:r>
        <w:rPr>
          <w:spacing w:val="-4"/>
        </w:rPr>
        <w:t xml:space="preserve"> </w:t>
      </w:r>
      <w:r>
        <w:t>pokud</w:t>
      </w:r>
      <w:r>
        <w:rPr>
          <w:spacing w:val="-7"/>
        </w:rPr>
        <w:t xml:space="preserve"> </w:t>
      </w:r>
      <w:r>
        <w:t>změna</w:t>
      </w:r>
      <w:r>
        <w:rPr>
          <w:spacing w:val="-7"/>
        </w:rPr>
        <w:t xml:space="preserve"> </w:t>
      </w:r>
      <w:r>
        <w:t>spočívá</w:t>
      </w:r>
      <w:r>
        <w:rPr>
          <w:spacing w:val="-3"/>
        </w:rPr>
        <w:t xml:space="preserve"> </w:t>
      </w:r>
      <w:r>
        <w:t>pouze</w:t>
      </w:r>
      <w:r>
        <w:rPr>
          <w:spacing w:val="-4"/>
        </w:rPr>
        <w:t xml:space="preserve"> </w:t>
      </w:r>
      <w:r>
        <w:t>ve</w:t>
      </w:r>
      <w:r>
        <w:rPr>
          <w:spacing w:val="-2"/>
        </w:rPr>
        <w:t xml:space="preserve"> </w:t>
      </w:r>
      <w:r>
        <w:t>zvýšení</w:t>
      </w:r>
      <w:r>
        <w:rPr>
          <w:spacing w:val="-1"/>
        </w:rPr>
        <w:t xml:space="preserve"> </w:t>
      </w:r>
      <w:r>
        <w:rPr>
          <w:spacing w:val="-3"/>
        </w:rPr>
        <w:t>odměny.</w:t>
      </w:r>
    </w:p>
    <w:p w:rsidR="002969CB" w:rsidRDefault="00341E58">
      <w:pPr>
        <w:pStyle w:val="Odstavecseseznamem"/>
        <w:numPr>
          <w:ilvl w:val="0"/>
          <w:numId w:val="2"/>
        </w:numPr>
        <w:tabs>
          <w:tab w:val="left" w:pos="1364"/>
        </w:tabs>
        <w:spacing w:before="152" w:line="235" w:lineRule="auto"/>
        <w:ind w:left="1363" w:right="283"/>
        <w:jc w:val="both"/>
        <w:rPr>
          <w:rFonts w:ascii="Garamond" w:hAnsi="Garamond"/>
          <w:sz w:val="24"/>
        </w:rPr>
      </w:pPr>
      <w:r>
        <w:t>Společnost je dále oprávněna jednostranně změnit odměnu, pokud taková změna bude pro obec představovat zvýšení odměny. Zvýšení odměny může platit pouze pro určité Období (jednorázové zvýšení) či pro předem neurčený počet Období (zvýšení platné do příští změny odměny); v případě pochybností se má za to, že zvýšení odměny bylo jednorázové, a to pro Období, v němž bylo</w:t>
      </w:r>
      <w:r>
        <w:rPr>
          <w:spacing w:val="-2"/>
        </w:rPr>
        <w:t xml:space="preserve"> </w:t>
      </w:r>
      <w:r>
        <w:t>realizováno.</w:t>
      </w:r>
    </w:p>
    <w:p w:rsidR="002969CB" w:rsidRDefault="002969CB">
      <w:pPr>
        <w:pStyle w:val="Zkladntext"/>
        <w:rPr>
          <w:sz w:val="24"/>
        </w:rPr>
      </w:pPr>
    </w:p>
    <w:p w:rsidR="002969CB" w:rsidRDefault="002969CB">
      <w:pPr>
        <w:pStyle w:val="Zkladntext"/>
        <w:rPr>
          <w:sz w:val="24"/>
        </w:rPr>
      </w:pPr>
    </w:p>
    <w:p w:rsidR="002969CB" w:rsidRDefault="00341E58">
      <w:pPr>
        <w:pStyle w:val="Nadpis11"/>
        <w:spacing w:before="144" w:line="274" w:lineRule="exact"/>
        <w:ind w:left="2188"/>
      </w:pPr>
      <w:r>
        <w:t>VIII.</w:t>
      </w:r>
    </w:p>
    <w:p w:rsidR="002969CB" w:rsidRDefault="00341E58">
      <w:pPr>
        <w:spacing w:line="274" w:lineRule="exact"/>
        <w:ind w:left="2187" w:right="1835"/>
        <w:jc w:val="center"/>
        <w:rPr>
          <w:b/>
          <w:sz w:val="24"/>
        </w:rPr>
      </w:pPr>
      <w:r>
        <w:rPr>
          <w:b/>
          <w:sz w:val="24"/>
        </w:rPr>
        <w:t>Závěrečná ustanovení</w:t>
      </w:r>
    </w:p>
    <w:p w:rsidR="002969CB" w:rsidRDefault="002969CB">
      <w:pPr>
        <w:pStyle w:val="Zkladntext"/>
        <w:spacing w:before="2"/>
        <w:rPr>
          <w:b/>
          <w:sz w:val="28"/>
        </w:rPr>
      </w:pPr>
    </w:p>
    <w:p w:rsidR="002969CB" w:rsidRDefault="00341E58">
      <w:pPr>
        <w:pStyle w:val="Odstavecseseznamem"/>
        <w:numPr>
          <w:ilvl w:val="0"/>
          <w:numId w:val="1"/>
        </w:numPr>
        <w:tabs>
          <w:tab w:val="left" w:pos="1395"/>
          <w:tab w:val="left" w:pos="1396"/>
        </w:tabs>
        <w:spacing w:before="89" w:line="252" w:lineRule="auto"/>
        <w:ind w:right="324"/>
      </w:pPr>
      <w:r>
        <w:t>Smlouva nabývá platnosti a účinnosti v souladu s čl. III. VOP. Smlouva k okamžiku své účinnosti nahrazuje</w:t>
      </w:r>
      <w:r>
        <w:rPr>
          <w:spacing w:val="23"/>
        </w:rPr>
        <w:t xml:space="preserve"> </w:t>
      </w:r>
      <w:r>
        <w:t>Smlouvu</w:t>
      </w:r>
      <w:r>
        <w:rPr>
          <w:spacing w:val="23"/>
        </w:rPr>
        <w:t xml:space="preserve"> </w:t>
      </w:r>
      <w:r>
        <w:t>o</w:t>
      </w:r>
      <w:r>
        <w:rPr>
          <w:spacing w:val="23"/>
        </w:rPr>
        <w:t xml:space="preserve"> </w:t>
      </w:r>
      <w:r>
        <w:t>zajištění</w:t>
      </w:r>
      <w:r>
        <w:rPr>
          <w:spacing w:val="23"/>
        </w:rPr>
        <w:t xml:space="preserve"> </w:t>
      </w:r>
      <w:r>
        <w:t>zpětného</w:t>
      </w:r>
      <w:r>
        <w:rPr>
          <w:spacing w:val="23"/>
        </w:rPr>
        <w:t xml:space="preserve"> </w:t>
      </w:r>
      <w:r>
        <w:t>odběru</w:t>
      </w:r>
      <w:r>
        <w:rPr>
          <w:spacing w:val="23"/>
        </w:rPr>
        <w:t xml:space="preserve"> </w:t>
      </w:r>
      <w:r>
        <w:t>a</w:t>
      </w:r>
      <w:r>
        <w:rPr>
          <w:spacing w:val="23"/>
        </w:rPr>
        <w:t xml:space="preserve"> </w:t>
      </w:r>
      <w:r>
        <w:t>využití</w:t>
      </w:r>
      <w:r>
        <w:rPr>
          <w:spacing w:val="24"/>
        </w:rPr>
        <w:t xml:space="preserve"> </w:t>
      </w:r>
      <w:r>
        <w:t>odpadů</w:t>
      </w:r>
      <w:r>
        <w:rPr>
          <w:spacing w:val="23"/>
        </w:rPr>
        <w:t xml:space="preserve"> </w:t>
      </w:r>
      <w:r>
        <w:t>z</w:t>
      </w:r>
      <w:r>
        <w:rPr>
          <w:spacing w:val="47"/>
        </w:rPr>
        <w:t xml:space="preserve"> </w:t>
      </w:r>
      <w:r>
        <w:t>obalů</w:t>
      </w:r>
      <w:r>
        <w:rPr>
          <w:spacing w:val="24"/>
        </w:rPr>
        <w:t xml:space="preserve"> </w:t>
      </w:r>
      <w:r>
        <w:t>č.</w:t>
      </w:r>
      <w:r>
        <w:rPr>
          <w:spacing w:val="-21"/>
        </w:rPr>
        <w:t xml:space="preserve"> </w:t>
      </w:r>
      <w:r>
        <w:t>OS201420000542</w:t>
      </w:r>
    </w:p>
    <w:p w:rsidR="002969CB" w:rsidRDefault="00341E58">
      <w:pPr>
        <w:pStyle w:val="Zkladntext"/>
        <w:tabs>
          <w:tab w:val="left" w:pos="3249"/>
        </w:tabs>
        <w:ind w:left="1395"/>
      </w:pPr>
      <w:r>
        <w:t>ze</w:t>
      </w:r>
      <w:r>
        <w:rPr>
          <w:spacing w:val="3"/>
        </w:rPr>
        <w:t xml:space="preserve"> </w:t>
      </w:r>
      <w:r>
        <w:t>dne</w:t>
      </w:r>
      <w:r>
        <w:rPr>
          <w:spacing w:val="23"/>
        </w:rPr>
        <w:t xml:space="preserve"> </w:t>
      </w:r>
      <w:proofErr w:type="gramStart"/>
      <w:r>
        <w:t>02.09.2014</w:t>
      </w:r>
      <w:proofErr w:type="gramEnd"/>
      <w:r>
        <w:tab/>
        <w:t>(„nahrazená smlouva“), a vztahuje se na odpad z obalů, jehož zpětný odběr</w:t>
      </w:r>
      <w:r>
        <w:rPr>
          <w:spacing w:val="44"/>
        </w:rPr>
        <w:t xml:space="preserve"> </w:t>
      </w:r>
      <w:r>
        <w:t>a</w:t>
      </w:r>
    </w:p>
    <w:p w:rsidR="002969CB" w:rsidRDefault="00341E58">
      <w:pPr>
        <w:pStyle w:val="Zkladntext"/>
        <w:spacing w:before="11" w:line="252" w:lineRule="auto"/>
        <w:ind w:left="1395" w:right="317"/>
        <w:jc w:val="both"/>
      </w:pPr>
      <w:r>
        <w:t>využití obec zajistila od prvého dne kalendářního čtvrtletí, v němž nabyla smlouva účinnosti. Společnost je oprávněna provést u obce audit podle této smlouvy i ve vztahu k plnění poskytovanému podle nahrazené smlouvy, toto plnění (řádnost a včasnost jeho poskytnutí a vznik nároku na odměnu) však bude při auditu posuzováno podle nahrazené smlouvy a v</w:t>
      </w:r>
      <w:r>
        <w:rPr>
          <w:spacing w:val="23"/>
        </w:rPr>
        <w:t xml:space="preserve"> </w:t>
      </w:r>
      <w:r>
        <w:t>případě zjištění porušení nahrazené smlouvy se uplatní veškeré právní důsledky, včetně uplatnění právních důsledků dle nahrazené smlouvy. Smluvní strany jsou povinny vypořádat své závazky podle nahrazené smlouvy za dobu do zániku nahrazené smlouvy v souladu s nahrazenou smlouvou; obec je zejména povinna předat společnosti výkaz i za poslední Období trvání nahrazené smlouvy způsobem a ve lhůtách podle nahrazené smlouvy, a společnost je povinna zaplatit obci odměnu, vše při možném uplatnění právních důsledků dle nahrazené smlouvy. Pokud mezi smluvními stranami dříve nebyla uzavřena smlouva o zajištění zpětného odběru a využití odpadů z obalů, vztahuje se tato smlouva na odpad z obalů, jehož zpětný odběr a využití obec zajistila v období o d prvního dne kalendářního čtvrtletí, v němž nabyla</w:t>
      </w:r>
      <w:r>
        <w:rPr>
          <w:spacing w:val="7"/>
        </w:rPr>
        <w:t xml:space="preserve"> </w:t>
      </w:r>
      <w:r>
        <w:t>účinnosti.</w:t>
      </w:r>
    </w:p>
    <w:p w:rsidR="002969CB" w:rsidRDefault="00341E58">
      <w:pPr>
        <w:pStyle w:val="Odstavecseseznamem"/>
        <w:numPr>
          <w:ilvl w:val="0"/>
          <w:numId w:val="1"/>
        </w:numPr>
        <w:tabs>
          <w:tab w:val="left" w:pos="1396"/>
        </w:tabs>
        <w:spacing w:before="134"/>
        <w:ind w:right="384" w:hanging="728"/>
        <w:jc w:val="both"/>
      </w:pPr>
      <w:r>
        <w:t>Je-li smlouva uzavírána v listinné podobě, je vyhotovena ve dvou vyhotoveních, z nichž každá ze smluvních stran obdrží po jednom. Je-li smlouva uzavírána v elektronické podobě, je vyhotovena v elektronickém</w:t>
      </w:r>
      <w:r>
        <w:rPr>
          <w:spacing w:val="-1"/>
        </w:rPr>
        <w:t xml:space="preserve"> </w:t>
      </w:r>
      <w:r>
        <w:t>stejnopise.</w:t>
      </w:r>
    </w:p>
    <w:p w:rsidR="002969CB" w:rsidRDefault="00341E58">
      <w:pPr>
        <w:pStyle w:val="Odstavecseseznamem"/>
        <w:numPr>
          <w:ilvl w:val="0"/>
          <w:numId w:val="1"/>
        </w:numPr>
        <w:tabs>
          <w:tab w:val="left" w:pos="1395"/>
          <w:tab w:val="left" w:pos="1396"/>
        </w:tabs>
        <w:spacing w:before="160"/>
        <w:ind w:right="614" w:hanging="733"/>
      </w:pPr>
      <w:r>
        <w:t xml:space="preserve">Obci bylo přiděleno v Systému sdruženého plnění EKO-KOM evidenční číslo </w:t>
      </w:r>
      <w:r>
        <w:rPr>
          <w:b/>
        </w:rPr>
        <w:t xml:space="preserve">70/0106. </w:t>
      </w:r>
      <w:r>
        <w:t>Toto číslo je obec povinna uvádět při veškerém styku se společností.</w:t>
      </w:r>
    </w:p>
    <w:p w:rsidR="002969CB" w:rsidRDefault="00341E58">
      <w:pPr>
        <w:pStyle w:val="Odstavecseseznamem"/>
        <w:numPr>
          <w:ilvl w:val="0"/>
          <w:numId w:val="1"/>
        </w:numPr>
        <w:tabs>
          <w:tab w:val="left" w:pos="1395"/>
          <w:tab w:val="left" w:pos="1396"/>
        </w:tabs>
        <w:spacing w:before="162" w:line="242" w:lineRule="auto"/>
        <w:ind w:right="323" w:hanging="728"/>
      </w:pPr>
      <w:r>
        <w:rPr>
          <w:position w:val="1"/>
        </w:rPr>
        <w:t>Fyzické osoby, které smlouvu uzavírají jménem jednotlivých smluvních stran, tímto prohlašují, že</w:t>
      </w:r>
      <w:r>
        <w:t xml:space="preserve"> jsou plně oprávněny k platnému uzavření smlouvy.</w:t>
      </w:r>
    </w:p>
    <w:p w:rsidR="002969CB" w:rsidRDefault="002969CB">
      <w:pPr>
        <w:spacing w:line="242" w:lineRule="auto"/>
        <w:sectPr w:rsidR="002969CB">
          <w:pgSz w:w="11920" w:h="16850"/>
          <w:pgMar w:top="1200" w:right="840" w:bottom="1040" w:left="660" w:header="0" w:footer="852" w:gutter="0"/>
          <w:cols w:space="708"/>
        </w:sectPr>
      </w:pPr>
    </w:p>
    <w:p w:rsidR="002969CB" w:rsidRDefault="00341E58">
      <w:pPr>
        <w:pStyle w:val="Odstavecseseznamem"/>
        <w:numPr>
          <w:ilvl w:val="0"/>
          <w:numId w:val="1"/>
        </w:numPr>
        <w:tabs>
          <w:tab w:val="left" w:pos="1366"/>
          <w:tab w:val="left" w:pos="1367"/>
        </w:tabs>
        <w:spacing w:before="78" w:line="263" w:lineRule="exact"/>
        <w:ind w:left="1366" w:hanging="719"/>
        <w:rPr>
          <w:rFonts w:ascii="Garamond" w:hAnsi="Garamond"/>
          <w:sz w:val="24"/>
        </w:rPr>
      </w:pPr>
      <w:r>
        <w:lastRenderedPageBreak/>
        <w:t>Obec</w:t>
      </w:r>
      <w:r>
        <w:rPr>
          <w:spacing w:val="7"/>
        </w:rPr>
        <w:t xml:space="preserve"> </w:t>
      </w:r>
      <w:r>
        <w:t>podpisem</w:t>
      </w:r>
      <w:r>
        <w:rPr>
          <w:spacing w:val="8"/>
        </w:rPr>
        <w:t xml:space="preserve"> </w:t>
      </w:r>
      <w:r>
        <w:t>smlouvy</w:t>
      </w:r>
      <w:r>
        <w:rPr>
          <w:spacing w:val="7"/>
        </w:rPr>
        <w:t xml:space="preserve"> </w:t>
      </w:r>
      <w:r>
        <w:t>potvrzuje,</w:t>
      </w:r>
      <w:r>
        <w:rPr>
          <w:spacing w:val="8"/>
        </w:rPr>
        <w:t xml:space="preserve"> </w:t>
      </w:r>
      <w:r>
        <w:t>že</w:t>
      </w:r>
      <w:r>
        <w:rPr>
          <w:spacing w:val="8"/>
        </w:rPr>
        <w:t xml:space="preserve"> </w:t>
      </w:r>
      <w:r>
        <w:t>toto</w:t>
      </w:r>
      <w:r>
        <w:rPr>
          <w:spacing w:val="7"/>
        </w:rPr>
        <w:t xml:space="preserve"> </w:t>
      </w:r>
      <w:r>
        <w:t>právní</w:t>
      </w:r>
      <w:r>
        <w:rPr>
          <w:spacing w:val="8"/>
        </w:rPr>
        <w:t xml:space="preserve"> </w:t>
      </w:r>
      <w:r>
        <w:t>jednání</w:t>
      </w:r>
      <w:r>
        <w:rPr>
          <w:spacing w:val="8"/>
        </w:rPr>
        <w:t xml:space="preserve"> </w:t>
      </w:r>
      <w:r>
        <w:t>bylo</w:t>
      </w:r>
      <w:r>
        <w:rPr>
          <w:spacing w:val="7"/>
        </w:rPr>
        <w:t xml:space="preserve"> </w:t>
      </w:r>
      <w:r>
        <w:t>schváleno</w:t>
      </w:r>
      <w:r>
        <w:rPr>
          <w:spacing w:val="8"/>
        </w:rPr>
        <w:t xml:space="preserve"> </w:t>
      </w:r>
      <w:r>
        <w:t>radou</w:t>
      </w:r>
      <w:r>
        <w:rPr>
          <w:spacing w:val="8"/>
        </w:rPr>
        <w:t xml:space="preserve"> </w:t>
      </w:r>
      <w:r>
        <w:t>/</w:t>
      </w:r>
      <w:r>
        <w:rPr>
          <w:spacing w:val="7"/>
        </w:rPr>
        <w:t xml:space="preserve"> </w:t>
      </w:r>
      <w:r>
        <w:t>zastupitelstvem</w:t>
      </w:r>
    </w:p>
    <w:p w:rsidR="002969CB" w:rsidRDefault="00341E58">
      <w:pPr>
        <w:pStyle w:val="Zkladntext"/>
        <w:tabs>
          <w:tab w:val="left" w:pos="4393"/>
          <w:tab w:val="left" w:pos="6277"/>
        </w:tabs>
        <w:spacing w:line="253" w:lineRule="exact"/>
        <w:ind w:left="1351"/>
      </w:pPr>
      <w:r>
        <w:rPr>
          <w:position w:val="2"/>
        </w:rPr>
        <w:t>„obce“</w:t>
      </w:r>
      <w:r>
        <w:rPr>
          <w:spacing w:val="-7"/>
          <w:position w:val="2"/>
        </w:rPr>
        <w:t xml:space="preserve"> </w:t>
      </w:r>
      <w:r w:rsidR="001744BC">
        <w:t>usnesením č.22/C/3</w:t>
      </w:r>
      <w:r>
        <w:tab/>
      </w:r>
      <w:r>
        <w:rPr>
          <w:spacing w:val="-4"/>
          <w:position w:val="2"/>
        </w:rPr>
        <w:t>dne</w:t>
      </w:r>
      <w:r w:rsidR="001744BC">
        <w:rPr>
          <w:spacing w:val="-4"/>
          <w:position w:val="2"/>
        </w:rPr>
        <w:t xml:space="preserve"> </w:t>
      </w:r>
      <w:proofErr w:type="gramStart"/>
      <w:r w:rsidR="001744BC">
        <w:rPr>
          <w:spacing w:val="-4"/>
          <w:position w:val="2"/>
        </w:rPr>
        <w:t>19.6.2023</w:t>
      </w:r>
      <w:bookmarkStart w:id="0" w:name="_GoBack"/>
      <w:bookmarkEnd w:id="0"/>
      <w:proofErr w:type="gramEnd"/>
      <w:r>
        <w:rPr>
          <w:spacing w:val="-4"/>
          <w:position w:val="2"/>
        </w:rPr>
        <w:tab/>
      </w:r>
      <w:r>
        <w:rPr>
          <w:position w:val="1"/>
        </w:rPr>
        <w:t>a</w:t>
      </w:r>
      <w:r>
        <w:rPr>
          <w:spacing w:val="19"/>
          <w:position w:val="1"/>
        </w:rPr>
        <w:t xml:space="preserve"> </w:t>
      </w:r>
      <w:r>
        <w:rPr>
          <w:position w:val="1"/>
        </w:rPr>
        <w:t>že</w:t>
      </w:r>
      <w:r>
        <w:rPr>
          <w:spacing w:val="19"/>
          <w:position w:val="1"/>
        </w:rPr>
        <w:t xml:space="preserve"> </w:t>
      </w:r>
      <w:r>
        <w:rPr>
          <w:position w:val="1"/>
        </w:rPr>
        <w:t>byly</w:t>
      </w:r>
      <w:r>
        <w:rPr>
          <w:spacing w:val="18"/>
          <w:position w:val="1"/>
        </w:rPr>
        <w:t xml:space="preserve"> </w:t>
      </w:r>
      <w:r>
        <w:rPr>
          <w:position w:val="1"/>
        </w:rPr>
        <w:t>k</w:t>
      </w:r>
      <w:r>
        <w:rPr>
          <w:spacing w:val="19"/>
          <w:position w:val="1"/>
        </w:rPr>
        <w:t xml:space="preserve"> </w:t>
      </w:r>
      <w:r>
        <w:rPr>
          <w:position w:val="1"/>
        </w:rPr>
        <w:t>uzavření</w:t>
      </w:r>
      <w:r>
        <w:rPr>
          <w:spacing w:val="19"/>
          <w:position w:val="1"/>
        </w:rPr>
        <w:t xml:space="preserve"> </w:t>
      </w:r>
      <w:r>
        <w:rPr>
          <w:position w:val="1"/>
        </w:rPr>
        <w:t>smlouvy</w:t>
      </w:r>
      <w:r>
        <w:rPr>
          <w:spacing w:val="20"/>
          <w:position w:val="1"/>
        </w:rPr>
        <w:t xml:space="preserve"> </w:t>
      </w:r>
      <w:r>
        <w:rPr>
          <w:position w:val="2"/>
        </w:rPr>
        <w:t>splněny</w:t>
      </w:r>
    </w:p>
    <w:p w:rsidR="002969CB" w:rsidRDefault="00341E58">
      <w:pPr>
        <w:pStyle w:val="Zkladntext"/>
        <w:ind w:left="1351" w:right="829"/>
      </w:pPr>
      <w:r>
        <w:t xml:space="preserve">všechny podmínky podle právních předpisů, zejména zákona č. 128/2000  Sb., o </w:t>
      </w:r>
      <w:r>
        <w:rPr>
          <w:spacing w:val="-3"/>
        </w:rPr>
        <w:t xml:space="preserve">obcích </w:t>
      </w:r>
      <w:r>
        <w:t>(obecní zřízení), ve znění pozdějších</w:t>
      </w:r>
      <w:r>
        <w:rPr>
          <w:spacing w:val="-1"/>
        </w:rPr>
        <w:t xml:space="preserve"> </w:t>
      </w:r>
      <w:r>
        <w:t>předpisů.</w:t>
      </w:r>
    </w:p>
    <w:p w:rsidR="002969CB" w:rsidRDefault="00341E58">
      <w:pPr>
        <w:pStyle w:val="Odstavecseseznamem"/>
        <w:numPr>
          <w:ilvl w:val="0"/>
          <w:numId w:val="1"/>
        </w:numPr>
        <w:tabs>
          <w:tab w:val="left" w:pos="1379"/>
        </w:tabs>
        <w:spacing w:before="156" w:line="237" w:lineRule="auto"/>
        <w:ind w:left="1351" w:right="348" w:hanging="698"/>
        <w:jc w:val="both"/>
        <w:rPr>
          <w:rFonts w:ascii="Garamond" w:hAnsi="Garamond"/>
          <w:sz w:val="24"/>
        </w:rPr>
      </w:pPr>
      <w:r>
        <w:t>V případě, že se na smlouvu vztahuje povinnost jejího uveřejnění v registru smluv dle zákona č. 340/2015 Sb., o zvláštních podmínkách účinnosti některých smluv, uveřejňování těchto smluv a o registru smluv (zákon o registru smluv), ve znění pozdějších předpisů, smluvní strany výslovně souhlasí s jejím uveřejněním v registru smluv. V takovém případě zajistí uveřejnění smlouvy obec v souladu s VOP. Nezávisle na uvedeném, je společnost oprávněna smlouvu v registru smluv uveřejnit.</w:t>
      </w:r>
    </w:p>
    <w:p w:rsidR="002969CB" w:rsidRDefault="00341E58">
      <w:pPr>
        <w:pStyle w:val="Odstavecseseznamem"/>
        <w:numPr>
          <w:ilvl w:val="0"/>
          <w:numId w:val="1"/>
        </w:numPr>
        <w:tabs>
          <w:tab w:val="left" w:pos="1416"/>
        </w:tabs>
        <w:spacing w:before="169" w:line="225" w:lineRule="auto"/>
        <w:ind w:left="1351" w:right="348" w:hanging="679"/>
        <w:jc w:val="both"/>
        <w:rPr>
          <w:rFonts w:ascii="Garamond" w:hAnsi="Garamond"/>
          <w:sz w:val="24"/>
        </w:rPr>
      </w:pPr>
      <w:r>
        <w:tab/>
        <w:t>Smlouva, včetně VOP, nepředstavuje obchodní tajemství společnosti ve smyslu § 9 zákona č. 106/1999 Sb., o svobodném přístupu k informacím, ve znění pozdějších</w:t>
      </w:r>
      <w:r>
        <w:rPr>
          <w:spacing w:val="3"/>
        </w:rPr>
        <w:t xml:space="preserve"> </w:t>
      </w:r>
      <w:r>
        <w:t>předpisů.</w:t>
      </w:r>
    </w:p>
    <w:p w:rsidR="002969CB" w:rsidRDefault="00341E58">
      <w:pPr>
        <w:pStyle w:val="Odstavecseseznamem"/>
        <w:numPr>
          <w:ilvl w:val="0"/>
          <w:numId w:val="1"/>
        </w:numPr>
        <w:tabs>
          <w:tab w:val="left" w:pos="1392"/>
        </w:tabs>
        <w:spacing w:before="170" w:line="232" w:lineRule="auto"/>
        <w:ind w:left="1351" w:right="348" w:hanging="691"/>
        <w:jc w:val="both"/>
        <w:rPr>
          <w:rFonts w:ascii="Garamond" w:hAnsi="Garamond"/>
          <w:sz w:val="24"/>
        </w:rPr>
      </w:pPr>
      <w:r>
        <w:tab/>
        <w:t>Smluvní strany shodně prohlašují, že si smlouvu před jejím podpisem přečetly, seznámily se se zněním VOP, včetně jejich příloh, a že smlouva byla uzavřena po vzájemném projednání podle jejich pravé a svobodné vůle a že se dohodly o celém jejím obsahu, což stvrzují svými</w:t>
      </w:r>
      <w:r>
        <w:rPr>
          <w:spacing w:val="7"/>
        </w:rPr>
        <w:t xml:space="preserve"> </w:t>
      </w:r>
      <w:r>
        <w:t>podpisy.</w:t>
      </w:r>
    </w:p>
    <w:p w:rsidR="002969CB" w:rsidRDefault="00341E58">
      <w:pPr>
        <w:pStyle w:val="Odstavecseseznamem"/>
        <w:numPr>
          <w:ilvl w:val="0"/>
          <w:numId w:val="1"/>
        </w:numPr>
        <w:tabs>
          <w:tab w:val="left" w:pos="1352"/>
        </w:tabs>
        <w:spacing w:before="160"/>
        <w:ind w:left="1351" w:hanging="712"/>
        <w:jc w:val="both"/>
        <w:rPr>
          <w:rFonts w:ascii="Garamond" w:hAnsi="Garamond"/>
          <w:sz w:val="24"/>
        </w:rPr>
      </w:pPr>
      <w:r>
        <w:t>Nedílnou součástí této smlouvy jsou i její přílohy:</w:t>
      </w:r>
    </w:p>
    <w:p w:rsidR="002969CB" w:rsidRDefault="002969CB">
      <w:pPr>
        <w:pStyle w:val="Zkladntext"/>
        <w:spacing w:before="8"/>
        <w:rPr>
          <w:sz w:val="20"/>
        </w:rPr>
      </w:pPr>
    </w:p>
    <w:p w:rsidR="002969CB" w:rsidRDefault="00341E58">
      <w:pPr>
        <w:pStyle w:val="Zkladntext"/>
        <w:tabs>
          <w:tab w:val="left" w:pos="2768"/>
        </w:tabs>
        <w:ind w:left="2768" w:right="829" w:hanging="1417"/>
      </w:pPr>
      <w:r>
        <w:t>Příloha</w:t>
      </w:r>
      <w:r>
        <w:rPr>
          <w:spacing w:val="-2"/>
        </w:rPr>
        <w:t xml:space="preserve"> </w:t>
      </w:r>
      <w:r>
        <w:t>č. 1:</w:t>
      </w:r>
      <w:r>
        <w:tab/>
        <w:t>Všeobecné obchodní podmínky společnosti EKO-KOM, a.s., upravující spolupráci s obcí při zajištění zpětného odběru ze dne 1. 4.</w:t>
      </w:r>
      <w:r>
        <w:rPr>
          <w:spacing w:val="-9"/>
        </w:rPr>
        <w:t xml:space="preserve"> </w:t>
      </w:r>
      <w:r>
        <w:t>2023;</w:t>
      </w:r>
    </w:p>
    <w:p w:rsidR="002969CB" w:rsidRDefault="00341E58">
      <w:pPr>
        <w:pStyle w:val="Zkladntext"/>
        <w:tabs>
          <w:tab w:val="left" w:pos="2768"/>
        </w:tabs>
        <w:spacing w:line="252" w:lineRule="auto"/>
        <w:ind w:left="1351" w:right="6235"/>
      </w:pPr>
      <w:r>
        <w:t>Příloha</w:t>
      </w:r>
      <w:r>
        <w:rPr>
          <w:spacing w:val="-4"/>
        </w:rPr>
        <w:t xml:space="preserve"> </w:t>
      </w:r>
      <w:r>
        <w:t>č.</w:t>
      </w:r>
      <w:r>
        <w:rPr>
          <w:spacing w:val="-3"/>
        </w:rPr>
        <w:t xml:space="preserve"> </w:t>
      </w:r>
      <w:r>
        <w:rPr>
          <w:spacing w:val="-4"/>
        </w:rPr>
        <w:t>2:</w:t>
      </w:r>
      <w:r>
        <w:rPr>
          <w:spacing w:val="-4"/>
        </w:rPr>
        <w:tab/>
      </w:r>
      <w:r>
        <w:t xml:space="preserve">Vzor </w:t>
      </w:r>
      <w:r>
        <w:rPr>
          <w:spacing w:val="-3"/>
        </w:rPr>
        <w:t xml:space="preserve">výkazu; </w:t>
      </w:r>
      <w:r>
        <w:t>Příloha</w:t>
      </w:r>
      <w:r>
        <w:rPr>
          <w:spacing w:val="-4"/>
        </w:rPr>
        <w:t xml:space="preserve"> </w:t>
      </w:r>
      <w:r>
        <w:t>č.</w:t>
      </w:r>
      <w:r>
        <w:rPr>
          <w:spacing w:val="-3"/>
        </w:rPr>
        <w:t xml:space="preserve"> </w:t>
      </w:r>
      <w:r>
        <w:rPr>
          <w:spacing w:val="-4"/>
        </w:rPr>
        <w:t>3:</w:t>
      </w:r>
      <w:r>
        <w:rPr>
          <w:spacing w:val="-4"/>
        </w:rPr>
        <w:tab/>
      </w:r>
      <w:r>
        <w:t>Vzor</w:t>
      </w:r>
      <w:r>
        <w:rPr>
          <w:spacing w:val="9"/>
        </w:rPr>
        <w:t xml:space="preserve"> </w:t>
      </w:r>
      <w:r>
        <w:rPr>
          <w:spacing w:val="-5"/>
        </w:rPr>
        <w:t>dotazníku;</w:t>
      </w:r>
    </w:p>
    <w:p w:rsidR="002969CB" w:rsidRDefault="00341E58">
      <w:pPr>
        <w:pStyle w:val="Zkladntext"/>
        <w:tabs>
          <w:tab w:val="left" w:pos="2768"/>
        </w:tabs>
        <w:spacing w:before="4"/>
        <w:ind w:left="1351"/>
      </w:pPr>
      <w:r>
        <w:t>Příloha</w:t>
      </w:r>
      <w:r>
        <w:rPr>
          <w:spacing w:val="-4"/>
        </w:rPr>
        <w:t xml:space="preserve"> </w:t>
      </w:r>
      <w:r>
        <w:t>č.</w:t>
      </w:r>
      <w:r>
        <w:rPr>
          <w:spacing w:val="-3"/>
        </w:rPr>
        <w:t xml:space="preserve"> </w:t>
      </w:r>
      <w:r>
        <w:rPr>
          <w:spacing w:val="-4"/>
        </w:rPr>
        <w:t>4:</w:t>
      </w:r>
      <w:r>
        <w:rPr>
          <w:spacing w:val="-4"/>
        </w:rPr>
        <w:tab/>
      </w:r>
      <w:r>
        <w:t>Ceník a standardy</w:t>
      </w:r>
      <w:r>
        <w:rPr>
          <w:spacing w:val="-4"/>
        </w:rPr>
        <w:t xml:space="preserve"> </w:t>
      </w:r>
      <w:r>
        <w:rPr>
          <w:spacing w:val="-3"/>
        </w:rPr>
        <w:t>složení.</w:t>
      </w:r>
    </w:p>
    <w:p w:rsidR="002969CB" w:rsidRDefault="002969CB">
      <w:pPr>
        <w:pStyle w:val="Zkladntext"/>
        <w:spacing w:before="9"/>
      </w:pPr>
    </w:p>
    <w:p w:rsidR="002969CB" w:rsidRDefault="00341E58">
      <w:pPr>
        <w:pStyle w:val="Nadpis21"/>
        <w:numPr>
          <w:ilvl w:val="0"/>
          <w:numId w:val="1"/>
        </w:numPr>
        <w:tabs>
          <w:tab w:val="left" w:pos="1352"/>
        </w:tabs>
        <w:ind w:left="1351" w:hanging="709"/>
        <w:jc w:val="both"/>
        <w:rPr>
          <w:rFonts w:ascii="Garamond" w:hAnsi="Garamond"/>
          <w:sz w:val="24"/>
          <w:u w:val="none"/>
        </w:rPr>
      </w:pPr>
      <w:r>
        <w:rPr>
          <w:b w:val="0"/>
          <w:spacing w:val="-56"/>
          <w:u w:val="none"/>
        </w:rPr>
        <w:t xml:space="preserve"> </w:t>
      </w:r>
      <w:r>
        <w:rPr>
          <w:u w:val="thick"/>
        </w:rPr>
        <w:t>Pro</w:t>
      </w:r>
      <w:r>
        <w:rPr>
          <w:spacing w:val="11"/>
          <w:u w:val="thick"/>
        </w:rPr>
        <w:t xml:space="preserve"> </w:t>
      </w:r>
      <w:r>
        <w:rPr>
          <w:u w:val="thick"/>
        </w:rPr>
        <w:t>vyloučení</w:t>
      </w:r>
      <w:r>
        <w:rPr>
          <w:spacing w:val="11"/>
          <w:u w:val="thick"/>
        </w:rPr>
        <w:t xml:space="preserve"> </w:t>
      </w:r>
      <w:r>
        <w:rPr>
          <w:u w:val="thick"/>
        </w:rPr>
        <w:t>pochybností</w:t>
      </w:r>
      <w:r>
        <w:rPr>
          <w:spacing w:val="10"/>
          <w:u w:val="thick"/>
        </w:rPr>
        <w:t xml:space="preserve"> </w:t>
      </w:r>
      <w:r>
        <w:rPr>
          <w:u w:val="thick"/>
        </w:rPr>
        <w:t>obec</w:t>
      </w:r>
      <w:r>
        <w:rPr>
          <w:spacing w:val="13"/>
          <w:u w:val="thick"/>
        </w:rPr>
        <w:t xml:space="preserve"> </w:t>
      </w:r>
      <w:r>
        <w:rPr>
          <w:u w:val="thick"/>
        </w:rPr>
        <w:t>potvrzuje,</w:t>
      </w:r>
      <w:r>
        <w:rPr>
          <w:spacing w:val="12"/>
          <w:u w:val="thick"/>
        </w:rPr>
        <w:t xml:space="preserve"> </w:t>
      </w:r>
      <w:r>
        <w:rPr>
          <w:u w:val="thick"/>
        </w:rPr>
        <w:t>že</w:t>
      </w:r>
      <w:r>
        <w:rPr>
          <w:spacing w:val="9"/>
          <w:u w:val="thick"/>
        </w:rPr>
        <w:t xml:space="preserve"> </w:t>
      </w:r>
      <w:r>
        <w:rPr>
          <w:u w:val="thick"/>
        </w:rPr>
        <w:t>se</w:t>
      </w:r>
      <w:r>
        <w:rPr>
          <w:spacing w:val="13"/>
          <w:u w:val="thick"/>
        </w:rPr>
        <w:t xml:space="preserve"> </w:t>
      </w:r>
      <w:r>
        <w:rPr>
          <w:u w:val="thick"/>
        </w:rPr>
        <w:t>zvláště</w:t>
      </w:r>
      <w:r>
        <w:rPr>
          <w:spacing w:val="10"/>
          <w:u w:val="thick"/>
        </w:rPr>
        <w:t xml:space="preserve"> </w:t>
      </w:r>
      <w:r>
        <w:rPr>
          <w:u w:val="thick"/>
        </w:rPr>
        <w:t>dobře</w:t>
      </w:r>
      <w:r>
        <w:rPr>
          <w:spacing w:val="12"/>
          <w:u w:val="thick"/>
        </w:rPr>
        <w:t xml:space="preserve"> </w:t>
      </w:r>
      <w:r>
        <w:rPr>
          <w:u w:val="thick"/>
        </w:rPr>
        <w:t>seznámila</w:t>
      </w:r>
      <w:r>
        <w:rPr>
          <w:spacing w:val="10"/>
          <w:u w:val="thick"/>
        </w:rPr>
        <w:t xml:space="preserve"> </w:t>
      </w:r>
      <w:r>
        <w:rPr>
          <w:u w:val="thick"/>
        </w:rPr>
        <w:t>s</w:t>
      </w:r>
      <w:r>
        <w:rPr>
          <w:spacing w:val="13"/>
          <w:u w:val="thick"/>
        </w:rPr>
        <w:t xml:space="preserve"> </w:t>
      </w:r>
      <w:r>
        <w:rPr>
          <w:u w:val="thick"/>
        </w:rPr>
        <w:t>ujednáními</w:t>
      </w:r>
    </w:p>
    <w:p w:rsidR="002969CB" w:rsidRDefault="00341E58">
      <w:pPr>
        <w:spacing w:line="245" w:lineRule="exact"/>
        <w:ind w:left="1351"/>
        <w:jc w:val="both"/>
      </w:pPr>
      <w:r>
        <w:rPr>
          <w:spacing w:val="-56"/>
          <w:u w:val="thick"/>
        </w:rPr>
        <w:t xml:space="preserve"> </w:t>
      </w:r>
      <w:r>
        <w:rPr>
          <w:b/>
          <w:u w:val="thick"/>
        </w:rPr>
        <w:t>obsaženými ve smlouvě v</w:t>
      </w:r>
      <w:r>
        <w:rPr>
          <w:b/>
        </w:rPr>
        <w:t xml:space="preserve"> </w:t>
      </w:r>
      <w:r>
        <w:t>čl. IV. (povinnost vedení evidence, vykazování a dotazník) a čl.</w:t>
      </w:r>
    </w:p>
    <w:p w:rsidR="002969CB" w:rsidRDefault="00341E58">
      <w:pPr>
        <w:spacing w:before="2" w:line="252" w:lineRule="exact"/>
        <w:ind w:left="1351"/>
        <w:jc w:val="both"/>
      </w:pPr>
      <w:r>
        <w:t xml:space="preserve">VII. (změna VOP, odměny a dalších příloh smlouvy) </w:t>
      </w:r>
      <w:r>
        <w:rPr>
          <w:b/>
          <w:u w:val="thick"/>
        </w:rPr>
        <w:t>a s ujednáními obsaženými ve VOP</w:t>
      </w:r>
      <w:r>
        <w:rPr>
          <w:b/>
        </w:rPr>
        <w:t xml:space="preserve"> </w:t>
      </w:r>
      <w:r>
        <w:rPr>
          <w:b/>
          <w:u w:val="thick"/>
        </w:rPr>
        <w:t>v</w:t>
      </w:r>
      <w:r>
        <w:rPr>
          <w:b/>
        </w:rPr>
        <w:t xml:space="preserve"> </w:t>
      </w:r>
      <w:r>
        <w:t>čl.</w:t>
      </w:r>
    </w:p>
    <w:p w:rsidR="002969CB" w:rsidRDefault="00341E58">
      <w:pPr>
        <w:pStyle w:val="Zkladntext"/>
        <w:ind w:left="1351" w:right="285"/>
        <w:jc w:val="both"/>
      </w:pPr>
      <w:r>
        <w:t>III. (uzavření smlouvy, účinnost smlouvy), v čl. VI. a čl. VII. (způsob a rozsah vykazování, změny způsobu vykazování, podávání opravných výkazů, zánik nároku na odměnu při opožděném vykázání, smluvní pokuty), v čl. XIII. (audit, plnění povinností obce, smluvní pokuta), v čl. XIV. (zákaz duplicitního vykazování nakládání s odpady, opatření proti duplicitě, zapojení výkupen odpadu, koordinace autorizovaných společností, smluvní pokuta), v čl. XIX. (obecná ujednání ke smluvním pokutám, prodloužení promlčecí lhůty na čtyři roky, vyloučení některých domněnek při poskytnutí kvitance, vyloučení § 1765 a § 1766 - změna okolností) a výslovně tato ustanovení přijímá.</w:t>
      </w:r>
    </w:p>
    <w:p w:rsidR="002969CB" w:rsidRDefault="002969CB">
      <w:pPr>
        <w:pStyle w:val="Zkladntext"/>
        <w:rPr>
          <w:sz w:val="20"/>
        </w:rPr>
      </w:pPr>
    </w:p>
    <w:p w:rsidR="002969CB" w:rsidRDefault="002969CB">
      <w:pPr>
        <w:pStyle w:val="Zkladntext"/>
        <w:rPr>
          <w:sz w:val="20"/>
        </w:rPr>
      </w:pPr>
    </w:p>
    <w:p w:rsidR="002969CB" w:rsidRDefault="002969CB">
      <w:pPr>
        <w:pStyle w:val="Zkladntext"/>
        <w:rPr>
          <w:sz w:val="20"/>
        </w:rPr>
      </w:pPr>
    </w:p>
    <w:p w:rsidR="002969CB" w:rsidRDefault="002969CB">
      <w:pPr>
        <w:pStyle w:val="Zkladntext"/>
        <w:rPr>
          <w:sz w:val="20"/>
        </w:rPr>
      </w:pPr>
    </w:p>
    <w:p w:rsidR="002969CB" w:rsidRDefault="002969CB">
      <w:pPr>
        <w:pStyle w:val="Zkladntext"/>
        <w:rPr>
          <w:sz w:val="20"/>
        </w:rPr>
      </w:pPr>
    </w:p>
    <w:p w:rsidR="002969CB" w:rsidRDefault="002969CB">
      <w:pPr>
        <w:pStyle w:val="Zkladntext"/>
        <w:rPr>
          <w:sz w:val="20"/>
        </w:rPr>
      </w:pPr>
    </w:p>
    <w:p w:rsidR="002969CB" w:rsidRDefault="002969CB">
      <w:pPr>
        <w:pStyle w:val="Zkladntext"/>
        <w:spacing w:before="2" w:after="1"/>
        <w:rPr>
          <w:sz w:val="29"/>
        </w:rPr>
      </w:pPr>
    </w:p>
    <w:tbl>
      <w:tblPr>
        <w:tblStyle w:val="TableNormal"/>
        <w:tblW w:w="0" w:type="auto"/>
        <w:tblInd w:w="656" w:type="dxa"/>
        <w:tblLayout w:type="fixed"/>
        <w:tblLook w:val="01E0" w:firstRow="1" w:lastRow="1" w:firstColumn="1" w:lastColumn="1" w:noHBand="0" w:noVBand="0"/>
      </w:tblPr>
      <w:tblGrid>
        <w:gridCol w:w="4736"/>
        <w:gridCol w:w="3733"/>
      </w:tblGrid>
      <w:tr w:rsidR="002969CB">
        <w:trPr>
          <w:trHeight w:val="1310"/>
        </w:trPr>
        <w:tc>
          <w:tcPr>
            <w:tcW w:w="4736" w:type="dxa"/>
            <w:tcBorders>
              <w:bottom w:val="single" w:sz="6" w:space="0" w:color="000000"/>
            </w:tcBorders>
          </w:tcPr>
          <w:p w:rsidR="002969CB" w:rsidRDefault="00341E58">
            <w:pPr>
              <w:pStyle w:val="TableParagraph"/>
              <w:tabs>
                <w:tab w:val="left" w:pos="1837"/>
                <w:tab w:val="left" w:pos="3789"/>
              </w:tabs>
              <w:ind w:left="2"/>
            </w:pPr>
            <w:r>
              <w:t>V</w:t>
            </w:r>
            <w:r>
              <w:rPr>
                <w:u w:val="single"/>
              </w:rPr>
              <w:t xml:space="preserve"> </w:t>
            </w:r>
            <w:r>
              <w:rPr>
                <w:u w:val="single"/>
              </w:rPr>
              <w:tab/>
            </w:r>
            <w:r>
              <w:t xml:space="preserve">dne </w:t>
            </w:r>
            <w:r>
              <w:rPr>
                <w:spacing w:val="-22"/>
              </w:rPr>
              <w:t xml:space="preserve"> </w:t>
            </w:r>
            <w:r>
              <w:rPr>
                <w:u w:val="single"/>
              </w:rPr>
              <w:t xml:space="preserve"> </w:t>
            </w:r>
            <w:r>
              <w:rPr>
                <w:u w:val="single"/>
              </w:rPr>
              <w:tab/>
            </w:r>
          </w:p>
        </w:tc>
        <w:tc>
          <w:tcPr>
            <w:tcW w:w="3733" w:type="dxa"/>
            <w:tcBorders>
              <w:bottom w:val="single" w:sz="6" w:space="0" w:color="000000"/>
            </w:tcBorders>
          </w:tcPr>
          <w:p w:rsidR="002969CB" w:rsidRDefault="00341E58">
            <w:pPr>
              <w:pStyle w:val="TableParagraph"/>
              <w:tabs>
                <w:tab w:val="left" w:pos="1838"/>
                <w:tab w:val="left" w:pos="3787"/>
              </w:tabs>
              <w:ind w:left="-1" w:right="-58"/>
            </w:pPr>
            <w:r>
              <w:t>V</w:t>
            </w:r>
            <w:r>
              <w:rPr>
                <w:u w:val="single"/>
              </w:rPr>
              <w:t xml:space="preserve"> </w:t>
            </w:r>
            <w:r>
              <w:rPr>
                <w:u w:val="single"/>
              </w:rPr>
              <w:tab/>
            </w:r>
            <w:r>
              <w:t xml:space="preserve">dne </w:t>
            </w:r>
            <w:r>
              <w:rPr>
                <w:spacing w:val="-23"/>
              </w:rPr>
              <w:t xml:space="preserve"> </w:t>
            </w:r>
            <w:r>
              <w:rPr>
                <w:u w:val="single"/>
              </w:rPr>
              <w:t xml:space="preserve"> </w:t>
            </w:r>
            <w:r>
              <w:rPr>
                <w:u w:val="single"/>
              </w:rPr>
              <w:tab/>
            </w:r>
          </w:p>
        </w:tc>
      </w:tr>
      <w:tr w:rsidR="002969CB">
        <w:trPr>
          <w:trHeight w:val="801"/>
        </w:trPr>
        <w:tc>
          <w:tcPr>
            <w:tcW w:w="4736" w:type="dxa"/>
            <w:tcBorders>
              <w:top w:val="single" w:sz="6" w:space="0" w:color="000000"/>
            </w:tcBorders>
          </w:tcPr>
          <w:p w:rsidR="002969CB" w:rsidRDefault="00341E58">
            <w:pPr>
              <w:pStyle w:val="TableParagraph"/>
              <w:spacing w:before="25" w:line="275" w:lineRule="exact"/>
              <w:rPr>
                <w:b/>
                <w:sz w:val="24"/>
              </w:rPr>
            </w:pPr>
            <w:r>
              <w:rPr>
                <w:b/>
                <w:sz w:val="24"/>
              </w:rPr>
              <w:t>společnost</w:t>
            </w:r>
          </w:p>
          <w:p w:rsidR="002969CB" w:rsidRDefault="00341E58">
            <w:pPr>
              <w:pStyle w:val="TableParagraph"/>
              <w:tabs>
                <w:tab w:val="left" w:pos="4689"/>
              </w:tabs>
              <w:spacing w:line="280" w:lineRule="exact"/>
              <w:ind w:right="-130"/>
              <w:rPr>
                <w:i/>
              </w:rPr>
            </w:pPr>
            <w:r>
              <w:rPr>
                <w:i/>
              </w:rPr>
              <w:t>(vlastnoruční podpis / kvalifikovaný elektronický</w:t>
            </w:r>
            <w:r>
              <w:rPr>
                <w:i/>
              </w:rPr>
              <w:tab/>
            </w:r>
            <w:r>
              <w:rPr>
                <w:i/>
                <w:spacing w:val="-7"/>
                <w:position w:val="-5"/>
              </w:rPr>
              <w:t>(v</w:t>
            </w:r>
          </w:p>
          <w:p w:rsidR="002969CB" w:rsidRDefault="00341E58">
            <w:pPr>
              <w:pStyle w:val="TableParagraph"/>
              <w:tabs>
                <w:tab w:val="left" w:pos="4689"/>
              </w:tabs>
              <w:spacing w:line="201" w:lineRule="exact"/>
              <w:ind w:right="-116"/>
              <w:rPr>
                <w:i/>
              </w:rPr>
            </w:pPr>
            <w:r>
              <w:rPr>
                <w:i/>
              </w:rPr>
              <w:t>podpis, včetně</w:t>
            </w:r>
            <w:r>
              <w:rPr>
                <w:i/>
                <w:spacing w:val="-3"/>
              </w:rPr>
              <w:t xml:space="preserve"> </w:t>
            </w:r>
            <w:r>
              <w:rPr>
                <w:i/>
              </w:rPr>
              <w:t>časového</w:t>
            </w:r>
            <w:r>
              <w:rPr>
                <w:i/>
                <w:spacing w:val="-1"/>
              </w:rPr>
              <w:t xml:space="preserve"> </w:t>
            </w:r>
            <w:r>
              <w:rPr>
                <w:i/>
              </w:rPr>
              <w:t>razítka)</w:t>
            </w:r>
            <w:r>
              <w:rPr>
                <w:i/>
              </w:rPr>
              <w:tab/>
            </w:r>
            <w:r>
              <w:rPr>
                <w:i/>
                <w:spacing w:val="-8"/>
                <w:position w:val="-7"/>
              </w:rPr>
              <w:t>el</w:t>
            </w:r>
          </w:p>
        </w:tc>
        <w:tc>
          <w:tcPr>
            <w:tcW w:w="3733" w:type="dxa"/>
            <w:tcBorders>
              <w:top w:val="single" w:sz="6" w:space="0" w:color="000000"/>
            </w:tcBorders>
          </w:tcPr>
          <w:p w:rsidR="00466E1A" w:rsidRDefault="00341E58" w:rsidP="00466E1A">
            <w:pPr>
              <w:pStyle w:val="TableParagraph"/>
              <w:spacing w:before="22" w:line="240" w:lineRule="auto"/>
              <w:ind w:left="-1"/>
              <w:rPr>
                <w:b/>
                <w:sz w:val="24"/>
              </w:rPr>
            </w:pPr>
            <w:r>
              <w:rPr>
                <w:b/>
                <w:sz w:val="24"/>
              </w:rPr>
              <w:t>Obec</w:t>
            </w:r>
            <w:r w:rsidR="00466E1A">
              <w:rPr>
                <w:b/>
                <w:sz w:val="24"/>
              </w:rPr>
              <w:t xml:space="preserve"> </w:t>
            </w:r>
          </w:p>
          <w:p w:rsidR="002969CB" w:rsidRPr="00466E1A" w:rsidRDefault="00466E1A" w:rsidP="00466E1A">
            <w:pPr>
              <w:pStyle w:val="TableParagraph"/>
              <w:spacing w:before="22" w:line="240" w:lineRule="auto"/>
              <w:ind w:left="-1"/>
              <w:rPr>
                <w:b/>
                <w:sz w:val="24"/>
              </w:rPr>
            </w:pPr>
            <w:r w:rsidRPr="00466E1A">
              <w:rPr>
                <w:sz w:val="24"/>
              </w:rPr>
              <w:t>(</w:t>
            </w:r>
            <w:r>
              <w:rPr>
                <w:i/>
              </w:rPr>
              <w:t>v</w:t>
            </w:r>
            <w:r w:rsidR="00341E58">
              <w:rPr>
                <w:i/>
              </w:rPr>
              <w:t>lastnoruční podpis / kvalifikovaný e</w:t>
            </w:r>
            <w:r>
              <w:rPr>
                <w:i/>
              </w:rPr>
              <w:t>le</w:t>
            </w:r>
            <w:r w:rsidR="00341E58">
              <w:rPr>
                <w:i/>
              </w:rPr>
              <w:t>ktronický podpis)</w:t>
            </w:r>
          </w:p>
        </w:tc>
      </w:tr>
    </w:tbl>
    <w:p w:rsidR="00341E58" w:rsidRDefault="00341E58"/>
    <w:sectPr w:rsidR="00341E58" w:rsidSect="002969CB">
      <w:pgSz w:w="11920" w:h="16850"/>
      <w:pgMar w:top="1200" w:right="840" w:bottom="1040" w:left="660" w:header="0" w:footer="85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E58" w:rsidRDefault="00341E58" w:rsidP="002969CB">
      <w:r>
        <w:separator/>
      </w:r>
    </w:p>
  </w:endnote>
  <w:endnote w:type="continuationSeparator" w:id="0">
    <w:p w:rsidR="00341E58" w:rsidRDefault="00341E58" w:rsidP="0029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E58" w:rsidRDefault="00341E58">
    <w:pPr>
      <w:pStyle w:val="Zkladntext"/>
      <w:spacing w:line="14" w:lineRule="auto"/>
      <w:rPr>
        <w:sz w:val="20"/>
      </w:rPr>
    </w:pPr>
    <w:r>
      <w:rPr>
        <w:noProof/>
        <w:lang w:bidi="ar-SA"/>
      </w:rPr>
      <w:drawing>
        <wp:anchor distT="0" distB="0" distL="0" distR="0" simplePos="0" relativeHeight="251442176" behindDoc="1" locked="0" layoutInCell="1" allowOverlap="1">
          <wp:simplePos x="0" y="0"/>
          <wp:positionH relativeFrom="page">
            <wp:posOffset>5638800</wp:posOffset>
          </wp:positionH>
          <wp:positionV relativeFrom="page">
            <wp:posOffset>10020807</wp:posOffset>
          </wp:positionV>
          <wp:extent cx="1143000" cy="26125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43000" cy="261257"/>
                  </a:xfrm>
                  <a:prstGeom prst="rect">
                    <a:avLst/>
                  </a:prstGeom>
                </pic:spPr>
              </pic:pic>
            </a:graphicData>
          </a:graphic>
        </wp:anchor>
      </w:drawing>
    </w:r>
    <w:r w:rsidR="001744BC">
      <w:pict>
        <v:line id="_x0000_s1029" style="position:absolute;z-index:-251873280;mso-position-horizontal-relative:page;mso-position-vertical-relative:page" from="65.7pt,785.75pt" to="539.5pt,785.75pt" strokeweight=".6pt">
          <w10:wrap anchorx="page" anchory="page"/>
        </v:line>
      </w:pict>
    </w:r>
    <w:r w:rsidR="001744BC">
      <w:pict>
        <v:shapetype id="_x0000_t202" coordsize="21600,21600" o:spt="202" path="m,l,21600r21600,l21600,xe">
          <v:stroke joinstyle="miter"/>
          <v:path gradientshapeok="t" o:connecttype="rect"/>
        </v:shapetype>
        <v:shape id="_x0000_s1028" type="#_x0000_t202" style="position:absolute;margin-left:64.55pt;margin-top:789.1pt;width:250.85pt;height:18.9pt;z-index:-251872256;mso-position-horizontal-relative:page;mso-position-vertical-relative:page" filled="f" stroked="f">
          <v:textbox inset="0,0,0,0">
            <w:txbxContent>
              <w:p w:rsidR="00341E58" w:rsidRDefault="00341E58">
                <w:pPr>
                  <w:spacing w:before="32" w:line="208" w:lineRule="auto"/>
                  <w:ind w:left="20"/>
                  <w:rPr>
                    <w:sz w:val="16"/>
                  </w:rPr>
                </w:pPr>
                <w:r>
                  <w:rPr>
                    <w:sz w:val="16"/>
                  </w:rPr>
                  <w:t>Smlouva o spolupráci při zajištění zpětného odběru a zařazení místa zpětného odběru do obecního systému odpadového hospodářství č. OS202320001916</w:t>
                </w:r>
              </w:p>
            </w:txbxContent>
          </v:textbox>
          <w10:wrap anchorx="page" anchory="page"/>
        </v:shape>
      </w:pict>
    </w:r>
    <w:r w:rsidR="001744BC">
      <w:pict>
        <v:shape id="_x0000_s1027" type="#_x0000_t202" style="position:absolute;margin-left:64.65pt;margin-top:810pt;width:38.2pt;height:11.05pt;z-index:-251871232;mso-position-horizontal-relative:page;mso-position-vertical-relative:page" filled="f" stroked="f">
          <v:textbox inset="0,0,0,0">
            <w:txbxContent>
              <w:p w:rsidR="00341E58" w:rsidRDefault="00341E58">
                <w:pPr>
                  <w:spacing w:before="20"/>
                  <w:ind w:left="20"/>
                  <w:rPr>
                    <w:rFonts w:ascii="Garamond"/>
                    <w:sz w:val="16"/>
                  </w:rPr>
                </w:pPr>
                <w:r>
                  <w:rPr>
                    <w:rFonts w:ascii="Garamond"/>
                    <w:sz w:val="16"/>
                  </w:rPr>
                  <w:t xml:space="preserve">strana </w:t>
                </w:r>
                <w:r>
                  <w:fldChar w:fldCharType="begin"/>
                </w:r>
                <w:r>
                  <w:rPr>
                    <w:rFonts w:ascii="Garamond"/>
                    <w:sz w:val="16"/>
                  </w:rPr>
                  <w:instrText xml:space="preserve"> PAGE </w:instrText>
                </w:r>
                <w:r>
                  <w:fldChar w:fldCharType="separate"/>
                </w:r>
                <w:r w:rsidR="001744BC">
                  <w:rPr>
                    <w:rFonts w:ascii="Garamond"/>
                    <w:noProof/>
                    <w:sz w:val="16"/>
                  </w:rPr>
                  <w:t>6</w:t>
                </w:r>
                <w:r>
                  <w:fldChar w:fldCharType="end"/>
                </w:r>
                <w:r>
                  <w:rPr>
                    <w:rFonts w:ascii="Garamond"/>
                    <w:sz w:val="16"/>
                  </w:rPr>
                  <w:t xml:space="preserve"> / 6</w:t>
                </w:r>
              </w:p>
            </w:txbxContent>
          </v:textbox>
          <w10:wrap anchorx="page" anchory="page"/>
        </v:shape>
      </w:pict>
    </w:r>
    <w:r w:rsidR="001744BC">
      <w:pict>
        <v:shape id="_x0000_s1026" type="#_x0000_t202" style="position:absolute;margin-left:138pt;margin-top:810.25pt;width:76.4pt;height:11.05pt;z-index:-251870208;mso-position-horizontal-relative:page;mso-position-vertical-relative:page" filled="f" stroked="f">
          <v:textbox inset="0,0,0,0">
            <w:txbxContent>
              <w:p w:rsidR="00341E58" w:rsidRDefault="00341E58">
                <w:pPr>
                  <w:spacing w:before="20"/>
                  <w:ind w:left="20"/>
                  <w:rPr>
                    <w:rFonts w:ascii="Garamond"/>
                    <w:sz w:val="16"/>
                  </w:rPr>
                </w:pPr>
                <w:r>
                  <w:rPr>
                    <w:rFonts w:ascii="Garamond"/>
                    <w:sz w:val="16"/>
                  </w:rPr>
                  <w:t>01-03-02-04-00-01-1100</w:t>
                </w:r>
              </w:p>
            </w:txbxContent>
          </v:textbox>
          <w10:wrap anchorx="page" anchory="page"/>
        </v:shape>
      </w:pict>
    </w:r>
    <w:r w:rsidR="001744BC">
      <w:pict>
        <v:shape id="_x0000_s1025" type="#_x0000_t202" style="position:absolute;margin-left:466.85pt;margin-top:811.5pt;width:46pt;height:10.9pt;z-index:-251869184;mso-position-horizontal-relative:page;mso-position-vertical-relative:page" filled="f" stroked="f">
          <v:textbox inset="0,0,0,0">
            <w:txbxContent>
              <w:p w:rsidR="00341E58" w:rsidRDefault="00341E58">
                <w:pPr>
                  <w:spacing w:before="13"/>
                  <w:ind w:left="20"/>
                  <w:rPr>
                    <w:sz w:val="16"/>
                  </w:rPr>
                </w:pPr>
                <w:r>
                  <w:rPr>
                    <w:sz w:val="16"/>
                  </w:rPr>
                  <w:t>02000180907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E58" w:rsidRDefault="00341E58" w:rsidP="002969CB">
      <w:r>
        <w:separator/>
      </w:r>
    </w:p>
  </w:footnote>
  <w:footnote w:type="continuationSeparator" w:id="0">
    <w:p w:rsidR="00341E58" w:rsidRDefault="00341E58" w:rsidP="002969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B4C"/>
    <w:multiLevelType w:val="hybridMultilevel"/>
    <w:tmpl w:val="8528EDA8"/>
    <w:lvl w:ilvl="0" w:tplc="0D34D496">
      <w:start w:val="1"/>
      <w:numFmt w:val="decimal"/>
      <w:lvlText w:val="%1."/>
      <w:lvlJc w:val="left"/>
      <w:pPr>
        <w:ind w:left="1369" w:hanging="720"/>
        <w:jc w:val="left"/>
      </w:pPr>
      <w:rPr>
        <w:rFonts w:hint="default"/>
        <w:spacing w:val="-28"/>
        <w:w w:val="100"/>
        <w:position w:val="1"/>
        <w:lang w:val="cs-CZ" w:eastAsia="cs-CZ" w:bidi="cs-CZ"/>
      </w:rPr>
    </w:lvl>
    <w:lvl w:ilvl="1" w:tplc="3B72E408">
      <w:numFmt w:val="bullet"/>
      <w:lvlText w:val="•"/>
      <w:lvlJc w:val="left"/>
      <w:pPr>
        <w:ind w:left="2265" w:hanging="720"/>
      </w:pPr>
      <w:rPr>
        <w:rFonts w:hint="default"/>
        <w:lang w:val="cs-CZ" w:eastAsia="cs-CZ" w:bidi="cs-CZ"/>
      </w:rPr>
    </w:lvl>
    <w:lvl w:ilvl="2" w:tplc="9522A47C">
      <w:numFmt w:val="bullet"/>
      <w:lvlText w:val="•"/>
      <w:lvlJc w:val="left"/>
      <w:pPr>
        <w:ind w:left="3170" w:hanging="720"/>
      </w:pPr>
      <w:rPr>
        <w:rFonts w:hint="default"/>
        <w:lang w:val="cs-CZ" w:eastAsia="cs-CZ" w:bidi="cs-CZ"/>
      </w:rPr>
    </w:lvl>
    <w:lvl w:ilvl="3" w:tplc="9DECCE46">
      <w:numFmt w:val="bullet"/>
      <w:lvlText w:val="•"/>
      <w:lvlJc w:val="left"/>
      <w:pPr>
        <w:ind w:left="4075" w:hanging="720"/>
      </w:pPr>
      <w:rPr>
        <w:rFonts w:hint="default"/>
        <w:lang w:val="cs-CZ" w:eastAsia="cs-CZ" w:bidi="cs-CZ"/>
      </w:rPr>
    </w:lvl>
    <w:lvl w:ilvl="4" w:tplc="E9AC1C76">
      <w:numFmt w:val="bullet"/>
      <w:lvlText w:val="•"/>
      <w:lvlJc w:val="left"/>
      <w:pPr>
        <w:ind w:left="4980" w:hanging="720"/>
      </w:pPr>
      <w:rPr>
        <w:rFonts w:hint="default"/>
        <w:lang w:val="cs-CZ" w:eastAsia="cs-CZ" w:bidi="cs-CZ"/>
      </w:rPr>
    </w:lvl>
    <w:lvl w:ilvl="5" w:tplc="40F0C01C">
      <w:numFmt w:val="bullet"/>
      <w:lvlText w:val="•"/>
      <w:lvlJc w:val="left"/>
      <w:pPr>
        <w:ind w:left="5885" w:hanging="720"/>
      </w:pPr>
      <w:rPr>
        <w:rFonts w:hint="default"/>
        <w:lang w:val="cs-CZ" w:eastAsia="cs-CZ" w:bidi="cs-CZ"/>
      </w:rPr>
    </w:lvl>
    <w:lvl w:ilvl="6" w:tplc="A5F681D2">
      <w:numFmt w:val="bullet"/>
      <w:lvlText w:val="•"/>
      <w:lvlJc w:val="left"/>
      <w:pPr>
        <w:ind w:left="6790" w:hanging="720"/>
      </w:pPr>
      <w:rPr>
        <w:rFonts w:hint="default"/>
        <w:lang w:val="cs-CZ" w:eastAsia="cs-CZ" w:bidi="cs-CZ"/>
      </w:rPr>
    </w:lvl>
    <w:lvl w:ilvl="7" w:tplc="E9C4C214">
      <w:numFmt w:val="bullet"/>
      <w:lvlText w:val="•"/>
      <w:lvlJc w:val="left"/>
      <w:pPr>
        <w:ind w:left="7695" w:hanging="720"/>
      </w:pPr>
      <w:rPr>
        <w:rFonts w:hint="default"/>
        <w:lang w:val="cs-CZ" w:eastAsia="cs-CZ" w:bidi="cs-CZ"/>
      </w:rPr>
    </w:lvl>
    <w:lvl w:ilvl="8" w:tplc="2522E714">
      <w:numFmt w:val="bullet"/>
      <w:lvlText w:val="•"/>
      <w:lvlJc w:val="left"/>
      <w:pPr>
        <w:ind w:left="8600" w:hanging="720"/>
      </w:pPr>
      <w:rPr>
        <w:rFonts w:hint="default"/>
        <w:lang w:val="cs-CZ" w:eastAsia="cs-CZ" w:bidi="cs-CZ"/>
      </w:rPr>
    </w:lvl>
  </w:abstractNum>
  <w:abstractNum w:abstractNumId="1" w15:restartNumberingAfterBreak="0">
    <w:nsid w:val="34001DD3"/>
    <w:multiLevelType w:val="hybridMultilevel"/>
    <w:tmpl w:val="A3F2E39E"/>
    <w:lvl w:ilvl="0" w:tplc="E5429F0E">
      <w:start w:val="1"/>
      <w:numFmt w:val="decimal"/>
      <w:lvlText w:val="%1."/>
      <w:lvlJc w:val="left"/>
      <w:pPr>
        <w:ind w:left="1382" w:hanging="681"/>
        <w:jc w:val="left"/>
      </w:pPr>
      <w:rPr>
        <w:rFonts w:ascii="Times New Roman" w:eastAsia="Times New Roman" w:hAnsi="Times New Roman" w:cs="Times New Roman" w:hint="default"/>
        <w:spacing w:val="-17"/>
        <w:w w:val="100"/>
        <w:sz w:val="22"/>
        <w:szCs w:val="22"/>
        <w:lang w:val="cs-CZ" w:eastAsia="cs-CZ" w:bidi="cs-CZ"/>
      </w:rPr>
    </w:lvl>
    <w:lvl w:ilvl="1" w:tplc="778A7458">
      <w:numFmt w:val="bullet"/>
      <w:lvlText w:val="•"/>
      <w:lvlJc w:val="left"/>
      <w:pPr>
        <w:ind w:left="2283" w:hanging="681"/>
      </w:pPr>
      <w:rPr>
        <w:rFonts w:hint="default"/>
        <w:lang w:val="cs-CZ" w:eastAsia="cs-CZ" w:bidi="cs-CZ"/>
      </w:rPr>
    </w:lvl>
    <w:lvl w:ilvl="2" w:tplc="F278AD2A">
      <w:numFmt w:val="bullet"/>
      <w:lvlText w:val="•"/>
      <w:lvlJc w:val="left"/>
      <w:pPr>
        <w:ind w:left="3186" w:hanging="681"/>
      </w:pPr>
      <w:rPr>
        <w:rFonts w:hint="default"/>
        <w:lang w:val="cs-CZ" w:eastAsia="cs-CZ" w:bidi="cs-CZ"/>
      </w:rPr>
    </w:lvl>
    <w:lvl w:ilvl="3" w:tplc="D640E4F4">
      <w:numFmt w:val="bullet"/>
      <w:lvlText w:val="•"/>
      <w:lvlJc w:val="left"/>
      <w:pPr>
        <w:ind w:left="4089" w:hanging="681"/>
      </w:pPr>
      <w:rPr>
        <w:rFonts w:hint="default"/>
        <w:lang w:val="cs-CZ" w:eastAsia="cs-CZ" w:bidi="cs-CZ"/>
      </w:rPr>
    </w:lvl>
    <w:lvl w:ilvl="4" w:tplc="FBAA349C">
      <w:numFmt w:val="bullet"/>
      <w:lvlText w:val="•"/>
      <w:lvlJc w:val="left"/>
      <w:pPr>
        <w:ind w:left="4992" w:hanging="681"/>
      </w:pPr>
      <w:rPr>
        <w:rFonts w:hint="default"/>
        <w:lang w:val="cs-CZ" w:eastAsia="cs-CZ" w:bidi="cs-CZ"/>
      </w:rPr>
    </w:lvl>
    <w:lvl w:ilvl="5" w:tplc="C66EE412">
      <w:numFmt w:val="bullet"/>
      <w:lvlText w:val="•"/>
      <w:lvlJc w:val="left"/>
      <w:pPr>
        <w:ind w:left="5895" w:hanging="681"/>
      </w:pPr>
      <w:rPr>
        <w:rFonts w:hint="default"/>
        <w:lang w:val="cs-CZ" w:eastAsia="cs-CZ" w:bidi="cs-CZ"/>
      </w:rPr>
    </w:lvl>
    <w:lvl w:ilvl="6" w:tplc="331C2B62">
      <w:numFmt w:val="bullet"/>
      <w:lvlText w:val="•"/>
      <w:lvlJc w:val="left"/>
      <w:pPr>
        <w:ind w:left="6798" w:hanging="681"/>
      </w:pPr>
      <w:rPr>
        <w:rFonts w:hint="default"/>
        <w:lang w:val="cs-CZ" w:eastAsia="cs-CZ" w:bidi="cs-CZ"/>
      </w:rPr>
    </w:lvl>
    <w:lvl w:ilvl="7" w:tplc="D2CA2914">
      <w:numFmt w:val="bullet"/>
      <w:lvlText w:val="•"/>
      <w:lvlJc w:val="left"/>
      <w:pPr>
        <w:ind w:left="7701" w:hanging="681"/>
      </w:pPr>
      <w:rPr>
        <w:rFonts w:hint="default"/>
        <w:lang w:val="cs-CZ" w:eastAsia="cs-CZ" w:bidi="cs-CZ"/>
      </w:rPr>
    </w:lvl>
    <w:lvl w:ilvl="8" w:tplc="6144F2CA">
      <w:numFmt w:val="bullet"/>
      <w:lvlText w:val="•"/>
      <w:lvlJc w:val="left"/>
      <w:pPr>
        <w:ind w:left="8604" w:hanging="681"/>
      </w:pPr>
      <w:rPr>
        <w:rFonts w:hint="default"/>
        <w:lang w:val="cs-CZ" w:eastAsia="cs-CZ" w:bidi="cs-CZ"/>
      </w:rPr>
    </w:lvl>
  </w:abstractNum>
  <w:abstractNum w:abstractNumId="2" w15:restartNumberingAfterBreak="0">
    <w:nsid w:val="387F230B"/>
    <w:multiLevelType w:val="hybridMultilevel"/>
    <w:tmpl w:val="41C0C4A2"/>
    <w:lvl w:ilvl="0" w:tplc="EC646EC4">
      <w:start w:val="1"/>
      <w:numFmt w:val="decimal"/>
      <w:lvlText w:val="%1."/>
      <w:lvlJc w:val="left"/>
      <w:pPr>
        <w:ind w:left="1070" w:hanging="430"/>
        <w:jc w:val="left"/>
      </w:pPr>
      <w:rPr>
        <w:rFonts w:ascii="Garamond" w:eastAsia="Garamond" w:hAnsi="Garamond" w:cs="Garamond" w:hint="default"/>
        <w:b/>
        <w:bCs/>
        <w:spacing w:val="-7"/>
        <w:w w:val="100"/>
        <w:sz w:val="24"/>
        <w:szCs w:val="24"/>
        <w:lang w:val="cs-CZ" w:eastAsia="cs-CZ" w:bidi="cs-CZ"/>
      </w:rPr>
    </w:lvl>
    <w:lvl w:ilvl="1" w:tplc="F322E074">
      <w:numFmt w:val="bullet"/>
      <w:lvlText w:val="•"/>
      <w:lvlJc w:val="left"/>
      <w:pPr>
        <w:ind w:left="2013" w:hanging="430"/>
      </w:pPr>
      <w:rPr>
        <w:rFonts w:hint="default"/>
        <w:lang w:val="cs-CZ" w:eastAsia="cs-CZ" w:bidi="cs-CZ"/>
      </w:rPr>
    </w:lvl>
    <w:lvl w:ilvl="2" w:tplc="40F67D78">
      <w:numFmt w:val="bullet"/>
      <w:lvlText w:val="•"/>
      <w:lvlJc w:val="left"/>
      <w:pPr>
        <w:ind w:left="2946" w:hanging="430"/>
      </w:pPr>
      <w:rPr>
        <w:rFonts w:hint="default"/>
        <w:lang w:val="cs-CZ" w:eastAsia="cs-CZ" w:bidi="cs-CZ"/>
      </w:rPr>
    </w:lvl>
    <w:lvl w:ilvl="3" w:tplc="EF60CC68">
      <w:numFmt w:val="bullet"/>
      <w:lvlText w:val="•"/>
      <w:lvlJc w:val="left"/>
      <w:pPr>
        <w:ind w:left="3879" w:hanging="430"/>
      </w:pPr>
      <w:rPr>
        <w:rFonts w:hint="default"/>
        <w:lang w:val="cs-CZ" w:eastAsia="cs-CZ" w:bidi="cs-CZ"/>
      </w:rPr>
    </w:lvl>
    <w:lvl w:ilvl="4" w:tplc="5B5C72A6">
      <w:numFmt w:val="bullet"/>
      <w:lvlText w:val="•"/>
      <w:lvlJc w:val="left"/>
      <w:pPr>
        <w:ind w:left="4812" w:hanging="430"/>
      </w:pPr>
      <w:rPr>
        <w:rFonts w:hint="default"/>
        <w:lang w:val="cs-CZ" w:eastAsia="cs-CZ" w:bidi="cs-CZ"/>
      </w:rPr>
    </w:lvl>
    <w:lvl w:ilvl="5" w:tplc="DA70AC08">
      <w:numFmt w:val="bullet"/>
      <w:lvlText w:val="•"/>
      <w:lvlJc w:val="left"/>
      <w:pPr>
        <w:ind w:left="5745" w:hanging="430"/>
      </w:pPr>
      <w:rPr>
        <w:rFonts w:hint="default"/>
        <w:lang w:val="cs-CZ" w:eastAsia="cs-CZ" w:bidi="cs-CZ"/>
      </w:rPr>
    </w:lvl>
    <w:lvl w:ilvl="6" w:tplc="2F74D0A4">
      <w:numFmt w:val="bullet"/>
      <w:lvlText w:val="•"/>
      <w:lvlJc w:val="left"/>
      <w:pPr>
        <w:ind w:left="6678" w:hanging="430"/>
      </w:pPr>
      <w:rPr>
        <w:rFonts w:hint="default"/>
        <w:lang w:val="cs-CZ" w:eastAsia="cs-CZ" w:bidi="cs-CZ"/>
      </w:rPr>
    </w:lvl>
    <w:lvl w:ilvl="7" w:tplc="E0DACFCA">
      <w:numFmt w:val="bullet"/>
      <w:lvlText w:val="•"/>
      <w:lvlJc w:val="left"/>
      <w:pPr>
        <w:ind w:left="7611" w:hanging="430"/>
      </w:pPr>
      <w:rPr>
        <w:rFonts w:hint="default"/>
        <w:lang w:val="cs-CZ" w:eastAsia="cs-CZ" w:bidi="cs-CZ"/>
      </w:rPr>
    </w:lvl>
    <w:lvl w:ilvl="8" w:tplc="FA264860">
      <w:numFmt w:val="bullet"/>
      <w:lvlText w:val="•"/>
      <w:lvlJc w:val="left"/>
      <w:pPr>
        <w:ind w:left="8544" w:hanging="430"/>
      </w:pPr>
      <w:rPr>
        <w:rFonts w:hint="default"/>
        <w:lang w:val="cs-CZ" w:eastAsia="cs-CZ" w:bidi="cs-CZ"/>
      </w:rPr>
    </w:lvl>
  </w:abstractNum>
  <w:abstractNum w:abstractNumId="3" w15:restartNumberingAfterBreak="0">
    <w:nsid w:val="46864370"/>
    <w:multiLevelType w:val="hybridMultilevel"/>
    <w:tmpl w:val="C0AAD0CC"/>
    <w:lvl w:ilvl="0" w:tplc="A156DEAE">
      <w:start w:val="1"/>
      <w:numFmt w:val="decimal"/>
      <w:lvlText w:val="%1."/>
      <w:lvlJc w:val="left"/>
      <w:pPr>
        <w:ind w:left="944" w:hanging="837"/>
        <w:jc w:val="right"/>
      </w:pPr>
      <w:rPr>
        <w:rFonts w:ascii="Times New Roman" w:eastAsia="Times New Roman" w:hAnsi="Times New Roman" w:cs="Times New Roman" w:hint="default"/>
        <w:spacing w:val="-16"/>
        <w:w w:val="100"/>
        <w:position w:val="2"/>
        <w:sz w:val="22"/>
        <w:szCs w:val="22"/>
        <w:lang w:val="cs-CZ" w:eastAsia="cs-CZ" w:bidi="cs-CZ"/>
      </w:rPr>
    </w:lvl>
    <w:lvl w:ilvl="1" w:tplc="35D81B6C">
      <w:numFmt w:val="bullet"/>
      <w:lvlText w:val="•"/>
      <w:lvlJc w:val="left"/>
      <w:pPr>
        <w:ind w:left="1887" w:hanging="837"/>
      </w:pPr>
      <w:rPr>
        <w:rFonts w:hint="default"/>
        <w:lang w:val="cs-CZ" w:eastAsia="cs-CZ" w:bidi="cs-CZ"/>
      </w:rPr>
    </w:lvl>
    <w:lvl w:ilvl="2" w:tplc="6E5643D0">
      <w:numFmt w:val="bullet"/>
      <w:lvlText w:val="•"/>
      <w:lvlJc w:val="left"/>
      <w:pPr>
        <w:ind w:left="2834" w:hanging="837"/>
      </w:pPr>
      <w:rPr>
        <w:rFonts w:hint="default"/>
        <w:lang w:val="cs-CZ" w:eastAsia="cs-CZ" w:bidi="cs-CZ"/>
      </w:rPr>
    </w:lvl>
    <w:lvl w:ilvl="3" w:tplc="F398CAC4">
      <w:numFmt w:val="bullet"/>
      <w:lvlText w:val="•"/>
      <w:lvlJc w:val="left"/>
      <w:pPr>
        <w:ind w:left="3781" w:hanging="837"/>
      </w:pPr>
      <w:rPr>
        <w:rFonts w:hint="default"/>
        <w:lang w:val="cs-CZ" w:eastAsia="cs-CZ" w:bidi="cs-CZ"/>
      </w:rPr>
    </w:lvl>
    <w:lvl w:ilvl="4" w:tplc="598E0C30">
      <w:numFmt w:val="bullet"/>
      <w:lvlText w:val="•"/>
      <w:lvlJc w:val="left"/>
      <w:pPr>
        <w:ind w:left="4728" w:hanging="837"/>
      </w:pPr>
      <w:rPr>
        <w:rFonts w:hint="default"/>
        <w:lang w:val="cs-CZ" w:eastAsia="cs-CZ" w:bidi="cs-CZ"/>
      </w:rPr>
    </w:lvl>
    <w:lvl w:ilvl="5" w:tplc="F9689CFA">
      <w:numFmt w:val="bullet"/>
      <w:lvlText w:val="•"/>
      <w:lvlJc w:val="left"/>
      <w:pPr>
        <w:ind w:left="5675" w:hanging="837"/>
      </w:pPr>
      <w:rPr>
        <w:rFonts w:hint="default"/>
        <w:lang w:val="cs-CZ" w:eastAsia="cs-CZ" w:bidi="cs-CZ"/>
      </w:rPr>
    </w:lvl>
    <w:lvl w:ilvl="6" w:tplc="A9BAF844">
      <w:numFmt w:val="bullet"/>
      <w:lvlText w:val="•"/>
      <w:lvlJc w:val="left"/>
      <w:pPr>
        <w:ind w:left="6622" w:hanging="837"/>
      </w:pPr>
      <w:rPr>
        <w:rFonts w:hint="default"/>
        <w:lang w:val="cs-CZ" w:eastAsia="cs-CZ" w:bidi="cs-CZ"/>
      </w:rPr>
    </w:lvl>
    <w:lvl w:ilvl="7" w:tplc="0A445582">
      <w:numFmt w:val="bullet"/>
      <w:lvlText w:val="•"/>
      <w:lvlJc w:val="left"/>
      <w:pPr>
        <w:ind w:left="7569" w:hanging="837"/>
      </w:pPr>
      <w:rPr>
        <w:rFonts w:hint="default"/>
        <w:lang w:val="cs-CZ" w:eastAsia="cs-CZ" w:bidi="cs-CZ"/>
      </w:rPr>
    </w:lvl>
    <w:lvl w:ilvl="8" w:tplc="D700C3DC">
      <w:numFmt w:val="bullet"/>
      <w:lvlText w:val="•"/>
      <w:lvlJc w:val="left"/>
      <w:pPr>
        <w:ind w:left="8516" w:hanging="837"/>
      </w:pPr>
      <w:rPr>
        <w:rFonts w:hint="default"/>
        <w:lang w:val="cs-CZ" w:eastAsia="cs-CZ" w:bidi="cs-CZ"/>
      </w:rPr>
    </w:lvl>
  </w:abstractNum>
  <w:abstractNum w:abstractNumId="4" w15:restartNumberingAfterBreak="0">
    <w:nsid w:val="4C546B9F"/>
    <w:multiLevelType w:val="hybridMultilevel"/>
    <w:tmpl w:val="040A398A"/>
    <w:lvl w:ilvl="0" w:tplc="CF4E761A">
      <w:start w:val="1"/>
      <w:numFmt w:val="decimal"/>
      <w:lvlText w:val="%1."/>
      <w:lvlJc w:val="left"/>
      <w:pPr>
        <w:ind w:left="1363" w:hanging="720"/>
        <w:jc w:val="left"/>
      </w:pPr>
      <w:rPr>
        <w:rFonts w:ascii="Garamond" w:eastAsia="Garamond" w:hAnsi="Garamond" w:cs="Garamond" w:hint="default"/>
        <w:spacing w:val="-3"/>
        <w:w w:val="100"/>
        <w:sz w:val="24"/>
        <w:szCs w:val="24"/>
        <w:lang w:val="cs-CZ" w:eastAsia="cs-CZ" w:bidi="cs-CZ"/>
      </w:rPr>
    </w:lvl>
    <w:lvl w:ilvl="1" w:tplc="503437F6">
      <w:numFmt w:val="bullet"/>
      <w:lvlText w:val="•"/>
      <w:lvlJc w:val="left"/>
      <w:pPr>
        <w:ind w:left="2265" w:hanging="720"/>
      </w:pPr>
      <w:rPr>
        <w:rFonts w:hint="default"/>
        <w:lang w:val="cs-CZ" w:eastAsia="cs-CZ" w:bidi="cs-CZ"/>
      </w:rPr>
    </w:lvl>
    <w:lvl w:ilvl="2" w:tplc="5AE2266C">
      <w:numFmt w:val="bullet"/>
      <w:lvlText w:val="•"/>
      <w:lvlJc w:val="left"/>
      <w:pPr>
        <w:ind w:left="3170" w:hanging="720"/>
      </w:pPr>
      <w:rPr>
        <w:rFonts w:hint="default"/>
        <w:lang w:val="cs-CZ" w:eastAsia="cs-CZ" w:bidi="cs-CZ"/>
      </w:rPr>
    </w:lvl>
    <w:lvl w:ilvl="3" w:tplc="459AB886">
      <w:numFmt w:val="bullet"/>
      <w:lvlText w:val="•"/>
      <w:lvlJc w:val="left"/>
      <w:pPr>
        <w:ind w:left="4075" w:hanging="720"/>
      </w:pPr>
      <w:rPr>
        <w:rFonts w:hint="default"/>
        <w:lang w:val="cs-CZ" w:eastAsia="cs-CZ" w:bidi="cs-CZ"/>
      </w:rPr>
    </w:lvl>
    <w:lvl w:ilvl="4" w:tplc="A00C8CC8">
      <w:numFmt w:val="bullet"/>
      <w:lvlText w:val="•"/>
      <w:lvlJc w:val="left"/>
      <w:pPr>
        <w:ind w:left="4980" w:hanging="720"/>
      </w:pPr>
      <w:rPr>
        <w:rFonts w:hint="default"/>
        <w:lang w:val="cs-CZ" w:eastAsia="cs-CZ" w:bidi="cs-CZ"/>
      </w:rPr>
    </w:lvl>
    <w:lvl w:ilvl="5" w:tplc="4CE690FA">
      <w:numFmt w:val="bullet"/>
      <w:lvlText w:val="•"/>
      <w:lvlJc w:val="left"/>
      <w:pPr>
        <w:ind w:left="5885" w:hanging="720"/>
      </w:pPr>
      <w:rPr>
        <w:rFonts w:hint="default"/>
        <w:lang w:val="cs-CZ" w:eastAsia="cs-CZ" w:bidi="cs-CZ"/>
      </w:rPr>
    </w:lvl>
    <w:lvl w:ilvl="6" w:tplc="3516DEF2">
      <w:numFmt w:val="bullet"/>
      <w:lvlText w:val="•"/>
      <w:lvlJc w:val="left"/>
      <w:pPr>
        <w:ind w:left="6790" w:hanging="720"/>
      </w:pPr>
      <w:rPr>
        <w:rFonts w:hint="default"/>
        <w:lang w:val="cs-CZ" w:eastAsia="cs-CZ" w:bidi="cs-CZ"/>
      </w:rPr>
    </w:lvl>
    <w:lvl w:ilvl="7" w:tplc="9760CA9E">
      <w:numFmt w:val="bullet"/>
      <w:lvlText w:val="•"/>
      <w:lvlJc w:val="left"/>
      <w:pPr>
        <w:ind w:left="7695" w:hanging="720"/>
      </w:pPr>
      <w:rPr>
        <w:rFonts w:hint="default"/>
        <w:lang w:val="cs-CZ" w:eastAsia="cs-CZ" w:bidi="cs-CZ"/>
      </w:rPr>
    </w:lvl>
    <w:lvl w:ilvl="8" w:tplc="B17C5CDA">
      <w:numFmt w:val="bullet"/>
      <w:lvlText w:val="•"/>
      <w:lvlJc w:val="left"/>
      <w:pPr>
        <w:ind w:left="8600" w:hanging="720"/>
      </w:pPr>
      <w:rPr>
        <w:rFonts w:hint="default"/>
        <w:lang w:val="cs-CZ" w:eastAsia="cs-CZ" w:bidi="cs-CZ"/>
      </w:rPr>
    </w:lvl>
  </w:abstractNum>
  <w:abstractNum w:abstractNumId="5" w15:restartNumberingAfterBreak="0">
    <w:nsid w:val="4C6E6359"/>
    <w:multiLevelType w:val="hybridMultilevel"/>
    <w:tmpl w:val="1C70733E"/>
    <w:lvl w:ilvl="0" w:tplc="9D567336">
      <w:start w:val="1"/>
      <w:numFmt w:val="decimal"/>
      <w:lvlText w:val="%1."/>
      <w:lvlJc w:val="left"/>
      <w:pPr>
        <w:ind w:left="1351" w:hanging="708"/>
        <w:jc w:val="left"/>
      </w:pPr>
      <w:rPr>
        <w:rFonts w:ascii="Times New Roman" w:eastAsia="Times New Roman" w:hAnsi="Times New Roman" w:cs="Times New Roman" w:hint="default"/>
        <w:w w:val="100"/>
        <w:sz w:val="22"/>
        <w:szCs w:val="22"/>
        <w:lang w:val="cs-CZ" w:eastAsia="cs-CZ" w:bidi="cs-CZ"/>
      </w:rPr>
    </w:lvl>
    <w:lvl w:ilvl="1" w:tplc="501A51DC">
      <w:numFmt w:val="bullet"/>
      <w:lvlText w:val="•"/>
      <w:lvlJc w:val="left"/>
      <w:pPr>
        <w:ind w:left="2265" w:hanging="708"/>
      </w:pPr>
      <w:rPr>
        <w:rFonts w:hint="default"/>
        <w:lang w:val="cs-CZ" w:eastAsia="cs-CZ" w:bidi="cs-CZ"/>
      </w:rPr>
    </w:lvl>
    <w:lvl w:ilvl="2" w:tplc="EE4C6C6C">
      <w:numFmt w:val="bullet"/>
      <w:lvlText w:val="•"/>
      <w:lvlJc w:val="left"/>
      <w:pPr>
        <w:ind w:left="3170" w:hanging="708"/>
      </w:pPr>
      <w:rPr>
        <w:rFonts w:hint="default"/>
        <w:lang w:val="cs-CZ" w:eastAsia="cs-CZ" w:bidi="cs-CZ"/>
      </w:rPr>
    </w:lvl>
    <w:lvl w:ilvl="3" w:tplc="C916C6F4">
      <w:numFmt w:val="bullet"/>
      <w:lvlText w:val="•"/>
      <w:lvlJc w:val="left"/>
      <w:pPr>
        <w:ind w:left="4075" w:hanging="708"/>
      </w:pPr>
      <w:rPr>
        <w:rFonts w:hint="default"/>
        <w:lang w:val="cs-CZ" w:eastAsia="cs-CZ" w:bidi="cs-CZ"/>
      </w:rPr>
    </w:lvl>
    <w:lvl w:ilvl="4" w:tplc="1966C8EA">
      <w:numFmt w:val="bullet"/>
      <w:lvlText w:val="•"/>
      <w:lvlJc w:val="left"/>
      <w:pPr>
        <w:ind w:left="4980" w:hanging="708"/>
      </w:pPr>
      <w:rPr>
        <w:rFonts w:hint="default"/>
        <w:lang w:val="cs-CZ" w:eastAsia="cs-CZ" w:bidi="cs-CZ"/>
      </w:rPr>
    </w:lvl>
    <w:lvl w:ilvl="5" w:tplc="5E86B0D8">
      <w:numFmt w:val="bullet"/>
      <w:lvlText w:val="•"/>
      <w:lvlJc w:val="left"/>
      <w:pPr>
        <w:ind w:left="5885" w:hanging="708"/>
      </w:pPr>
      <w:rPr>
        <w:rFonts w:hint="default"/>
        <w:lang w:val="cs-CZ" w:eastAsia="cs-CZ" w:bidi="cs-CZ"/>
      </w:rPr>
    </w:lvl>
    <w:lvl w:ilvl="6" w:tplc="E4A656F2">
      <w:numFmt w:val="bullet"/>
      <w:lvlText w:val="•"/>
      <w:lvlJc w:val="left"/>
      <w:pPr>
        <w:ind w:left="6790" w:hanging="708"/>
      </w:pPr>
      <w:rPr>
        <w:rFonts w:hint="default"/>
        <w:lang w:val="cs-CZ" w:eastAsia="cs-CZ" w:bidi="cs-CZ"/>
      </w:rPr>
    </w:lvl>
    <w:lvl w:ilvl="7" w:tplc="0EC4C10A">
      <w:numFmt w:val="bullet"/>
      <w:lvlText w:val="•"/>
      <w:lvlJc w:val="left"/>
      <w:pPr>
        <w:ind w:left="7695" w:hanging="708"/>
      </w:pPr>
      <w:rPr>
        <w:rFonts w:hint="default"/>
        <w:lang w:val="cs-CZ" w:eastAsia="cs-CZ" w:bidi="cs-CZ"/>
      </w:rPr>
    </w:lvl>
    <w:lvl w:ilvl="8" w:tplc="52FE40FC">
      <w:numFmt w:val="bullet"/>
      <w:lvlText w:val="•"/>
      <w:lvlJc w:val="left"/>
      <w:pPr>
        <w:ind w:left="8600" w:hanging="708"/>
      </w:pPr>
      <w:rPr>
        <w:rFonts w:hint="default"/>
        <w:lang w:val="cs-CZ" w:eastAsia="cs-CZ" w:bidi="cs-CZ"/>
      </w:rPr>
    </w:lvl>
  </w:abstractNum>
  <w:abstractNum w:abstractNumId="6" w15:restartNumberingAfterBreak="0">
    <w:nsid w:val="5B271E4D"/>
    <w:multiLevelType w:val="hybridMultilevel"/>
    <w:tmpl w:val="2D4878B2"/>
    <w:lvl w:ilvl="0" w:tplc="C1624560">
      <w:start w:val="1"/>
      <w:numFmt w:val="decimal"/>
      <w:lvlText w:val="%1."/>
      <w:lvlJc w:val="left"/>
      <w:pPr>
        <w:ind w:left="1369" w:hanging="681"/>
        <w:jc w:val="left"/>
      </w:pPr>
      <w:rPr>
        <w:rFonts w:ascii="Times New Roman" w:eastAsia="Times New Roman" w:hAnsi="Times New Roman" w:cs="Times New Roman" w:hint="default"/>
        <w:spacing w:val="-29"/>
        <w:w w:val="100"/>
        <w:position w:val="1"/>
        <w:sz w:val="22"/>
        <w:szCs w:val="22"/>
        <w:lang w:val="cs-CZ" w:eastAsia="cs-CZ" w:bidi="cs-CZ"/>
      </w:rPr>
    </w:lvl>
    <w:lvl w:ilvl="1" w:tplc="E0EC78C2">
      <w:numFmt w:val="bullet"/>
      <w:lvlText w:val="•"/>
      <w:lvlJc w:val="left"/>
      <w:pPr>
        <w:ind w:left="2265" w:hanging="681"/>
      </w:pPr>
      <w:rPr>
        <w:rFonts w:hint="default"/>
        <w:lang w:val="cs-CZ" w:eastAsia="cs-CZ" w:bidi="cs-CZ"/>
      </w:rPr>
    </w:lvl>
    <w:lvl w:ilvl="2" w:tplc="460A702C">
      <w:numFmt w:val="bullet"/>
      <w:lvlText w:val="•"/>
      <w:lvlJc w:val="left"/>
      <w:pPr>
        <w:ind w:left="3170" w:hanging="681"/>
      </w:pPr>
      <w:rPr>
        <w:rFonts w:hint="default"/>
        <w:lang w:val="cs-CZ" w:eastAsia="cs-CZ" w:bidi="cs-CZ"/>
      </w:rPr>
    </w:lvl>
    <w:lvl w:ilvl="3" w:tplc="AF585850">
      <w:numFmt w:val="bullet"/>
      <w:lvlText w:val="•"/>
      <w:lvlJc w:val="left"/>
      <w:pPr>
        <w:ind w:left="4075" w:hanging="681"/>
      </w:pPr>
      <w:rPr>
        <w:rFonts w:hint="default"/>
        <w:lang w:val="cs-CZ" w:eastAsia="cs-CZ" w:bidi="cs-CZ"/>
      </w:rPr>
    </w:lvl>
    <w:lvl w:ilvl="4" w:tplc="7D3CD8F0">
      <w:numFmt w:val="bullet"/>
      <w:lvlText w:val="•"/>
      <w:lvlJc w:val="left"/>
      <w:pPr>
        <w:ind w:left="4980" w:hanging="681"/>
      </w:pPr>
      <w:rPr>
        <w:rFonts w:hint="default"/>
        <w:lang w:val="cs-CZ" w:eastAsia="cs-CZ" w:bidi="cs-CZ"/>
      </w:rPr>
    </w:lvl>
    <w:lvl w:ilvl="5" w:tplc="131A153C">
      <w:numFmt w:val="bullet"/>
      <w:lvlText w:val="•"/>
      <w:lvlJc w:val="left"/>
      <w:pPr>
        <w:ind w:left="5885" w:hanging="681"/>
      </w:pPr>
      <w:rPr>
        <w:rFonts w:hint="default"/>
        <w:lang w:val="cs-CZ" w:eastAsia="cs-CZ" w:bidi="cs-CZ"/>
      </w:rPr>
    </w:lvl>
    <w:lvl w:ilvl="6" w:tplc="DCC2C2E4">
      <w:numFmt w:val="bullet"/>
      <w:lvlText w:val="•"/>
      <w:lvlJc w:val="left"/>
      <w:pPr>
        <w:ind w:left="6790" w:hanging="681"/>
      </w:pPr>
      <w:rPr>
        <w:rFonts w:hint="default"/>
        <w:lang w:val="cs-CZ" w:eastAsia="cs-CZ" w:bidi="cs-CZ"/>
      </w:rPr>
    </w:lvl>
    <w:lvl w:ilvl="7" w:tplc="5C34A48E">
      <w:numFmt w:val="bullet"/>
      <w:lvlText w:val="•"/>
      <w:lvlJc w:val="left"/>
      <w:pPr>
        <w:ind w:left="7695" w:hanging="681"/>
      </w:pPr>
      <w:rPr>
        <w:rFonts w:hint="default"/>
        <w:lang w:val="cs-CZ" w:eastAsia="cs-CZ" w:bidi="cs-CZ"/>
      </w:rPr>
    </w:lvl>
    <w:lvl w:ilvl="8" w:tplc="8A00CB5E">
      <w:numFmt w:val="bullet"/>
      <w:lvlText w:val="•"/>
      <w:lvlJc w:val="left"/>
      <w:pPr>
        <w:ind w:left="8600" w:hanging="681"/>
      </w:pPr>
      <w:rPr>
        <w:rFonts w:hint="default"/>
        <w:lang w:val="cs-CZ" w:eastAsia="cs-CZ" w:bidi="cs-CZ"/>
      </w:rPr>
    </w:lvl>
  </w:abstractNum>
  <w:abstractNum w:abstractNumId="7" w15:restartNumberingAfterBreak="0">
    <w:nsid w:val="5BF4765D"/>
    <w:multiLevelType w:val="hybridMultilevel"/>
    <w:tmpl w:val="428C623E"/>
    <w:lvl w:ilvl="0" w:tplc="74262EE6">
      <w:start w:val="1"/>
      <w:numFmt w:val="decimal"/>
      <w:lvlText w:val="%1."/>
      <w:lvlJc w:val="left"/>
      <w:pPr>
        <w:ind w:left="1395" w:hanging="714"/>
        <w:jc w:val="left"/>
      </w:pPr>
      <w:rPr>
        <w:rFonts w:hint="default"/>
        <w:spacing w:val="-21"/>
        <w:w w:val="100"/>
        <w:position w:val="1"/>
        <w:lang w:val="cs-CZ" w:eastAsia="cs-CZ" w:bidi="cs-CZ"/>
      </w:rPr>
    </w:lvl>
    <w:lvl w:ilvl="1" w:tplc="786423AE">
      <w:numFmt w:val="bullet"/>
      <w:lvlText w:val="•"/>
      <w:lvlJc w:val="left"/>
      <w:pPr>
        <w:ind w:left="1780" w:hanging="714"/>
      </w:pPr>
      <w:rPr>
        <w:rFonts w:hint="default"/>
        <w:lang w:val="cs-CZ" w:eastAsia="cs-CZ" w:bidi="cs-CZ"/>
      </w:rPr>
    </w:lvl>
    <w:lvl w:ilvl="2" w:tplc="0EC6460C">
      <w:numFmt w:val="bullet"/>
      <w:lvlText w:val="•"/>
      <w:lvlJc w:val="left"/>
      <w:pPr>
        <w:ind w:left="2739" w:hanging="714"/>
      </w:pPr>
      <w:rPr>
        <w:rFonts w:hint="default"/>
        <w:lang w:val="cs-CZ" w:eastAsia="cs-CZ" w:bidi="cs-CZ"/>
      </w:rPr>
    </w:lvl>
    <w:lvl w:ilvl="3" w:tplc="C9DED13E">
      <w:numFmt w:val="bullet"/>
      <w:lvlText w:val="•"/>
      <w:lvlJc w:val="left"/>
      <w:pPr>
        <w:ind w:left="3698" w:hanging="714"/>
      </w:pPr>
      <w:rPr>
        <w:rFonts w:hint="default"/>
        <w:lang w:val="cs-CZ" w:eastAsia="cs-CZ" w:bidi="cs-CZ"/>
      </w:rPr>
    </w:lvl>
    <w:lvl w:ilvl="4" w:tplc="D646DD0C">
      <w:numFmt w:val="bullet"/>
      <w:lvlText w:val="•"/>
      <w:lvlJc w:val="left"/>
      <w:pPr>
        <w:ind w:left="4657" w:hanging="714"/>
      </w:pPr>
      <w:rPr>
        <w:rFonts w:hint="default"/>
        <w:lang w:val="cs-CZ" w:eastAsia="cs-CZ" w:bidi="cs-CZ"/>
      </w:rPr>
    </w:lvl>
    <w:lvl w:ilvl="5" w:tplc="A0C2CC0E">
      <w:numFmt w:val="bullet"/>
      <w:lvlText w:val="•"/>
      <w:lvlJc w:val="left"/>
      <w:pPr>
        <w:ind w:left="5616" w:hanging="714"/>
      </w:pPr>
      <w:rPr>
        <w:rFonts w:hint="default"/>
        <w:lang w:val="cs-CZ" w:eastAsia="cs-CZ" w:bidi="cs-CZ"/>
      </w:rPr>
    </w:lvl>
    <w:lvl w:ilvl="6" w:tplc="C7E40662">
      <w:numFmt w:val="bullet"/>
      <w:lvlText w:val="•"/>
      <w:lvlJc w:val="left"/>
      <w:pPr>
        <w:ind w:left="6575" w:hanging="714"/>
      </w:pPr>
      <w:rPr>
        <w:rFonts w:hint="default"/>
        <w:lang w:val="cs-CZ" w:eastAsia="cs-CZ" w:bidi="cs-CZ"/>
      </w:rPr>
    </w:lvl>
    <w:lvl w:ilvl="7" w:tplc="2A26793C">
      <w:numFmt w:val="bullet"/>
      <w:lvlText w:val="•"/>
      <w:lvlJc w:val="left"/>
      <w:pPr>
        <w:ind w:left="7534" w:hanging="714"/>
      </w:pPr>
      <w:rPr>
        <w:rFonts w:hint="default"/>
        <w:lang w:val="cs-CZ" w:eastAsia="cs-CZ" w:bidi="cs-CZ"/>
      </w:rPr>
    </w:lvl>
    <w:lvl w:ilvl="8" w:tplc="828E122A">
      <w:numFmt w:val="bullet"/>
      <w:lvlText w:val="•"/>
      <w:lvlJc w:val="left"/>
      <w:pPr>
        <w:ind w:left="8493" w:hanging="714"/>
      </w:pPr>
      <w:rPr>
        <w:rFonts w:hint="default"/>
        <w:lang w:val="cs-CZ" w:eastAsia="cs-CZ" w:bidi="cs-CZ"/>
      </w:rPr>
    </w:lvl>
  </w:abstractNum>
  <w:num w:numId="1">
    <w:abstractNumId w:val="7"/>
  </w:num>
  <w:num w:numId="2">
    <w:abstractNumId w:val="0"/>
  </w:num>
  <w:num w:numId="3">
    <w:abstractNumId w:val="4"/>
  </w:num>
  <w:num w:numId="4">
    <w:abstractNumId w:val="5"/>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2969CB"/>
    <w:rsid w:val="001744BC"/>
    <w:rsid w:val="002969CB"/>
    <w:rsid w:val="00341E58"/>
    <w:rsid w:val="00466E1A"/>
    <w:rsid w:val="009E02C7"/>
    <w:rsid w:val="00D23559"/>
    <w:rsid w:val="00FD0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B9474A7-6816-4195-8EBC-67A4CA8F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sid w:val="002969CB"/>
    <w:rPr>
      <w:rFonts w:ascii="Times New Roman" w:eastAsia="Times New Roman" w:hAnsi="Times New Roman" w:cs="Times New Roman"/>
      <w:lang w:val="cs-CZ" w:eastAsia="cs-CZ"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2969CB"/>
    <w:tblPr>
      <w:tblInd w:w="0" w:type="dxa"/>
      <w:tblCellMar>
        <w:top w:w="0" w:type="dxa"/>
        <w:left w:w="0" w:type="dxa"/>
        <w:bottom w:w="0" w:type="dxa"/>
        <w:right w:w="0" w:type="dxa"/>
      </w:tblCellMar>
    </w:tblPr>
  </w:style>
  <w:style w:type="paragraph" w:styleId="Zkladntext">
    <w:name w:val="Body Text"/>
    <w:basedOn w:val="Normln"/>
    <w:uiPriority w:val="1"/>
    <w:qFormat/>
    <w:rsid w:val="002969CB"/>
  </w:style>
  <w:style w:type="paragraph" w:customStyle="1" w:styleId="Nadpis11">
    <w:name w:val="Nadpis 11"/>
    <w:basedOn w:val="Normln"/>
    <w:uiPriority w:val="1"/>
    <w:qFormat/>
    <w:rsid w:val="002969CB"/>
    <w:pPr>
      <w:spacing w:line="272" w:lineRule="exact"/>
      <w:ind w:left="2189" w:right="1835"/>
      <w:jc w:val="center"/>
      <w:outlineLvl w:val="1"/>
    </w:pPr>
    <w:rPr>
      <w:b/>
      <w:bCs/>
      <w:sz w:val="24"/>
      <w:szCs w:val="24"/>
    </w:rPr>
  </w:style>
  <w:style w:type="paragraph" w:customStyle="1" w:styleId="Nadpis21">
    <w:name w:val="Nadpis 21"/>
    <w:basedOn w:val="Normln"/>
    <w:uiPriority w:val="1"/>
    <w:qFormat/>
    <w:rsid w:val="002969CB"/>
    <w:pPr>
      <w:spacing w:line="262" w:lineRule="exact"/>
      <w:ind w:left="1070" w:hanging="709"/>
      <w:outlineLvl w:val="2"/>
    </w:pPr>
    <w:rPr>
      <w:b/>
      <w:bCs/>
      <w:u w:val="single" w:color="000000"/>
    </w:rPr>
  </w:style>
  <w:style w:type="paragraph" w:styleId="Odstavecseseznamem">
    <w:name w:val="List Paragraph"/>
    <w:basedOn w:val="Normln"/>
    <w:uiPriority w:val="1"/>
    <w:qFormat/>
    <w:rsid w:val="002969CB"/>
    <w:pPr>
      <w:ind w:left="1351" w:hanging="720"/>
      <w:jc w:val="both"/>
    </w:pPr>
  </w:style>
  <w:style w:type="paragraph" w:customStyle="1" w:styleId="TableParagraph">
    <w:name w:val="Table Paragraph"/>
    <w:basedOn w:val="Normln"/>
    <w:uiPriority w:val="1"/>
    <w:qFormat/>
    <w:rsid w:val="002969CB"/>
    <w:pPr>
      <w:spacing w:line="24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ekokom.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2593</Words>
  <Characters>15302</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Alena Štěpánková</cp:lastModifiedBy>
  <cp:revision>7</cp:revision>
  <cp:lastPrinted>2023-05-15T08:17:00Z</cp:lastPrinted>
  <dcterms:created xsi:type="dcterms:W3CDTF">2023-05-03T09:23:00Z</dcterms:created>
  <dcterms:modified xsi:type="dcterms:W3CDTF">2023-07-21T12:43:00Z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2023-03-31T00:00:00Z</vt:filetime>
  </property>
  <property fmtid="{D5CDD505-2E9C-101B-9397-08002B2CF9AE}" pid="3" name="Creator">
    <vt:lpwstr>Aspose Pty Ltd.</vt:lpwstr>
  </property>
  <property fmtid="{D5CDD505-2E9C-101B-9397-08002B2CF9AE}" pid="4" name="LastSaved">
    <vt:filetime>2023-05-03T00:00:00Z</vt:filetime>
  </property>
</Properties>
</file>