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046C" w14:textId="77777777" w:rsidR="00E61A30" w:rsidRPr="007E3933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 w:rsidRPr="007E3933">
        <w:rPr>
          <w:b/>
          <w:sz w:val="32"/>
          <w:szCs w:val="32"/>
        </w:rPr>
        <w:t>Smlouva o dodávce tepelné energie</w:t>
      </w:r>
    </w:p>
    <w:p w14:paraId="3FBB7AAD" w14:textId="5DCBDEB8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7E3933">
        <w:t xml:space="preserve">podle ustanovení § 76 odst. 3 zákona č. 458/2000 Sb., </w:t>
      </w:r>
      <w:r w:rsidR="005E5C66" w:rsidRPr="007E3933">
        <w:t>o podmínkách podnikání a o výkonu státní správy v energetických odvětvích a o změně některých zákonů (energetický zákon), ve znění pozdějších předpisů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60EF29DD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D40BB2">
        <w:rPr>
          <w:b/>
          <w:sz w:val="24"/>
          <w:szCs w:val="24"/>
        </w:rPr>
        <w:t>01 - ČZ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Pr="00B62A99" w:rsidRDefault="00F17F63" w:rsidP="00F124CA">
      <w:pPr>
        <w:spacing w:after="180"/>
        <w:rPr>
          <w:sz w:val="22"/>
          <w:szCs w:val="22"/>
        </w:rPr>
      </w:pPr>
      <w:r w:rsidRPr="00B62A99">
        <w:rPr>
          <w:sz w:val="22"/>
          <w:szCs w:val="22"/>
        </w:rPr>
        <w:t>se sídl</w:t>
      </w:r>
      <w:r w:rsidR="002B3C2E" w:rsidRPr="00B62A99">
        <w:rPr>
          <w:sz w:val="22"/>
          <w:szCs w:val="22"/>
        </w:rPr>
        <w:t>em:</w:t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  <w:t>U Lázní 2063/3, 680 01 Boskovice</w:t>
      </w:r>
    </w:p>
    <w:p w14:paraId="0C851FBE" w14:textId="51E764D8" w:rsidR="00E61A30" w:rsidRPr="00B62A99" w:rsidRDefault="00A1734C" w:rsidP="00F124CA">
      <w:pPr>
        <w:spacing w:after="180"/>
        <w:rPr>
          <w:sz w:val="22"/>
          <w:szCs w:val="22"/>
        </w:rPr>
      </w:pPr>
      <w:r w:rsidRPr="00B62A99">
        <w:rPr>
          <w:sz w:val="22"/>
          <w:szCs w:val="22"/>
        </w:rPr>
        <w:t>zastoupená:</w:t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</w:r>
      <w:r w:rsidR="00E24518" w:rsidRPr="00B62A99">
        <w:rPr>
          <w:sz w:val="22"/>
          <w:szCs w:val="22"/>
        </w:rPr>
        <w:t xml:space="preserve">Mgr. Milanem </w:t>
      </w:r>
      <w:proofErr w:type="spellStart"/>
      <w:r w:rsidR="00E24518" w:rsidRPr="00B62A99">
        <w:rPr>
          <w:sz w:val="22"/>
          <w:szCs w:val="22"/>
        </w:rPr>
        <w:t>Stryou</w:t>
      </w:r>
      <w:proofErr w:type="spellEnd"/>
      <w:r w:rsidR="00E24518" w:rsidRPr="00B62A99">
        <w:rPr>
          <w:sz w:val="22"/>
          <w:szCs w:val="22"/>
        </w:rPr>
        <w:t>, jednatelem společnosti</w:t>
      </w:r>
    </w:p>
    <w:p w14:paraId="6A1F8095" w14:textId="2A976701" w:rsidR="00E61A30" w:rsidRPr="00B62A99" w:rsidRDefault="002B3C2E" w:rsidP="00F124CA">
      <w:pPr>
        <w:spacing w:after="180"/>
        <w:outlineLvl w:val="0"/>
        <w:rPr>
          <w:sz w:val="22"/>
          <w:szCs w:val="22"/>
        </w:rPr>
      </w:pPr>
      <w:proofErr w:type="gramStart"/>
      <w:r w:rsidRPr="00B62A99">
        <w:rPr>
          <w:sz w:val="22"/>
          <w:szCs w:val="22"/>
        </w:rPr>
        <w:t>IČ :</w:t>
      </w:r>
      <w:proofErr w:type="gramEnd"/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</w:r>
      <w:r w:rsidR="00E24518" w:rsidRPr="00B62A99">
        <w:rPr>
          <w:sz w:val="22"/>
          <w:szCs w:val="22"/>
        </w:rPr>
        <w:t>269 44 855</w:t>
      </w:r>
    </w:p>
    <w:p w14:paraId="5594B5AF" w14:textId="0AC1942D" w:rsidR="00E61A30" w:rsidRPr="00B62A99" w:rsidRDefault="002B3C2E" w:rsidP="00F124CA">
      <w:pPr>
        <w:spacing w:after="180"/>
        <w:outlineLvl w:val="0"/>
        <w:rPr>
          <w:sz w:val="22"/>
          <w:szCs w:val="22"/>
        </w:rPr>
      </w:pPr>
      <w:r w:rsidRPr="00B62A99">
        <w:rPr>
          <w:sz w:val="22"/>
          <w:szCs w:val="22"/>
        </w:rPr>
        <w:t>DIČ:</w:t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</w:r>
      <w:r w:rsidR="00E24518" w:rsidRPr="00B62A99">
        <w:rPr>
          <w:sz w:val="22"/>
          <w:szCs w:val="22"/>
        </w:rPr>
        <w:t>CZ269 44 855</w:t>
      </w:r>
    </w:p>
    <w:p w14:paraId="011AA655" w14:textId="21B98944" w:rsidR="00A1734C" w:rsidRPr="00B62A99" w:rsidRDefault="00E61A30" w:rsidP="00F124CA">
      <w:pPr>
        <w:spacing w:after="180"/>
        <w:rPr>
          <w:sz w:val="22"/>
          <w:szCs w:val="22"/>
        </w:rPr>
      </w:pPr>
      <w:r w:rsidRPr="00B62A99">
        <w:rPr>
          <w:sz w:val="22"/>
          <w:szCs w:val="22"/>
        </w:rPr>
        <w:t>bank</w:t>
      </w:r>
      <w:r w:rsidR="002B3C2E" w:rsidRPr="00B62A99">
        <w:rPr>
          <w:sz w:val="22"/>
          <w:szCs w:val="22"/>
        </w:rPr>
        <w:t>ovní spojení:</w:t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  <w:t>Komerční banka, a.s</w:t>
      </w:r>
      <w:r w:rsidR="00A53093" w:rsidRPr="00B62A99">
        <w:rPr>
          <w:sz w:val="22"/>
          <w:szCs w:val="22"/>
        </w:rPr>
        <w:t>.</w:t>
      </w:r>
      <w:r w:rsidR="00A65509" w:rsidRPr="00B62A99">
        <w:rPr>
          <w:sz w:val="22"/>
          <w:szCs w:val="22"/>
        </w:rPr>
        <w:t xml:space="preserve"> </w:t>
      </w:r>
      <w:r w:rsidR="00241950" w:rsidRPr="00B62A99">
        <w:rPr>
          <w:sz w:val="22"/>
          <w:szCs w:val="22"/>
        </w:rPr>
        <w:tab/>
      </w:r>
    </w:p>
    <w:p w14:paraId="766BC52C" w14:textId="691ADE9F" w:rsidR="00E61A30" w:rsidRPr="00B62A99" w:rsidRDefault="002B3C2E" w:rsidP="00F124CA">
      <w:pPr>
        <w:spacing w:after="180"/>
        <w:rPr>
          <w:sz w:val="22"/>
          <w:szCs w:val="22"/>
        </w:rPr>
      </w:pPr>
      <w:r w:rsidRPr="00B62A99">
        <w:rPr>
          <w:sz w:val="22"/>
          <w:szCs w:val="22"/>
        </w:rPr>
        <w:t>č. účtu:</w:t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</w:r>
      <w:r w:rsidR="00241950" w:rsidRPr="00B62A99">
        <w:rPr>
          <w:sz w:val="22"/>
          <w:szCs w:val="22"/>
        </w:rPr>
        <w:tab/>
        <w:t>35-2095650207/0100</w:t>
      </w:r>
    </w:p>
    <w:p w14:paraId="4A6B67BC" w14:textId="672F4C18" w:rsidR="003214AB" w:rsidRPr="00B62A99" w:rsidRDefault="00241950" w:rsidP="003214AB">
      <w:pPr>
        <w:spacing w:after="180"/>
        <w:rPr>
          <w:sz w:val="22"/>
          <w:szCs w:val="22"/>
        </w:rPr>
      </w:pPr>
      <w:r w:rsidRPr="00B62A99">
        <w:rPr>
          <w:sz w:val="22"/>
          <w:szCs w:val="22"/>
        </w:rPr>
        <w:t>zapsaná v obchodním rejstříku vedeném Krajským soudem v Brně, oddíl C, vložka 47100</w:t>
      </w:r>
    </w:p>
    <w:p w14:paraId="488FFF9F" w14:textId="74C5F2A2" w:rsidR="00A1734C" w:rsidRPr="00B62A99" w:rsidRDefault="00A1734C" w:rsidP="00F124CA">
      <w:pPr>
        <w:spacing w:after="180"/>
        <w:rPr>
          <w:sz w:val="22"/>
          <w:szCs w:val="22"/>
        </w:rPr>
      </w:pPr>
      <w:r w:rsidRPr="00B62A99">
        <w:rPr>
          <w:sz w:val="22"/>
          <w:szCs w:val="22"/>
        </w:rPr>
        <w:t>zaměstnanci pověření činností:</w:t>
      </w:r>
    </w:p>
    <w:p w14:paraId="6BC5F4E8" w14:textId="77777777" w:rsidR="00EE5DA4" w:rsidRPr="00B62A99" w:rsidRDefault="00241950" w:rsidP="00241950">
      <w:pPr>
        <w:spacing w:after="180"/>
        <w:rPr>
          <w:sz w:val="22"/>
          <w:szCs w:val="22"/>
        </w:rPr>
      </w:pPr>
      <w:r w:rsidRPr="00B62A99">
        <w:rPr>
          <w:sz w:val="22"/>
          <w:szCs w:val="22"/>
        </w:rPr>
        <w:t>ve věcech technických:</w:t>
      </w:r>
      <w:r w:rsidRPr="00B62A99">
        <w:rPr>
          <w:sz w:val="22"/>
          <w:szCs w:val="22"/>
        </w:rPr>
        <w:tab/>
      </w:r>
    </w:p>
    <w:p w14:paraId="0B32FE92" w14:textId="712C11C8" w:rsidR="00EE5DA4" w:rsidRPr="00B62A99" w:rsidRDefault="00241950" w:rsidP="00B62A99">
      <w:pPr>
        <w:spacing w:after="180"/>
        <w:rPr>
          <w:sz w:val="22"/>
          <w:szCs w:val="22"/>
        </w:rPr>
      </w:pPr>
      <w:r w:rsidRPr="00B62A99">
        <w:rPr>
          <w:sz w:val="22"/>
          <w:szCs w:val="22"/>
        </w:rPr>
        <w:t>Ladislav Číž</w:t>
      </w:r>
      <w:r w:rsidR="00486A1A" w:rsidRPr="00B62A99">
        <w:rPr>
          <w:sz w:val="22"/>
          <w:szCs w:val="22"/>
        </w:rPr>
        <w:t xml:space="preserve">ek </w:t>
      </w:r>
      <w:r w:rsidR="00EE5DA4" w:rsidRPr="00B62A99">
        <w:rPr>
          <w:sz w:val="22"/>
          <w:szCs w:val="22"/>
        </w:rPr>
        <w:tab/>
      </w:r>
      <w:r w:rsidR="00EE5DA4" w:rsidRPr="00B62A99">
        <w:rPr>
          <w:sz w:val="22"/>
          <w:szCs w:val="22"/>
        </w:rPr>
        <w:tab/>
      </w:r>
      <w:r w:rsidR="005E5C66">
        <w:rPr>
          <w:sz w:val="22"/>
          <w:szCs w:val="22"/>
        </w:rPr>
        <w:tab/>
      </w:r>
      <w:r w:rsidR="00486A1A" w:rsidRPr="00B62A99">
        <w:rPr>
          <w:sz w:val="22"/>
          <w:szCs w:val="22"/>
        </w:rPr>
        <w:t xml:space="preserve">mobil: 606 796 561, </w:t>
      </w:r>
    </w:p>
    <w:p w14:paraId="5C5D8045" w14:textId="7242E408" w:rsidR="00241950" w:rsidRPr="00B62A99" w:rsidRDefault="00486A1A" w:rsidP="00B62A99">
      <w:pPr>
        <w:spacing w:after="180"/>
        <w:ind w:left="2124" w:firstLine="708"/>
        <w:rPr>
          <w:sz w:val="22"/>
          <w:szCs w:val="22"/>
        </w:rPr>
      </w:pPr>
      <w:r w:rsidRPr="00B62A99">
        <w:rPr>
          <w:sz w:val="22"/>
          <w:szCs w:val="22"/>
        </w:rPr>
        <w:t xml:space="preserve">email: </w:t>
      </w:r>
      <w:r w:rsidR="00EE5DA4" w:rsidRPr="00B62A99">
        <w:rPr>
          <w:sz w:val="22"/>
          <w:szCs w:val="22"/>
        </w:rPr>
        <w:t>ladislav.cizek</w:t>
      </w:r>
      <w:r w:rsidRPr="00B62A99">
        <w:rPr>
          <w:sz w:val="22"/>
          <w:szCs w:val="22"/>
        </w:rPr>
        <w:t>@</w:t>
      </w:r>
      <w:r w:rsidR="00EE5DA4" w:rsidRPr="00B62A99">
        <w:rPr>
          <w:sz w:val="22"/>
          <w:szCs w:val="22"/>
        </w:rPr>
        <w:t>sluzby</w:t>
      </w:r>
      <w:r w:rsidRPr="00B62A99">
        <w:rPr>
          <w:sz w:val="22"/>
          <w:szCs w:val="22"/>
        </w:rPr>
        <w:t>boskovice.cz</w:t>
      </w:r>
    </w:p>
    <w:p w14:paraId="5D3A0762" w14:textId="77777777" w:rsidR="00EE5DA4" w:rsidRPr="00B62A99" w:rsidRDefault="00A1734C" w:rsidP="00B62A99">
      <w:pPr>
        <w:spacing w:after="180"/>
        <w:ind w:left="2832" w:hanging="2832"/>
        <w:rPr>
          <w:sz w:val="22"/>
          <w:szCs w:val="22"/>
        </w:rPr>
      </w:pPr>
      <w:r w:rsidRPr="00B62A99">
        <w:rPr>
          <w:sz w:val="22"/>
          <w:szCs w:val="22"/>
        </w:rPr>
        <w:t>ve věcech obchodních:</w:t>
      </w:r>
      <w:r w:rsidR="00486A1A" w:rsidRPr="00B62A99">
        <w:rPr>
          <w:sz w:val="22"/>
          <w:szCs w:val="22"/>
        </w:rPr>
        <w:tab/>
      </w:r>
    </w:p>
    <w:p w14:paraId="7808E141" w14:textId="3C6E386D" w:rsidR="00F365FE" w:rsidRPr="00B62A99" w:rsidRDefault="00486A1A" w:rsidP="00B62A99">
      <w:pPr>
        <w:spacing w:after="180"/>
        <w:ind w:left="2832" w:hanging="2832"/>
        <w:rPr>
          <w:sz w:val="22"/>
          <w:szCs w:val="22"/>
        </w:rPr>
      </w:pPr>
      <w:r w:rsidRPr="00B62A99">
        <w:rPr>
          <w:sz w:val="22"/>
          <w:szCs w:val="22"/>
        </w:rPr>
        <w:t xml:space="preserve">Ing. Ladislava Plisková </w:t>
      </w:r>
      <w:r w:rsidR="00EE5DA4" w:rsidRPr="00B62A99">
        <w:rPr>
          <w:sz w:val="22"/>
          <w:szCs w:val="22"/>
        </w:rPr>
        <w:tab/>
      </w:r>
      <w:r w:rsidRPr="00B62A99">
        <w:rPr>
          <w:sz w:val="22"/>
          <w:szCs w:val="22"/>
        </w:rPr>
        <w:t>mobil: 777 709</w:t>
      </w:r>
      <w:r w:rsidR="00F365FE" w:rsidRPr="00B62A99">
        <w:rPr>
          <w:sz w:val="22"/>
          <w:szCs w:val="22"/>
        </w:rPr>
        <w:t> </w:t>
      </w:r>
      <w:r w:rsidRPr="00B62A99">
        <w:rPr>
          <w:sz w:val="22"/>
          <w:szCs w:val="22"/>
        </w:rPr>
        <w:t>137</w:t>
      </w:r>
      <w:r w:rsidR="00F365FE" w:rsidRPr="00B62A99">
        <w:rPr>
          <w:sz w:val="22"/>
          <w:szCs w:val="22"/>
        </w:rPr>
        <w:t xml:space="preserve">, </w:t>
      </w:r>
    </w:p>
    <w:p w14:paraId="574E5B2A" w14:textId="207A38A3" w:rsidR="00A1734C" w:rsidRPr="00B62A99" w:rsidRDefault="00486A1A" w:rsidP="00B62A99">
      <w:pPr>
        <w:ind w:left="1416" w:firstLine="1416"/>
        <w:rPr>
          <w:sz w:val="22"/>
          <w:szCs w:val="22"/>
        </w:rPr>
      </w:pPr>
      <w:r w:rsidRPr="00B62A99">
        <w:rPr>
          <w:sz w:val="22"/>
          <w:szCs w:val="22"/>
        </w:rPr>
        <w:t xml:space="preserve">email: </w:t>
      </w:r>
      <w:r w:rsidR="00EE5DA4" w:rsidRPr="00B62A99">
        <w:rPr>
          <w:sz w:val="22"/>
          <w:szCs w:val="22"/>
        </w:rPr>
        <w:t>ladislava.</w:t>
      </w:r>
      <w:r w:rsidRPr="00B62A99">
        <w:rPr>
          <w:sz w:val="22"/>
          <w:szCs w:val="22"/>
        </w:rPr>
        <w:t>pliskova@</w:t>
      </w:r>
      <w:r w:rsidR="00EE5DA4" w:rsidRPr="00B62A99">
        <w:rPr>
          <w:sz w:val="22"/>
          <w:szCs w:val="22"/>
        </w:rPr>
        <w:t>sluzby</w:t>
      </w:r>
      <w:r w:rsidRPr="00B62A99">
        <w:rPr>
          <w:sz w:val="22"/>
          <w:szCs w:val="22"/>
        </w:rPr>
        <w:t>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9E60AA2" w14:textId="09AF5E3A" w:rsidR="00FB37D8" w:rsidRPr="00FB37D8" w:rsidRDefault="00F365FE" w:rsidP="00EE5DA4">
      <w:pPr>
        <w:ind w:left="2832" w:hanging="2832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="00EE5DA4" w:rsidRPr="00EE5DA4">
        <w:rPr>
          <w:b/>
          <w:bCs/>
          <w:sz w:val="24"/>
          <w:szCs w:val="24"/>
        </w:rPr>
        <w:t xml:space="preserve">Střední škola André </w:t>
      </w:r>
      <w:proofErr w:type="spellStart"/>
      <w:r w:rsidR="00EE5DA4" w:rsidRPr="00EE5DA4">
        <w:rPr>
          <w:b/>
          <w:bCs/>
          <w:sz w:val="24"/>
          <w:szCs w:val="24"/>
        </w:rPr>
        <w:t>Citroëna</w:t>
      </w:r>
      <w:proofErr w:type="spellEnd"/>
      <w:r w:rsidR="00EE5DA4" w:rsidRPr="00EE5DA4">
        <w:rPr>
          <w:b/>
          <w:bCs/>
          <w:sz w:val="24"/>
          <w:szCs w:val="24"/>
        </w:rPr>
        <w:t xml:space="preserve"> Boskovice, příspěvková organizace</w:t>
      </w:r>
    </w:p>
    <w:p w14:paraId="62ED43E5" w14:textId="37B525D5" w:rsidR="00FB37D8" w:rsidRPr="00B62A99" w:rsidRDefault="00FB37D8" w:rsidP="00FB37D8">
      <w:pPr>
        <w:spacing w:after="180"/>
        <w:outlineLvl w:val="0"/>
        <w:rPr>
          <w:sz w:val="22"/>
          <w:szCs w:val="22"/>
        </w:rPr>
      </w:pPr>
      <w:r w:rsidRPr="00B62A99">
        <w:rPr>
          <w:sz w:val="22"/>
          <w:szCs w:val="22"/>
        </w:rPr>
        <w:t xml:space="preserve">se sídlem: </w:t>
      </w:r>
      <w:r w:rsidRPr="00B62A99">
        <w:rPr>
          <w:sz w:val="22"/>
          <w:szCs w:val="22"/>
        </w:rPr>
        <w:tab/>
      </w:r>
      <w:r w:rsidRPr="00B62A99">
        <w:rPr>
          <w:sz w:val="22"/>
          <w:szCs w:val="22"/>
        </w:rPr>
        <w:tab/>
      </w:r>
      <w:r w:rsidRPr="00B62A99">
        <w:rPr>
          <w:sz w:val="22"/>
          <w:szCs w:val="22"/>
        </w:rPr>
        <w:tab/>
      </w:r>
      <w:r w:rsidR="00EE5DA4" w:rsidRPr="00B62A99">
        <w:rPr>
          <w:sz w:val="22"/>
          <w:szCs w:val="22"/>
        </w:rPr>
        <w:t>náměstí 9. května 2153/</w:t>
      </w:r>
      <w:proofErr w:type="gramStart"/>
      <w:r w:rsidR="00EE5DA4" w:rsidRPr="00B62A99">
        <w:rPr>
          <w:sz w:val="22"/>
          <w:szCs w:val="22"/>
        </w:rPr>
        <w:t>2a</w:t>
      </w:r>
      <w:proofErr w:type="gramEnd"/>
      <w:r w:rsidR="00EE5DA4" w:rsidRPr="00B62A99">
        <w:rPr>
          <w:sz w:val="22"/>
          <w:szCs w:val="22"/>
        </w:rPr>
        <w:t>, 680 11 Boskovice</w:t>
      </w:r>
    </w:p>
    <w:p w14:paraId="325E42EA" w14:textId="4A6588E7" w:rsidR="00806E24" w:rsidRPr="00B62A99" w:rsidRDefault="00F365FE" w:rsidP="00FB37D8">
      <w:pPr>
        <w:spacing w:after="180"/>
        <w:outlineLvl w:val="0"/>
        <w:rPr>
          <w:sz w:val="22"/>
          <w:szCs w:val="22"/>
        </w:rPr>
      </w:pPr>
      <w:r w:rsidRPr="00B62A99">
        <w:rPr>
          <w:sz w:val="22"/>
          <w:szCs w:val="22"/>
        </w:rPr>
        <w:t>zastoupená:</w:t>
      </w:r>
      <w:r w:rsidRPr="00B62A99">
        <w:rPr>
          <w:sz w:val="22"/>
          <w:szCs w:val="22"/>
        </w:rPr>
        <w:tab/>
      </w:r>
      <w:r w:rsidRPr="00B62A99">
        <w:rPr>
          <w:sz w:val="22"/>
          <w:szCs w:val="22"/>
        </w:rPr>
        <w:tab/>
      </w:r>
      <w:r w:rsidRPr="00B62A99">
        <w:rPr>
          <w:sz w:val="22"/>
          <w:szCs w:val="22"/>
        </w:rPr>
        <w:tab/>
      </w:r>
      <w:r w:rsidR="00EE5DA4" w:rsidRPr="00B62A99">
        <w:rPr>
          <w:sz w:val="22"/>
          <w:szCs w:val="22"/>
        </w:rPr>
        <w:t>RNDr. Karlem Ošlejškem, ředitelem</w:t>
      </w:r>
    </w:p>
    <w:p w14:paraId="3DB96B6E" w14:textId="01876769" w:rsidR="00F365FE" w:rsidRPr="00B62A99" w:rsidRDefault="00F365FE" w:rsidP="00F365FE">
      <w:pPr>
        <w:spacing w:after="180"/>
        <w:outlineLvl w:val="0"/>
        <w:rPr>
          <w:sz w:val="22"/>
          <w:szCs w:val="22"/>
        </w:rPr>
      </w:pPr>
      <w:proofErr w:type="gramStart"/>
      <w:r w:rsidRPr="00B62A99">
        <w:rPr>
          <w:sz w:val="22"/>
          <w:szCs w:val="22"/>
        </w:rPr>
        <w:t>IČ :</w:t>
      </w:r>
      <w:proofErr w:type="gramEnd"/>
      <w:r w:rsidRPr="00B62A99">
        <w:rPr>
          <w:sz w:val="22"/>
          <w:szCs w:val="22"/>
        </w:rPr>
        <w:t xml:space="preserve"> </w:t>
      </w:r>
      <w:r w:rsidRPr="00B62A99">
        <w:rPr>
          <w:sz w:val="22"/>
          <w:szCs w:val="22"/>
        </w:rPr>
        <w:tab/>
      </w:r>
      <w:r w:rsidRPr="00B62A99">
        <w:rPr>
          <w:sz w:val="22"/>
          <w:szCs w:val="22"/>
        </w:rPr>
        <w:tab/>
      </w:r>
      <w:r w:rsidRPr="00B62A99">
        <w:rPr>
          <w:sz w:val="22"/>
          <w:szCs w:val="22"/>
        </w:rPr>
        <w:tab/>
      </w:r>
      <w:r w:rsidRPr="00B62A99">
        <w:rPr>
          <w:sz w:val="22"/>
          <w:szCs w:val="22"/>
        </w:rPr>
        <w:tab/>
      </w:r>
      <w:bookmarkStart w:id="0" w:name="_Hlk140739735"/>
      <w:r w:rsidR="00EE5DA4" w:rsidRPr="00B62A99">
        <w:rPr>
          <w:sz w:val="22"/>
          <w:szCs w:val="22"/>
        </w:rPr>
        <w:t>00056324</w:t>
      </w:r>
      <w:bookmarkEnd w:id="0"/>
    </w:p>
    <w:p w14:paraId="0D5B339B" w14:textId="76343988" w:rsidR="00F365FE" w:rsidRPr="007E3933" w:rsidRDefault="00F365FE" w:rsidP="00F365FE">
      <w:pPr>
        <w:spacing w:after="180"/>
        <w:outlineLvl w:val="0"/>
        <w:rPr>
          <w:sz w:val="22"/>
          <w:szCs w:val="22"/>
        </w:rPr>
      </w:pPr>
      <w:r w:rsidRPr="007E3933">
        <w:rPr>
          <w:sz w:val="22"/>
          <w:szCs w:val="22"/>
        </w:rPr>
        <w:t>DIČ:</w:t>
      </w:r>
      <w:r w:rsidRPr="007E3933">
        <w:rPr>
          <w:sz w:val="22"/>
          <w:szCs w:val="22"/>
        </w:rPr>
        <w:tab/>
      </w:r>
      <w:r w:rsidRPr="007E3933">
        <w:rPr>
          <w:sz w:val="22"/>
          <w:szCs w:val="22"/>
        </w:rPr>
        <w:tab/>
      </w:r>
      <w:r w:rsidRPr="007E3933">
        <w:rPr>
          <w:sz w:val="22"/>
          <w:szCs w:val="22"/>
        </w:rPr>
        <w:tab/>
      </w:r>
      <w:r w:rsidRPr="007E3933">
        <w:rPr>
          <w:sz w:val="22"/>
          <w:szCs w:val="22"/>
        </w:rPr>
        <w:tab/>
        <w:t>CZ</w:t>
      </w:r>
      <w:r w:rsidR="00B62A99" w:rsidRPr="007E3933">
        <w:rPr>
          <w:sz w:val="22"/>
          <w:szCs w:val="22"/>
        </w:rPr>
        <w:t>00056324</w:t>
      </w:r>
    </w:p>
    <w:p w14:paraId="7ED77036" w14:textId="6D514E53" w:rsidR="00F365FE" w:rsidRPr="007E3933" w:rsidRDefault="00F365FE" w:rsidP="00672AC6">
      <w:pPr>
        <w:spacing w:after="180"/>
        <w:outlineLvl w:val="0"/>
        <w:rPr>
          <w:sz w:val="22"/>
          <w:szCs w:val="22"/>
        </w:rPr>
      </w:pPr>
      <w:r w:rsidRPr="007E3933">
        <w:rPr>
          <w:sz w:val="22"/>
          <w:szCs w:val="22"/>
        </w:rPr>
        <w:t xml:space="preserve">bankovní spojení: </w:t>
      </w:r>
      <w:r w:rsidRPr="007E3933">
        <w:rPr>
          <w:sz w:val="22"/>
          <w:szCs w:val="22"/>
        </w:rPr>
        <w:tab/>
      </w:r>
      <w:r w:rsidRPr="007E3933">
        <w:rPr>
          <w:sz w:val="22"/>
          <w:szCs w:val="22"/>
        </w:rPr>
        <w:tab/>
      </w:r>
      <w:r w:rsidR="005E5C66" w:rsidRPr="007E3933">
        <w:rPr>
          <w:sz w:val="22"/>
          <w:szCs w:val="22"/>
        </w:rPr>
        <w:t>Komerční banka, a.s.</w:t>
      </w:r>
    </w:p>
    <w:p w14:paraId="29F8BC95" w14:textId="12770A1B" w:rsidR="00F365FE" w:rsidRPr="007E3933" w:rsidRDefault="00F365FE" w:rsidP="005E5C66">
      <w:pPr>
        <w:spacing w:after="180"/>
        <w:outlineLvl w:val="0"/>
        <w:rPr>
          <w:sz w:val="22"/>
          <w:szCs w:val="22"/>
        </w:rPr>
      </w:pPr>
      <w:r w:rsidRPr="007E3933">
        <w:rPr>
          <w:sz w:val="22"/>
          <w:szCs w:val="22"/>
        </w:rPr>
        <w:t>telefonní spojení:</w:t>
      </w:r>
      <w:r w:rsidRPr="007E3933">
        <w:rPr>
          <w:sz w:val="22"/>
          <w:szCs w:val="22"/>
        </w:rPr>
        <w:tab/>
      </w:r>
      <w:r w:rsidRPr="007E3933">
        <w:rPr>
          <w:sz w:val="22"/>
          <w:szCs w:val="22"/>
        </w:rPr>
        <w:tab/>
      </w:r>
      <w:r w:rsidR="005E5C66" w:rsidRPr="007E3933">
        <w:rPr>
          <w:sz w:val="22"/>
          <w:szCs w:val="22"/>
        </w:rPr>
        <w:t>516 426 200</w:t>
      </w:r>
    </w:p>
    <w:p w14:paraId="4667686F" w14:textId="5A0F986C" w:rsidR="00F365FE" w:rsidRPr="007E3933" w:rsidRDefault="00F365FE" w:rsidP="00171970">
      <w:pPr>
        <w:spacing w:after="180"/>
        <w:outlineLvl w:val="0"/>
        <w:rPr>
          <w:sz w:val="22"/>
          <w:szCs w:val="22"/>
        </w:rPr>
      </w:pPr>
      <w:r w:rsidRPr="007E3933">
        <w:rPr>
          <w:sz w:val="22"/>
          <w:szCs w:val="22"/>
        </w:rPr>
        <w:t>e-mail:</w:t>
      </w:r>
      <w:r w:rsidRPr="007E3933">
        <w:rPr>
          <w:sz w:val="22"/>
          <w:szCs w:val="22"/>
        </w:rPr>
        <w:tab/>
      </w:r>
      <w:r w:rsidRPr="007E3933">
        <w:rPr>
          <w:sz w:val="22"/>
          <w:szCs w:val="22"/>
        </w:rPr>
        <w:tab/>
      </w:r>
      <w:r w:rsidRPr="007E3933">
        <w:rPr>
          <w:sz w:val="22"/>
          <w:szCs w:val="22"/>
        </w:rPr>
        <w:tab/>
      </w:r>
      <w:r w:rsidR="005E5C66" w:rsidRPr="007E3933">
        <w:rPr>
          <w:sz w:val="22"/>
          <w:szCs w:val="22"/>
        </w:rPr>
        <w:tab/>
      </w:r>
      <w:r w:rsidR="00171970" w:rsidRPr="007E3933">
        <w:rPr>
          <w:sz w:val="22"/>
          <w:szCs w:val="22"/>
        </w:rPr>
        <w:t>skola@skolaac.cz</w:t>
      </w:r>
      <w:r w:rsidRPr="007E3933">
        <w:rPr>
          <w:sz w:val="22"/>
          <w:szCs w:val="22"/>
        </w:rPr>
        <w:tab/>
      </w:r>
    </w:p>
    <w:p w14:paraId="5233B910" w14:textId="154876CA" w:rsidR="00672AC6" w:rsidRPr="005E5C66" w:rsidRDefault="00F365FE" w:rsidP="00B62A99">
      <w:pPr>
        <w:spacing w:after="180"/>
        <w:rPr>
          <w:sz w:val="22"/>
          <w:szCs w:val="22"/>
        </w:rPr>
      </w:pPr>
      <w:r w:rsidRPr="007E3933">
        <w:rPr>
          <w:sz w:val="22"/>
          <w:szCs w:val="22"/>
        </w:rPr>
        <w:t xml:space="preserve">č. účtu: </w:t>
      </w:r>
      <w:r w:rsidRPr="007E3933">
        <w:rPr>
          <w:sz w:val="22"/>
          <w:szCs w:val="22"/>
        </w:rPr>
        <w:tab/>
      </w:r>
      <w:r w:rsidRPr="007E3933">
        <w:rPr>
          <w:sz w:val="22"/>
          <w:szCs w:val="22"/>
        </w:rPr>
        <w:tab/>
      </w:r>
      <w:r w:rsidRPr="007E3933">
        <w:rPr>
          <w:sz w:val="22"/>
          <w:szCs w:val="22"/>
        </w:rPr>
        <w:tab/>
      </w:r>
      <w:r w:rsidR="005E5C66" w:rsidRPr="007E3933">
        <w:rPr>
          <w:sz w:val="22"/>
          <w:szCs w:val="22"/>
        </w:rPr>
        <w:tab/>
        <w:t>8232631/0100</w:t>
      </w:r>
    </w:p>
    <w:p w14:paraId="386947E3" w14:textId="26865C89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DC275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283A415" w14:textId="77777777" w:rsidR="00FC6C69" w:rsidRDefault="00FC6C69" w:rsidP="00F124CA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3F548016" w:rsidR="00F365FE" w:rsidRPr="001D158F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Pr="007E3933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 w:rsidRPr="007E3933">
        <w:rPr>
          <w:b/>
          <w:sz w:val="24"/>
          <w:szCs w:val="24"/>
        </w:rPr>
        <w:t>Doba trvání smlouvy a způsoby jejího ukončení</w:t>
      </w:r>
    </w:p>
    <w:p w14:paraId="55594B9F" w14:textId="496E6A7F" w:rsidR="00E61A30" w:rsidRPr="007E3933" w:rsidRDefault="00FC1FC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7E3933">
        <w:rPr>
          <w:sz w:val="24"/>
          <w:szCs w:val="24"/>
        </w:rPr>
        <w:t xml:space="preserve">Smlouva se uzavírá na dobu </w:t>
      </w:r>
      <w:r w:rsidR="00C60F05" w:rsidRPr="007E3933">
        <w:rPr>
          <w:sz w:val="24"/>
          <w:szCs w:val="24"/>
        </w:rPr>
        <w:t xml:space="preserve">určitou a to do 31. </w:t>
      </w:r>
      <w:r w:rsidR="00B62A99" w:rsidRPr="007E3933">
        <w:rPr>
          <w:sz w:val="24"/>
          <w:szCs w:val="24"/>
        </w:rPr>
        <w:t>07</w:t>
      </w:r>
      <w:r w:rsidR="00C60F05" w:rsidRPr="007E3933">
        <w:rPr>
          <w:sz w:val="24"/>
          <w:szCs w:val="24"/>
        </w:rPr>
        <w:t>. 202</w:t>
      </w:r>
      <w:r w:rsidR="00B62A99" w:rsidRPr="007E3933">
        <w:rPr>
          <w:sz w:val="24"/>
          <w:szCs w:val="24"/>
        </w:rPr>
        <w:t>6</w:t>
      </w:r>
      <w:r w:rsidR="00C60F05" w:rsidRPr="007E3933">
        <w:rPr>
          <w:sz w:val="24"/>
          <w:szCs w:val="24"/>
        </w:rPr>
        <w:t>.</w:t>
      </w:r>
    </w:p>
    <w:p w14:paraId="2B37C9C3" w14:textId="43CF2893" w:rsidR="00453234" w:rsidRPr="007E3933" w:rsidRDefault="00E61A30" w:rsidP="0045323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7E3933">
        <w:rPr>
          <w:sz w:val="24"/>
          <w:szCs w:val="24"/>
        </w:rPr>
        <w:t>Smluvní strany se dohodly, že tato smlouva nabývá platnosti dnem podpisu obou smluvních stran</w:t>
      </w:r>
      <w:r w:rsidR="00FC6C69" w:rsidRPr="007E3933">
        <w:rPr>
          <w:sz w:val="24"/>
          <w:szCs w:val="24"/>
        </w:rPr>
        <w:t>.</w:t>
      </w:r>
      <w:r w:rsidR="00B777C5" w:rsidRPr="007E3933">
        <w:rPr>
          <w:sz w:val="24"/>
          <w:szCs w:val="24"/>
        </w:rPr>
        <w:t xml:space="preserve"> </w:t>
      </w:r>
      <w:r w:rsidR="00453234" w:rsidRPr="007E3933">
        <w:rPr>
          <w:sz w:val="24"/>
        </w:rPr>
        <w:t>Smlouva nabude účinnosti uveřejněním v registru smluv podle zákona č.</w:t>
      </w:r>
      <w:r w:rsidR="003F2EF7" w:rsidRPr="007E3933">
        <w:rPr>
          <w:sz w:val="24"/>
        </w:rPr>
        <w:t> </w:t>
      </w:r>
      <w:r w:rsidR="00453234" w:rsidRPr="007E3933">
        <w:rPr>
          <w:sz w:val="24"/>
        </w:rPr>
        <w:t>340/2015 Sb., o registru smluv, ve znění pozdějších předpisů. Smluvní strany se dohodly, že uveřejnění v registru smluv provede objednatel.</w:t>
      </w:r>
    </w:p>
    <w:p w14:paraId="57A9E15E" w14:textId="77777777" w:rsidR="00453234" w:rsidRPr="007E3933" w:rsidRDefault="00453234" w:rsidP="00562E72"/>
    <w:p w14:paraId="501DC4E8" w14:textId="12E9DC11" w:rsidR="00E61A30" w:rsidRPr="007E3933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7E3933">
        <w:rPr>
          <w:sz w:val="24"/>
          <w:szCs w:val="24"/>
        </w:rPr>
        <w:t xml:space="preserve">Smlouva může být </w:t>
      </w:r>
      <w:r w:rsidR="005E5C66" w:rsidRPr="007E3933">
        <w:rPr>
          <w:sz w:val="24"/>
          <w:szCs w:val="24"/>
        </w:rPr>
        <w:t xml:space="preserve">také </w:t>
      </w:r>
      <w:r w:rsidRPr="007E3933">
        <w:rPr>
          <w:sz w:val="24"/>
          <w:szCs w:val="24"/>
        </w:rPr>
        <w:t>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A0CCF1E" w:rsidR="00F365FE" w:rsidRDefault="007C28E9" w:rsidP="001D158F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0336C8">
        <w:rPr>
          <w:sz w:val="24"/>
          <w:szCs w:val="24"/>
        </w:rPr>
        <w:t> </w:t>
      </w:r>
      <w:proofErr w:type="gramStart"/>
      <w:r w:rsidR="000336C8">
        <w:rPr>
          <w:sz w:val="24"/>
          <w:szCs w:val="24"/>
        </w:rPr>
        <w:t>3</w:t>
      </w:r>
      <w:r w:rsidR="00944500">
        <w:rPr>
          <w:sz w:val="24"/>
          <w:szCs w:val="24"/>
        </w:rPr>
        <w:t xml:space="preserve"> </w:t>
      </w:r>
      <w:r w:rsidR="00FC6C69">
        <w:rPr>
          <w:sz w:val="24"/>
          <w:szCs w:val="24"/>
        </w:rPr>
        <w:t>měsíční</w:t>
      </w:r>
      <w:proofErr w:type="gramEnd"/>
      <w:r w:rsidR="00FC6C6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datu ukončení smluvního vztahu se obě strany zavazují vyrovnat vzájemně své závazky </w:t>
      </w:r>
      <w:r>
        <w:rPr>
          <w:sz w:val="24"/>
          <w:szCs w:val="24"/>
        </w:rPr>
        <w:lastRenderedPageBreak/>
        <w:t>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1D158F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7269AAAD" w14:textId="4DA53D6B" w:rsidR="00AB534F" w:rsidRDefault="00F17F63" w:rsidP="00FC1FC0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416A32CC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</w:t>
      </w:r>
      <w:r w:rsidR="00B62A99">
        <w:t>3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68FF491C" w14:textId="111B16EC" w:rsidR="0087406D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77FD48F" w14:textId="77777777" w:rsidR="00DC275C" w:rsidRDefault="00DC275C" w:rsidP="00F124CA">
      <w:pPr>
        <w:pStyle w:val="Normlnweb"/>
        <w:spacing w:after="180"/>
      </w:pPr>
    </w:p>
    <w:p w14:paraId="0019FC76" w14:textId="77777777" w:rsidR="00611EF6" w:rsidRDefault="00611EF6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67EC5C03" w14:textId="578D8AA1" w:rsidR="00C60F05" w:rsidRDefault="00D16B18" w:rsidP="00F124CA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</w:t>
      </w:r>
      <w:proofErr w:type="spellStart"/>
      <w:r w:rsidRPr="004C315B">
        <w:t>podpis</w:t>
      </w:r>
      <w:proofErr w:type="spellEnd"/>
      <w:r w:rsidRPr="004C315B">
        <w:t xml:space="preserve"> </w:t>
      </w:r>
    </w:p>
    <w:p w14:paraId="7192C0A5" w14:textId="2EFC1948" w:rsidR="00E61A30" w:rsidRDefault="00C60F05" w:rsidP="00C60F05">
      <w:pPr>
        <w:pStyle w:val="Normlnweb"/>
        <w:spacing w:after="180"/>
        <w:ind w:firstLine="708"/>
        <w:rPr>
          <w:b/>
        </w:rPr>
      </w:pPr>
      <w:r>
        <w:br w:type="page"/>
      </w:r>
      <w:r w:rsidR="006C56B1"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>ke smlouvě o dodávce tepelné energie č.</w:t>
      </w:r>
      <w:r w:rsidR="008C66CB">
        <w:rPr>
          <w:b/>
        </w:rPr>
        <w:t xml:space="preserve"> </w:t>
      </w:r>
      <w:r w:rsidR="00D40BB2">
        <w:rPr>
          <w:b/>
        </w:rPr>
        <w:t>01 - ČZ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12566763" w14:textId="77777777" w:rsidR="00C60F05" w:rsidRPr="00C60F05" w:rsidRDefault="00C60F05" w:rsidP="00C60F05">
      <w:pPr>
        <w:spacing w:after="180"/>
        <w:jc w:val="center"/>
        <w:outlineLvl w:val="0"/>
        <w:rPr>
          <w:b/>
          <w:sz w:val="32"/>
          <w:szCs w:val="32"/>
        </w:rPr>
      </w:pPr>
      <w:r w:rsidRPr="00C60F05">
        <w:rPr>
          <w:b/>
          <w:sz w:val="32"/>
          <w:szCs w:val="32"/>
        </w:rPr>
        <w:t>Technické parametry odběrného místa</w:t>
      </w:r>
    </w:p>
    <w:p w14:paraId="17C90DC5" w14:textId="10B7EDC6" w:rsidR="00C60F05" w:rsidRPr="00C60F05" w:rsidRDefault="00C60F05" w:rsidP="00C60F05">
      <w:pPr>
        <w:widowControl w:val="0"/>
        <w:spacing w:after="180"/>
        <w:outlineLvl w:val="0"/>
        <w:rPr>
          <w:b/>
          <w:sz w:val="24"/>
          <w:szCs w:val="24"/>
        </w:rPr>
      </w:pPr>
      <w:r w:rsidRPr="00C60F05">
        <w:rPr>
          <w:b/>
          <w:sz w:val="24"/>
          <w:szCs w:val="24"/>
        </w:rPr>
        <w:t xml:space="preserve">Odběrné místo: </w:t>
      </w:r>
      <w:r w:rsidR="00713C9F">
        <w:rPr>
          <w:b/>
          <w:sz w:val="24"/>
          <w:szCs w:val="24"/>
        </w:rPr>
        <w:t>Dukelská 704/8</w:t>
      </w:r>
      <w:r w:rsidRPr="00C60F05">
        <w:rPr>
          <w:b/>
          <w:sz w:val="24"/>
          <w:szCs w:val="24"/>
        </w:rPr>
        <w:t>, Boskovice</w:t>
      </w:r>
    </w:p>
    <w:p w14:paraId="1721F903" w14:textId="77777777" w:rsidR="00C60F05" w:rsidRPr="00C60F05" w:rsidRDefault="00C60F05" w:rsidP="00C60F05">
      <w:pPr>
        <w:widowControl w:val="0"/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 w:rsidRPr="00C60F05">
        <w:rPr>
          <w:sz w:val="24"/>
          <w:szCs w:val="24"/>
        </w:rPr>
        <w:t>místo předání tepelné energie:</w:t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  <w:t xml:space="preserve">rozdělovač v kotelně </w:t>
      </w:r>
    </w:p>
    <w:p w14:paraId="0D5AB5A5" w14:textId="78CB0C75" w:rsidR="00C60F05" w:rsidRPr="008E5D72" w:rsidRDefault="00C60F05" w:rsidP="00C60F05">
      <w:pPr>
        <w:widowControl w:val="0"/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 w:rsidRPr="00C60F05">
        <w:rPr>
          <w:sz w:val="24"/>
          <w:szCs w:val="24"/>
        </w:rPr>
        <w:t>úroveň předání tepelné energie:</w:t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8E5D72">
        <w:rPr>
          <w:sz w:val="24"/>
          <w:szCs w:val="24"/>
        </w:rPr>
        <w:t>primární</w:t>
      </w:r>
    </w:p>
    <w:p w14:paraId="6BF72E57" w14:textId="77777777" w:rsidR="00C60F05" w:rsidRPr="00C60F05" w:rsidRDefault="00C60F05" w:rsidP="00C60F05">
      <w:pPr>
        <w:widowControl w:val="0"/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 w:rsidRPr="00C60F05">
        <w:rPr>
          <w:sz w:val="24"/>
          <w:szCs w:val="24"/>
        </w:rPr>
        <w:t>místo měření:</w:t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  <w:t>na patě OM – v kotelně</w:t>
      </w:r>
    </w:p>
    <w:p w14:paraId="04B9B0AD" w14:textId="77777777" w:rsidR="00C60F05" w:rsidRPr="00C60F05" w:rsidRDefault="00C60F05" w:rsidP="00C60F05">
      <w:pPr>
        <w:widowControl w:val="0"/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 w:rsidRPr="00C60F05">
        <w:rPr>
          <w:sz w:val="24"/>
          <w:szCs w:val="24"/>
        </w:rPr>
        <w:t>způsob měření:</w:t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  <w:t>stanoveným měřidlem</w:t>
      </w:r>
    </w:p>
    <w:p w14:paraId="62BB9411" w14:textId="77777777" w:rsidR="00C60F05" w:rsidRPr="00C60F05" w:rsidRDefault="00C60F05" w:rsidP="00C60F05">
      <w:pPr>
        <w:keepNext/>
        <w:widowControl w:val="0"/>
        <w:autoSpaceDE w:val="0"/>
        <w:autoSpaceDN w:val="0"/>
        <w:adjustRightInd w:val="0"/>
        <w:spacing w:after="180"/>
        <w:outlineLvl w:val="6"/>
        <w:rPr>
          <w:sz w:val="24"/>
          <w:szCs w:val="24"/>
        </w:rPr>
      </w:pPr>
      <w:r w:rsidRPr="00C60F05">
        <w:rPr>
          <w:sz w:val="24"/>
          <w:szCs w:val="24"/>
        </w:rPr>
        <w:t xml:space="preserve">Teplonosné médium: </w:t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  <w:t>voda</w:t>
      </w:r>
    </w:p>
    <w:p w14:paraId="512C4B5B" w14:textId="77777777" w:rsidR="00C60F05" w:rsidRPr="008E5D72" w:rsidRDefault="00C60F05" w:rsidP="00C60F05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C60F05">
        <w:rPr>
          <w:sz w:val="24"/>
          <w:szCs w:val="24"/>
        </w:rPr>
        <w:t>Tlak:</w:t>
      </w:r>
      <w:r w:rsidRPr="00C60F05">
        <w:rPr>
          <w:sz w:val="24"/>
          <w:szCs w:val="24"/>
        </w:rPr>
        <w:tab/>
      </w:r>
      <w:r w:rsidRPr="008E5D72">
        <w:rPr>
          <w:sz w:val="24"/>
          <w:szCs w:val="24"/>
        </w:rPr>
        <w:tab/>
      </w:r>
      <w:r w:rsidRPr="008E5D72">
        <w:rPr>
          <w:sz w:val="24"/>
          <w:szCs w:val="24"/>
        </w:rPr>
        <w:tab/>
      </w:r>
      <w:r w:rsidRPr="008E5D72">
        <w:rPr>
          <w:sz w:val="24"/>
          <w:szCs w:val="24"/>
        </w:rPr>
        <w:tab/>
        <w:t>0,08 – 0,5</w:t>
      </w:r>
      <w:r w:rsidRPr="008E5D72">
        <w:rPr>
          <w:sz w:val="24"/>
          <w:szCs w:val="24"/>
        </w:rPr>
        <w:tab/>
      </w:r>
      <w:proofErr w:type="spellStart"/>
      <w:r w:rsidRPr="008E5D72">
        <w:rPr>
          <w:sz w:val="24"/>
          <w:szCs w:val="24"/>
        </w:rPr>
        <w:t>MPa</w:t>
      </w:r>
      <w:proofErr w:type="spellEnd"/>
    </w:p>
    <w:p w14:paraId="2B53D394" w14:textId="77777777" w:rsidR="00C60F05" w:rsidRPr="008E5D72" w:rsidRDefault="00C60F05" w:rsidP="00C60F05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8E5D72">
        <w:rPr>
          <w:sz w:val="24"/>
          <w:szCs w:val="24"/>
        </w:rPr>
        <w:t>Tlaková diference:</w:t>
      </w:r>
      <w:r w:rsidRPr="008E5D72">
        <w:rPr>
          <w:sz w:val="24"/>
          <w:szCs w:val="24"/>
        </w:rPr>
        <w:tab/>
      </w:r>
      <w:r w:rsidRPr="008E5D72">
        <w:rPr>
          <w:sz w:val="24"/>
          <w:szCs w:val="24"/>
        </w:rPr>
        <w:tab/>
        <w:t>0,002 – 0,003</w:t>
      </w:r>
      <w:r w:rsidRPr="008E5D72">
        <w:rPr>
          <w:sz w:val="24"/>
          <w:szCs w:val="24"/>
        </w:rPr>
        <w:tab/>
      </w:r>
      <w:proofErr w:type="spellStart"/>
      <w:r w:rsidRPr="008E5D72">
        <w:rPr>
          <w:sz w:val="24"/>
          <w:szCs w:val="24"/>
        </w:rPr>
        <w:t>MPa</w:t>
      </w:r>
      <w:proofErr w:type="spellEnd"/>
    </w:p>
    <w:p w14:paraId="49E88F5C" w14:textId="1996BF8E" w:rsidR="00C60F05" w:rsidRPr="008E5D72" w:rsidRDefault="00C60F05" w:rsidP="00C60F05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8E5D72">
        <w:rPr>
          <w:sz w:val="24"/>
          <w:szCs w:val="24"/>
        </w:rPr>
        <w:t>Výkon:</w:t>
      </w:r>
      <w:r w:rsidRPr="008E5D72">
        <w:rPr>
          <w:sz w:val="24"/>
          <w:szCs w:val="24"/>
        </w:rPr>
        <w:tab/>
      </w:r>
      <w:r w:rsidRPr="008E5D72">
        <w:rPr>
          <w:sz w:val="24"/>
          <w:szCs w:val="24"/>
        </w:rPr>
        <w:tab/>
      </w:r>
      <w:r w:rsidRPr="008E5D72">
        <w:rPr>
          <w:sz w:val="24"/>
          <w:szCs w:val="24"/>
        </w:rPr>
        <w:tab/>
        <w:t>0,</w:t>
      </w:r>
      <w:r w:rsidR="008E5D72" w:rsidRPr="008E5D72">
        <w:rPr>
          <w:sz w:val="24"/>
          <w:szCs w:val="24"/>
        </w:rPr>
        <w:t>459</w:t>
      </w:r>
      <w:r w:rsidRPr="008E5D72">
        <w:rPr>
          <w:sz w:val="24"/>
          <w:szCs w:val="24"/>
        </w:rPr>
        <w:tab/>
      </w:r>
      <w:r w:rsidRPr="008E5D72">
        <w:rPr>
          <w:sz w:val="24"/>
          <w:szCs w:val="24"/>
        </w:rPr>
        <w:tab/>
        <w:t>MW</w:t>
      </w:r>
    </w:p>
    <w:p w14:paraId="79D097E8" w14:textId="7777777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C60F05">
        <w:rPr>
          <w:sz w:val="24"/>
          <w:szCs w:val="24"/>
        </w:rPr>
        <w:t xml:space="preserve">Teplota teplonosného média </w:t>
      </w:r>
      <w:r w:rsidRPr="00C60F05">
        <w:rPr>
          <w:i/>
          <w:sz w:val="24"/>
          <w:szCs w:val="24"/>
        </w:rPr>
        <w:t xml:space="preserve">(např. při -15 </w:t>
      </w:r>
      <w:r w:rsidRPr="00C60F05">
        <w:rPr>
          <w:i/>
          <w:sz w:val="24"/>
          <w:szCs w:val="24"/>
          <w:vertAlign w:val="superscript"/>
        </w:rPr>
        <w:t>˚</w:t>
      </w:r>
      <w:r w:rsidRPr="00C60F05">
        <w:rPr>
          <w:i/>
          <w:sz w:val="24"/>
          <w:szCs w:val="24"/>
        </w:rPr>
        <w:t>C</w:t>
      </w:r>
      <w:proofErr w:type="gramStart"/>
      <w:r w:rsidRPr="00C60F05">
        <w:rPr>
          <w:i/>
          <w:sz w:val="24"/>
          <w:szCs w:val="24"/>
        </w:rPr>
        <w:t>)</w:t>
      </w:r>
      <w:r w:rsidRPr="00C60F05">
        <w:rPr>
          <w:sz w:val="24"/>
          <w:szCs w:val="24"/>
        </w:rPr>
        <w:t xml:space="preserve">  přívod</w:t>
      </w:r>
      <w:proofErr w:type="gramEnd"/>
      <w:r w:rsidRPr="00C60F05">
        <w:rPr>
          <w:sz w:val="24"/>
          <w:szCs w:val="24"/>
        </w:rPr>
        <w:t>/zpátečka:</w:t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  <w:t>90</w:t>
      </w:r>
      <w:r w:rsidRPr="00C60F05">
        <w:rPr>
          <w:sz w:val="24"/>
          <w:szCs w:val="24"/>
          <w:vertAlign w:val="superscript"/>
        </w:rPr>
        <w:t>˚</w:t>
      </w:r>
      <w:r w:rsidRPr="00C60F05">
        <w:rPr>
          <w:sz w:val="24"/>
          <w:szCs w:val="24"/>
        </w:rPr>
        <w:t>C / 70</w:t>
      </w:r>
      <w:r w:rsidRPr="00C60F05">
        <w:rPr>
          <w:sz w:val="24"/>
          <w:szCs w:val="24"/>
          <w:vertAlign w:val="superscript"/>
        </w:rPr>
        <w:t>˚</w:t>
      </w:r>
      <w:r w:rsidRPr="00C60F05">
        <w:rPr>
          <w:sz w:val="24"/>
          <w:szCs w:val="24"/>
        </w:rPr>
        <w:t>C</w:t>
      </w:r>
    </w:p>
    <w:p w14:paraId="5260972A" w14:textId="7E72744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C60F05">
        <w:rPr>
          <w:sz w:val="24"/>
          <w:szCs w:val="24"/>
        </w:rPr>
        <w:t xml:space="preserve">Odběr TV: </w:t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="00B62A99">
        <w:rPr>
          <w:sz w:val="24"/>
          <w:szCs w:val="24"/>
        </w:rPr>
        <w:t>ano</w:t>
      </w:r>
    </w:p>
    <w:p w14:paraId="5E941813" w14:textId="2790AC0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C60F05">
        <w:rPr>
          <w:sz w:val="24"/>
          <w:szCs w:val="24"/>
        </w:rPr>
        <w:t>Odběr teplonosné látky:</w:t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="00B62A99">
        <w:rPr>
          <w:sz w:val="24"/>
          <w:szCs w:val="24"/>
        </w:rPr>
        <w:t>ne</w:t>
      </w:r>
    </w:p>
    <w:p w14:paraId="726C675E" w14:textId="7777777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C60F05">
        <w:rPr>
          <w:sz w:val="24"/>
          <w:szCs w:val="24"/>
        </w:rPr>
        <w:t>Otopné období:</w:t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</w:r>
      <w:r w:rsidRPr="00C60F05">
        <w:rPr>
          <w:sz w:val="24"/>
          <w:szCs w:val="24"/>
        </w:rPr>
        <w:tab/>
        <w:t>od 1. 9. – do 31. 5.</w:t>
      </w:r>
    </w:p>
    <w:p w14:paraId="43C67284" w14:textId="77777777" w:rsidR="00C60F05" w:rsidRPr="00C60F05" w:rsidRDefault="00C60F05" w:rsidP="00C60F05">
      <w:pPr>
        <w:spacing w:after="180"/>
        <w:jc w:val="center"/>
        <w:rPr>
          <w:b/>
          <w:i/>
          <w:sz w:val="24"/>
          <w:szCs w:val="24"/>
        </w:rPr>
      </w:pPr>
      <w:r w:rsidRPr="00C60F05"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878"/>
        <w:gridCol w:w="879"/>
        <w:gridCol w:w="878"/>
        <w:gridCol w:w="879"/>
        <w:gridCol w:w="878"/>
        <w:gridCol w:w="879"/>
        <w:gridCol w:w="879"/>
      </w:tblGrid>
      <w:tr w:rsidR="00C60F05" w:rsidRPr="00C60F05" w14:paraId="2C21AC3B" w14:textId="77777777" w:rsidTr="00C60F05">
        <w:trPr>
          <w:trHeight w:val="642"/>
          <w:jc w:val="center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4050D" w14:textId="77777777" w:rsidR="00C60F05" w:rsidRPr="00C60F05" w:rsidRDefault="00C60F05" w:rsidP="00C60F05">
            <w:pPr>
              <w:widowControl w:val="0"/>
              <w:spacing w:after="180"/>
              <w:jc w:val="both"/>
              <w:rPr>
                <w:sz w:val="24"/>
              </w:rPr>
            </w:pPr>
            <w:r w:rsidRPr="00C60F05">
              <w:rPr>
                <w:sz w:val="24"/>
              </w:rPr>
              <w:t>Venkovní teplota [</w:t>
            </w:r>
            <w:r w:rsidRPr="00C60F05">
              <w:rPr>
                <w:sz w:val="24"/>
                <w:vertAlign w:val="superscript"/>
              </w:rPr>
              <w:t>˚</w:t>
            </w:r>
            <w:r w:rsidRPr="00C60F05">
              <w:rPr>
                <w:sz w:val="24"/>
              </w:rP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2880F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A7419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4DC50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4E55F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02E2E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844D3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50946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-10</w:t>
            </w:r>
          </w:p>
        </w:tc>
      </w:tr>
      <w:tr w:rsidR="00C60F05" w:rsidRPr="00C60F05" w14:paraId="154EFE9D" w14:textId="77777777" w:rsidTr="00C60F05">
        <w:trPr>
          <w:trHeight w:val="675"/>
          <w:jc w:val="center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2D91932" w14:textId="77777777" w:rsidR="00C60F05" w:rsidRPr="00C60F05" w:rsidRDefault="00C60F05" w:rsidP="00C60F05">
            <w:pPr>
              <w:widowControl w:val="0"/>
              <w:spacing w:after="180"/>
              <w:jc w:val="both"/>
              <w:rPr>
                <w:sz w:val="24"/>
              </w:rPr>
            </w:pPr>
            <w:r w:rsidRPr="00C60F05">
              <w:rPr>
                <w:sz w:val="24"/>
              </w:rPr>
              <w:t>Přívodní teplota média [</w:t>
            </w:r>
            <w:r w:rsidRPr="00C60F05">
              <w:rPr>
                <w:sz w:val="24"/>
                <w:vertAlign w:val="superscript"/>
              </w:rPr>
              <w:t>˚</w:t>
            </w:r>
            <w:r w:rsidRPr="00C60F05">
              <w:rPr>
                <w:sz w:val="24"/>
              </w:rP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DA84AC2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+46,0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C48EC23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+53,6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497D7B3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+61,2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03AD7D3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+65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4C76A5C6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+68,4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EC27AE3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+75,2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5F14E21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+82,0</w:t>
            </w:r>
          </w:p>
        </w:tc>
      </w:tr>
    </w:tbl>
    <w:p w14:paraId="128A9079" w14:textId="77777777" w:rsidR="00C60F05" w:rsidRPr="00C60F05" w:rsidRDefault="00C60F05" w:rsidP="00C60F05">
      <w:pPr>
        <w:spacing w:after="180"/>
        <w:jc w:val="center"/>
        <w:rPr>
          <w:b/>
          <w:i/>
          <w:sz w:val="24"/>
          <w:szCs w:val="24"/>
        </w:rPr>
      </w:pPr>
    </w:p>
    <w:p w14:paraId="68D537B7" w14:textId="77777777" w:rsidR="00C60F05" w:rsidRPr="00C60F05" w:rsidRDefault="00C60F05" w:rsidP="00C60F05">
      <w:pPr>
        <w:spacing w:after="180"/>
        <w:jc w:val="center"/>
        <w:rPr>
          <w:b/>
          <w:i/>
          <w:sz w:val="24"/>
          <w:szCs w:val="24"/>
        </w:rPr>
      </w:pPr>
      <w:r w:rsidRPr="00C60F05"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73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878"/>
        <w:gridCol w:w="879"/>
        <w:gridCol w:w="878"/>
        <w:gridCol w:w="879"/>
        <w:gridCol w:w="878"/>
        <w:gridCol w:w="879"/>
        <w:gridCol w:w="879"/>
      </w:tblGrid>
      <w:tr w:rsidR="00C60F05" w:rsidRPr="00C60F05" w14:paraId="7FEF67DF" w14:textId="77777777" w:rsidTr="00C60F05">
        <w:trPr>
          <w:trHeight w:val="642"/>
          <w:jc w:val="center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74571" w14:textId="77777777" w:rsidR="00C60F05" w:rsidRPr="00C60F05" w:rsidRDefault="00C60F05" w:rsidP="00C60F05">
            <w:pPr>
              <w:widowControl w:val="0"/>
              <w:spacing w:after="180"/>
              <w:jc w:val="both"/>
              <w:rPr>
                <w:sz w:val="24"/>
              </w:rPr>
            </w:pPr>
            <w:r w:rsidRPr="00C60F05">
              <w:rPr>
                <w:sz w:val="24"/>
              </w:rPr>
              <w:t>Venkovní teplota [</w:t>
            </w:r>
            <w:r w:rsidRPr="00C60F05">
              <w:rPr>
                <w:sz w:val="24"/>
                <w:vertAlign w:val="superscript"/>
              </w:rPr>
              <w:t>˚</w:t>
            </w:r>
            <w:r w:rsidRPr="00C60F05">
              <w:rPr>
                <w:sz w:val="24"/>
              </w:rP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FD159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F203F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4CD5B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6E5F1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005C6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A51C0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EFDE7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sz w:val="24"/>
                <w:szCs w:val="22"/>
              </w:rPr>
            </w:pPr>
            <w:r w:rsidRPr="00C60F05">
              <w:rPr>
                <w:sz w:val="22"/>
                <w:szCs w:val="22"/>
              </w:rPr>
              <w:t>-10</w:t>
            </w:r>
          </w:p>
        </w:tc>
      </w:tr>
      <w:tr w:rsidR="00C60F05" w:rsidRPr="00C60F05" w14:paraId="55AAD910" w14:textId="77777777" w:rsidTr="00C60F05">
        <w:trPr>
          <w:trHeight w:val="675"/>
          <w:jc w:val="center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E70D7DD" w14:textId="77777777" w:rsidR="00C60F05" w:rsidRPr="00C60F05" w:rsidRDefault="00C60F05" w:rsidP="00C60F05">
            <w:pPr>
              <w:widowControl w:val="0"/>
              <w:spacing w:after="180"/>
              <w:jc w:val="both"/>
              <w:rPr>
                <w:sz w:val="24"/>
              </w:rPr>
            </w:pPr>
            <w:r w:rsidRPr="00C60F05">
              <w:rPr>
                <w:sz w:val="24"/>
              </w:rPr>
              <w:t>Přívodní teplota média [</w:t>
            </w:r>
            <w:r w:rsidRPr="00C60F05">
              <w:rPr>
                <w:sz w:val="24"/>
                <w:vertAlign w:val="superscript"/>
              </w:rPr>
              <w:t>˚</w:t>
            </w:r>
            <w:r w:rsidRPr="00C60F05">
              <w:rPr>
                <w:sz w:val="24"/>
              </w:rP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A160AE1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+43,7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AAC5285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+50,9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FE6B106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+58,1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02224ED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+61,8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38EF4162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+65,0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4DAC29AA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+71,4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0C7378C" w14:textId="77777777" w:rsidR="00C60F05" w:rsidRPr="00C60F05" w:rsidRDefault="00C60F05" w:rsidP="00C60F05">
            <w:pPr>
              <w:widowControl w:val="0"/>
              <w:spacing w:after="180"/>
              <w:jc w:val="center"/>
              <w:rPr>
                <w:rFonts w:ascii="Arial" w:hAnsi="Arial" w:cs="Arial"/>
                <w:sz w:val="24"/>
              </w:rPr>
            </w:pPr>
            <w:r w:rsidRPr="00C60F05">
              <w:rPr>
                <w:rFonts w:ascii="Arial" w:hAnsi="Arial" w:cs="Arial"/>
                <w:sz w:val="24"/>
              </w:rPr>
              <w:t>+77,9</w:t>
            </w:r>
          </w:p>
        </w:tc>
      </w:tr>
    </w:tbl>
    <w:p w14:paraId="02377BC1" w14:textId="330B23D1" w:rsidR="00C60F05" w:rsidRDefault="00C60F05" w:rsidP="008C66CB">
      <w:pPr>
        <w:spacing w:after="200" w:line="276" w:lineRule="auto"/>
        <w:rPr>
          <w:b/>
          <w:sz w:val="24"/>
          <w:szCs w:val="32"/>
        </w:rPr>
      </w:pPr>
      <w:r w:rsidRPr="00C60F05">
        <w:rPr>
          <w:b/>
          <w:sz w:val="24"/>
          <w:szCs w:val="32"/>
        </w:rPr>
        <w:br w:type="page"/>
      </w:r>
      <w:r w:rsidR="008C66CB">
        <w:rPr>
          <w:b/>
        </w:rPr>
        <w:lastRenderedPageBreak/>
        <w:t xml:space="preserve">Příloha č. 2 ke smlouvě o dodávce tepelné energie č. </w:t>
      </w:r>
      <w:r w:rsidR="00D40BB2">
        <w:rPr>
          <w:b/>
        </w:rPr>
        <w:t>01 - ČZ</w:t>
      </w:r>
    </w:p>
    <w:p w14:paraId="7E23A02D" w14:textId="77777777" w:rsidR="008C66CB" w:rsidRPr="00C60F05" w:rsidRDefault="008C66CB" w:rsidP="008C66CB">
      <w:pPr>
        <w:spacing w:after="200" w:line="276" w:lineRule="auto"/>
        <w:rPr>
          <w:b/>
          <w:sz w:val="24"/>
          <w:szCs w:val="32"/>
        </w:rPr>
      </w:pPr>
    </w:p>
    <w:p w14:paraId="25934B72" w14:textId="1CB94063" w:rsidR="00C60F05" w:rsidRPr="00C60F05" w:rsidRDefault="00C60F05" w:rsidP="00C60F05">
      <w:pPr>
        <w:spacing w:after="180"/>
        <w:jc w:val="center"/>
        <w:outlineLvl w:val="0"/>
        <w:rPr>
          <w:b/>
          <w:sz w:val="32"/>
          <w:szCs w:val="32"/>
        </w:rPr>
      </w:pPr>
      <w:r w:rsidRPr="00C60F05">
        <w:rPr>
          <w:b/>
          <w:sz w:val="32"/>
          <w:szCs w:val="32"/>
        </w:rPr>
        <w:t>Cenové ujednání pro rok 202</w:t>
      </w:r>
      <w:r w:rsidR="007877A3">
        <w:rPr>
          <w:b/>
          <w:sz w:val="32"/>
          <w:szCs w:val="32"/>
        </w:rPr>
        <w:t>3</w:t>
      </w:r>
    </w:p>
    <w:p w14:paraId="1EC20DF7" w14:textId="7777777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 w:rsidRPr="00C60F05">
        <w:rPr>
          <w:b/>
          <w:sz w:val="24"/>
          <w:szCs w:val="24"/>
        </w:rPr>
        <w:t>I.</w:t>
      </w:r>
    </w:p>
    <w:p w14:paraId="159E7408" w14:textId="7777777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 w:rsidRPr="00C60F05">
        <w:rPr>
          <w:b/>
          <w:sz w:val="24"/>
          <w:szCs w:val="24"/>
        </w:rPr>
        <w:t>Cena tepelné energie</w:t>
      </w:r>
    </w:p>
    <w:p w14:paraId="7AD60C54" w14:textId="7777777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C60F05">
        <w:rPr>
          <w:sz w:val="24"/>
          <w:szCs w:val="24"/>
        </w:rPr>
        <w:t>I.1. Cena tepelné energie je tvořena a sjednána v souladu s článkem 5.1. smlouvy.</w:t>
      </w:r>
    </w:p>
    <w:p w14:paraId="00A3DFEA" w14:textId="0484EF62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 w:rsidRPr="00C60F05">
        <w:rPr>
          <w:sz w:val="24"/>
          <w:szCs w:val="24"/>
        </w:rPr>
        <w:t xml:space="preserve">I.2. Cena tepelné energie se účtuje formou jednosložkové ceny ve výši </w:t>
      </w:r>
      <w:r w:rsidR="007877A3">
        <w:rPr>
          <w:sz w:val="24"/>
          <w:szCs w:val="24"/>
        </w:rPr>
        <w:t>913,62</w:t>
      </w:r>
      <w:r w:rsidRPr="00C60F05">
        <w:rPr>
          <w:sz w:val="24"/>
          <w:szCs w:val="24"/>
        </w:rPr>
        <w:t xml:space="preserve"> Kč/GJ (bez DPH).</w:t>
      </w:r>
    </w:p>
    <w:p w14:paraId="29D1CEFA" w14:textId="77777777" w:rsidR="00C60F05" w:rsidRPr="00806685" w:rsidRDefault="00C60F05" w:rsidP="00C60F05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C60F05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70FE24C9" w14:textId="77777777" w:rsidR="00C60F05" w:rsidRPr="00806685" w:rsidRDefault="00C60F05" w:rsidP="00C60F05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806685">
        <w:rPr>
          <w:sz w:val="24"/>
          <w:szCs w:val="24"/>
        </w:rPr>
        <w:t>Způsob platby:</w:t>
      </w:r>
      <w:r w:rsidRPr="00806685">
        <w:rPr>
          <w:sz w:val="24"/>
          <w:szCs w:val="24"/>
        </w:rPr>
        <w:tab/>
      </w:r>
      <w:r w:rsidRPr="00806685">
        <w:rPr>
          <w:sz w:val="24"/>
          <w:szCs w:val="24"/>
        </w:rPr>
        <w:tab/>
        <w:t>zálohový, převodním příkazem</w:t>
      </w:r>
    </w:p>
    <w:p w14:paraId="60D621CD" w14:textId="77777777" w:rsidR="00C60F05" w:rsidRPr="00806685" w:rsidRDefault="00C60F05" w:rsidP="00C60F05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806685">
        <w:rPr>
          <w:sz w:val="24"/>
          <w:szCs w:val="24"/>
        </w:rPr>
        <w:t>Splatnost:</w:t>
      </w:r>
      <w:r w:rsidRPr="00806685">
        <w:rPr>
          <w:sz w:val="24"/>
          <w:szCs w:val="24"/>
        </w:rPr>
        <w:tab/>
      </w:r>
      <w:r w:rsidRPr="00806685">
        <w:rPr>
          <w:sz w:val="24"/>
          <w:szCs w:val="24"/>
        </w:rPr>
        <w:tab/>
      </w:r>
      <w:r w:rsidRPr="00806685">
        <w:rPr>
          <w:sz w:val="24"/>
          <w:szCs w:val="24"/>
        </w:rPr>
        <w:tab/>
        <w:t xml:space="preserve">dle splátkového kalendáře  </w:t>
      </w:r>
    </w:p>
    <w:p w14:paraId="11DB9190" w14:textId="18E10B94" w:rsidR="00C60F05" w:rsidRPr="00806685" w:rsidRDefault="00C60F05" w:rsidP="00C60F05">
      <w:pPr>
        <w:widowControl w:val="0"/>
        <w:spacing w:after="180"/>
        <w:ind w:left="2832" w:hanging="2832"/>
        <w:jc w:val="both"/>
        <w:rPr>
          <w:sz w:val="24"/>
          <w:szCs w:val="24"/>
        </w:rPr>
      </w:pPr>
      <w:r w:rsidRPr="00806685">
        <w:rPr>
          <w:sz w:val="24"/>
          <w:szCs w:val="24"/>
        </w:rPr>
        <w:t>Adresa pro zaslání faktury:</w:t>
      </w:r>
      <w:r w:rsidRPr="00806685">
        <w:rPr>
          <w:sz w:val="24"/>
          <w:szCs w:val="24"/>
        </w:rPr>
        <w:tab/>
      </w:r>
      <w:r w:rsidR="00806685" w:rsidRPr="00806685">
        <w:rPr>
          <w:sz w:val="24"/>
          <w:szCs w:val="24"/>
        </w:rPr>
        <w:t xml:space="preserve">Střední škola André </w:t>
      </w:r>
      <w:proofErr w:type="spellStart"/>
      <w:r w:rsidR="00806685" w:rsidRPr="00806685">
        <w:rPr>
          <w:sz w:val="24"/>
          <w:szCs w:val="24"/>
        </w:rPr>
        <w:t>Citroëna</w:t>
      </w:r>
      <w:proofErr w:type="spellEnd"/>
      <w:r w:rsidR="00806685" w:rsidRPr="00806685">
        <w:rPr>
          <w:sz w:val="24"/>
          <w:szCs w:val="24"/>
        </w:rPr>
        <w:t xml:space="preserve"> Boskovice, příspěvková organizace</w:t>
      </w:r>
    </w:p>
    <w:p w14:paraId="08CFE6FD" w14:textId="2A74BB94" w:rsidR="00806685" w:rsidRPr="00806685" w:rsidRDefault="00806685" w:rsidP="00C60F05">
      <w:pPr>
        <w:widowControl w:val="0"/>
        <w:spacing w:after="180"/>
        <w:ind w:left="2832" w:hanging="2832"/>
        <w:jc w:val="both"/>
        <w:rPr>
          <w:sz w:val="24"/>
          <w:szCs w:val="24"/>
        </w:rPr>
      </w:pPr>
      <w:r w:rsidRPr="00806685">
        <w:rPr>
          <w:sz w:val="24"/>
          <w:szCs w:val="24"/>
        </w:rPr>
        <w:tab/>
        <w:t>náměstí 9. května 2153/</w:t>
      </w:r>
      <w:proofErr w:type="gramStart"/>
      <w:r w:rsidRPr="00806685">
        <w:rPr>
          <w:sz w:val="24"/>
          <w:szCs w:val="24"/>
        </w:rPr>
        <w:t>2a</w:t>
      </w:r>
      <w:proofErr w:type="gramEnd"/>
      <w:r w:rsidRPr="00806685">
        <w:rPr>
          <w:sz w:val="24"/>
          <w:szCs w:val="24"/>
        </w:rPr>
        <w:t>, 680 11 Boskovice</w:t>
      </w:r>
    </w:p>
    <w:p w14:paraId="2F6BFDDB" w14:textId="77777777" w:rsidR="00C60F05" w:rsidRPr="00C60F05" w:rsidRDefault="00C60F05" w:rsidP="00C60F05">
      <w:pPr>
        <w:widowControl w:val="0"/>
        <w:spacing w:after="180"/>
        <w:jc w:val="both"/>
        <w:rPr>
          <w:sz w:val="24"/>
          <w:szCs w:val="24"/>
        </w:rPr>
      </w:pPr>
      <w:r w:rsidRPr="00C60F05">
        <w:rPr>
          <w:sz w:val="24"/>
          <w:szCs w:val="24"/>
        </w:rPr>
        <w:t>I.3. Případnou změnu cenových ujednání dodavatel odběrateli navrhne nejpozději do 10 dnů, před jejím uplatněním.</w:t>
      </w:r>
    </w:p>
    <w:p w14:paraId="5CF68B68" w14:textId="77777777" w:rsidR="00C60F05" w:rsidRPr="00C60F05" w:rsidRDefault="00C60F05" w:rsidP="00C60F05">
      <w:pPr>
        <w:widowControl w:val="0"/>
        <w:spacing w:after="180"/>
        <w:jc w:val="both"/>
        <w:rPr>
          <w:sz w:val="24"/>
          <w:szCs w:val="24"/>
        </w:rPr>
      </w:pPr>
      <w:r w:rsidRPr="00C60F05">
        <w:rPr>
          <w:sz w:val="24"/>
          <w:szCs w:val="24"/>
        </w:rPr>
        <w:t xml:space="preserve">I.4. Budou-li smluvní strany v prodlení jakéhokoliv peněžitého závazku, činí úrok z prodlení </w:t>
      </w:r>
      <w:proofErr w:type="gramStart"/>
      <w:r w:rsidRPr="00C60F05">
        <w:rPr>
          <w:sz w:val="24"/>
          <w:szCs w:val="24"/>
        </w:rPr>
        <w:t>0,05%</w:t>
      </w:r>
      <w:proofErr w:type="gramEnd"/>
      <w:r w:rsidRPr="00C60F05">
        <w:rPr>
          <w:sz w:val="24"/>
          <w:szCs w:val="24"/>
        </w:rPr>
        <w:t xml:space="preserve"> z dlužné částky za každý den prodlení až do úplného zaplacení.</w:t>
      </w:r>
    </w:p>
    <w:p w14:paraId="794EEE3E" w14:textId="77777777" w:rsidR="00C60F05" w:rsidRPr="00C60F05" w:rsidRDefault="00C60F05" w:rsidP="00C60F05">
      <w:pPr>
        <w:widowControl w:val="0"/>
        <w:spacing w:after="180"/>
        <w:jc w:val="both"/>
        <w:rPr>
          <w:sz w:val="24"/>
          <w:szCs w:val="24"/>
        </w:rPr>
      </w:pPr>
      <w:r w:rsidRPr="00C60F05">
        <w:rPr>
          <w:sz w:val="24"/>
          <w:szCs w:val="24"/>
        </w:rPr>
        <w:t>I.5. Dodávka tepelné energie je během zúčtovacího období, tj. jeden kalendářní rok, hrazena formou záloh s tím, že splátkový kalendář, a tím i výše záloh, je uveden v části II. tohoto „Cenového ujednání“.</w:t>
      </w:r>
    </w:p>
    <w:p w14:paraId="6416BC14" w14:textId="7777777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 w:rsidRPr="00C60F05">
        <w:rPr>
          <w:b/>
          <w:sz w:val="24"/>
          <w:szCs w:val="24"/>
        </w:rPr>
        <w:t>II.</w:t>
      </w:r>
    </w:p>
    <w:p w14:paraId="573A3956" w14:textId="77777777" w:rsidR="00C60F05" w:rsidRPr="00C60F05" w:rsidRDefault="00C60F05" w:rsidP="00C60F05">
      <w:pPr>
        <w:widowControl w:val="0"/>
        <w:jc w:val="center"/>
        <w:rPr>
          <w:b/>
          <w:sz w:val="24"/>
          <w:szCs w:val="24"/>
        </w:rPr>
      </w:pPr>
      <w:r w:rsidRPr="00C60F05">
        <w:rPr>
          <w:b/>
          <w:sz w:val="24"/>
          <w:szCs w:val="24"/>
        </w:rPr>
        <w:t>Dohoda o zálohách</w:t>
      </w:r>
    </w:p>
    <w:p w14:paraId="6FB66B8F" w14:textId="77777777" w:rsidR="00C60F05" w:rsidRPr="00C60F05" w:rsidRDefault="00C60F05" w:rsidP="00C60F05">
      <w:pPr>
        <w:spacing w:after="180"/>
        <w:jc w:val="center"/>
        <w:rPr>
          <w:b/>
          <w:sz w:val="24"/>
          <w:szCs w:val="24"/>
        </w:rPr>
      </w:pPr>
      <w:r w:rsidRPr="00C60F05">
        <w:rPr>
          <w:b/>
          <w:sz w:val="24"/>
          <w:szCs w:val="24"/>
        </w:rPr>
        <w:t>Návrh dohody o měsíčních zálohách, kde zúčtovacím obdobím je jeden kalendářní rok</w:t>
      </w:r>
    </w:p>
    <w:p w14:paraId="44494C8D" w14:textId="77777777" w:rsidR="00C60F05" w:rsidRPr="00C60F05" w:rsidRDefault="00C60F05" w:rsidP="00C60F05">
      <w:pPr>
        <w:widowControl w:val="0"/>
        <w:spacing w:after="180"/>
        <w:jc w:val="both"/>
        <w:rPr>
          <w:sz w:val="24"/>
          <w:szCs w:val="24"/>
        </w:rPr>
      </w:pPr>
      <w:r w:rsidRPr="00C60F05">
        <w:rPr>
          <w:sz w:val="24"/>
          <w:szCs w:val="24"/>
        </w:rPr>
        <w:t>II.1. Smluvní strany se dohodly, že odběratel dodavateli bude poskytovat dílčí platby ročního plnění za dodávku tepelné energie ve formě měsíčních záloh.</w:t>
      </w:r>
    </w:p>
    <w:p w14:paraId="4B0AA3F3" w14:textId="671AAA9E" w:rsidR="00C60F05" w:rsidRPr="00C60F05" w:rsidRDefault="00C60F05" w:rsidP="00C60F05">
      <w:pPr>
        <w:widowControl w:val="0"/>
        <w:jc w:val="both"/>
        <w:rPr>
          <w:sz w:val="24"/>
          <w:szCs w:val="24"/>
        </w:rPr>
      </w:pPr>
      <w:r w:rsidRPr="00C60F05">
        <w:rPr>
          <w:sz w:val="24"/>
          <w:szCs w:val="24"/>
        </w:rPr>
        <w:t xml:space="preserve">II.2. Celková roční zálohová částka činí </w:t>
      </w:r>
      <w:r w:rsidR="00806685" w:rsidRPr="00806685">
        <w:rPr>
          <w:b/>
          <w:bCs/>
          <w:sz w:val="24"/>
          <w:szCs w:val="24"/>
        </w:rPr>
        <w:t>304 918,00</w:t>
      </w:r>
      <w:r w:rsidRPr="00806685">
        <w:rPr>
          <w:b/>
          <w:bCs/>
          <w:sz w:val="24"/>
          <w:szCs w:val="24"/>
        </w:rPr>
        <w:t xml:space="preserve"> Kč (včetně DPH)</w:t>
      </w:r>
      <w:r w:rsidRPr="00C60F05">
        <w:rPr>
          <w:sz w:val="24"/>
          <w:szCs w:val="24"/>
        </w:rPr>
        <w:t>. Jednotlivé měsíční zálohy jsou splatné vždy k 20. dni příslušného měsíce na výše uvedený účet dodavatele, variabilní symbol: číslo zálohové faktury.</w:t>
      </w:r>
    </w:p>
    <w:p w14:paraId="72407C3D" w14:textId="77777777" w:rsidR="00C60F05" w:rsidRPr="00C60F05" w:rsidRDefault="00C60F05" w:rsidP="00C60F05">
      <w:pPr>
        <w:widowControl w:val="0"/>
        <w:spacing w:after="180"/>
        <w:jc w:val="both"/>
        <w:rPr>
          <w:sz w:val="24"/>
          <w:szCs w:val="24"/>
        </w:rPr>
      </w:pPr>
      <w:r w:rsidRPr="00C60F05"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400" w:type="dxa"/>
        <w:tblInd w:w="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C60F05" w:rsidRPr="00C60F05" w14:paraId="2A8FAD5D" w14:textId="77777777" w:rsidTr="009E5523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B1DA2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C60F05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91DE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C60F05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4A61A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C60F05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EC9D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C60F05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63395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C60F05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8803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C60F05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C60F05" w:rsidRPr="00C60F05" w14:paraId="19F5D7AA" w14:textId="77777777" w:rsidTr="007877A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A8D31" w14:textId="6ADD364C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20.01.202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78AC8" w14:textId="7AE02896" w:rsidR="00C60F05" w:rsidRPr="00C60F05" w:rsidRDefault="00C60F0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40FC4" w14:textId="599B1BC6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20.05.202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BDCECE" w14:textId="0717E664" w:rsidR="00C60F05" w:rsidRPr="00C60F05" w:rsidRDefault="00C60F0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3B7BD" w14:textId="4E8CA4C7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20.09.202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C8DBA" w14:textId="4A7631F1" w:rsidR="00C60F05" w:rsidRPr="00C60F05" w:rsidRDefault="0080668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15 670,00</w:t>
            </w:r>
          </w:p>
        </w:tc>
      </w:tr>
      <w:tr w:rsidR="00C60F05" w:rsidRPr="00C60F05" w14:paraId="3CDBA1C0" w14:textId="77777777" w:rsidTr="007877A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45FD" w14:textId="138C82CB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20.02.202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CBB59" w14:textId="04820638" w:rsidR="00C60F05" w:rsidRPr="00C60F05" w:rsidRDefault="00C60F0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2744" w14:textId="4F2297EF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20.06.202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B1EC3" w14:textId="3AEE4AC4" w:rsidR="00C60F05" w:rsidRPr="00C60F05" w:rsidRDefault="00C60F0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80E7B" w14:textId="2A900190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20.10.202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B0773F" w14:textId="098E963C" w:rsidR="00C60F05" w:rsidRPr="00C60F05" w:rsidRDefault="0080668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60 983,00</w:t>
            </w:r>
          </w:p>
        </w:tc>
      </w:tr>
      <w:tr w:rsidR="00C60F05" w:rsidRPr="00C60F05" w14:paraId="6131ED0F" w14:textId="77777777" w:rsidTr="007877A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911F3" w14:textId="75913B43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20.03.202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270E5" w14:textId="0B355269" w:rsidR="00C60F05" w:rsidRPr="00C60F05" w:rsidRDefault="00C60F0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1BDF6" w14:textId="07C252CF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20.07.202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E145C1" w14:textId="62B72322" w:rsidR="00C60F05" w:rsidRPr="00C60F05" w:rsidRDefault="00C60F0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F094" w14:textId="0B10075D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20.11.202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33415" w14:textId="690B2287" w:rsidR="00C60F05" w:rsidRPr="00C60F05" w:rsidRDefault="0080668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99 825,00</w:t>
            </w:r>
          </w:p>
        </w:tc>
      </w:tr>
      <w:tr w:rsidR="00C60F05" w:rsidRPr="00C60F05" w14:paraId="2256BE4D" w14:textId="77777777" w:rsidTr="007877A3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033B6" w14:textId="68621462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20.04.202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CB019" w14:textId="17A7453D" w:rsidR="00C60F05" w:rsidRPr="00C60F05" w:rsidRDefault="00C60F0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C86E5" w14:textId="310254B7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20.08.202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FFFAE6" w14:textId="0111A54A" w:rsidR="00C60F05" w:rsidRPr="00C60F05" w:rsidRDefault="0080668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9 195,00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91F33" w14:textId="27B07B41" w:rsidR="00C60F05" w:rsidRPr="00C60F05" w:rsidRDefault="00C60F05" w:rsidP="00C60F05">
            <w:pPr>
              <w:widowControl w:val="0"/>
              <w:jc w:val="right"/>
              <w:rPr>
                <w:color w:val="000000"/>
                <w:sz w:val="24"/>
                <w:szCs w:val="22"/>
              </w:rPr>
            </w:pPr>
            <w:r w:rsidRPr="00C60F05">
              <w:rPr>
                <w:color w:val="000000"/>
                <w:sz w:val="22"/>
                <w:szCs w:val="22"/>
              </w:rPr>
              <w:t>20.12.202</w:t>
            </w:r>
            <w:r w:rsidR="00787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3EB29C" w14:textId="35F89053" w:rsidR="00C60F05" w:rsidRPr="00C60F05" w:rsidRDefault="00806685" w:rsidP="00C60F0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119 245,00</w:t>
            </w:r>
          </w:p>
        </w:tc>
      </w:tr>
    </w:tbl>
    <w:p w14:paraId="74CF4937" w14:textId="7777777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4F38BA7E" w14:textId="7777777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C60F05">
        <w:rPr>
          <w:sz w:val="24"/>
          <w:szCs w:val="24"/>
        </w:rPr>
        <w:lastRenderedPageBreak/>
        <w:t>II.4. Dodavatel se zavazuje provést konečné vyúčtování zálohových faktur do 28. února následujícího roku.</w:t>
      </w:r>
    </w:p>
    <w:p w14:paraId="4E5742D2" w14:textId="7777777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 w:rsidRPr="00C60F05">
        <w:rPr>
          <w:sz w:val="24"/>
          <w:szCs w:val="24"/>
          <w:u w:val="single"/>
        </w:rPr>
        <w:t>Předpokládaný odběr tepla v jednotlivých místech odběru:</w:t>
      </w:r>
    </w:p>
    <w:tbl>
      <w:tblPr>
        <w:tblW w:w="7257" w:type="dxa"/>
        <w:tblInd w:w="1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000"/>
        <w:gridCol w:w="3637"/>
      </w:tblGrid>
      <w:tr w:rsidR="00806685" w:rsidRPr="00806685" w14:paraId="357BB1BD" w14:textId="77777777" w:rsidTr="009E5523">
        <w:trPr>
          <w:trHeight w:val="599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B6455" w14:textId="77777777" w:rsidR="00C60F05" w:rsidRPr="00806685" w:rsidRDefault="00C60F05" w:rsidP="00C60F05">
            <w:pPr>
              <w:widowControl w:val="0"/>
              <w:rPr>
                <w:sz w:val="24"/>
                <w:szCs w:val="24"/>
              </w:rPr>
            </w:pPr>
            <w:r w:rsidRPr="00806685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D5E3" w14:textId="77777777" w:rsidR="00C60F05" w:rsidRPr="00806685" w:rsidRDefault="00C60F05" w:rsidP="00C60F05">
            <w:pPr>
              <w:widowControl w:val="0"/>
              <w:jc w:val="center"/>
              <w:rPr>
                <w:sz w:val="24"/>
                <w:szCs w:val="24"/>
              </w:rPr>
            </w:pPr>
            <w:r w:rsidRPr="00806685">
              <w:rPr>
                <w:sz w:val="24"/>
                <w:szCs w:val="24"/>
              </w:rPr>
              <w:t>GJ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E4A79" w14:textId="77777777" w:rsidR="00C60F05" w:rsidRPr="00806685" w:rsidRDefault="00C60F05" w:rsidP="00C60F05">
            <w:pPr>
              <w:widowControl w:val="0"/>
              <w:jc w:val="center"/>
              <w:rPr>
                <w:sz w:val="24"/>
                <w:szCs w:val="24"/>
              </w:rPr>
            </w:pPr>
            <w:r w:rsidRPr="00806685">
              <w:rPr>
                <w:sz w:val="24"/>
                <w:szCs w:val="24"/>
              </w:rPr>
              <w:t>zálohová platba                              Kč vč. DPH/rok</w:t>
            </w:r>
          </w:p>
        </w:tc>
      </w:tr>
      <w:tr w:rsidR="00806685" w:rsidRPr="00806685" w14:paraId="26C2C947" w14:textId="77777777" w:rsidTr="00806685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E78D3" w14:textId="3EFF1A81" w:rsidR="00C60F05" w:rsidRPr="00806685" w:rsidRDefault="00806685" w:rsidP="00C60F05">
            <w:pPr>
              <w:widowControl w:val="0"/>
              <w:rPr>
                <w:sz w:val="24"/>
                <w:szCs w:val="24"/>
              </w:rPr>
            </w:pPr>
            <w:r w:rsidRPr="00806685">
              <w:rPr>
                <w:sz w:val="24"/>
                <w:szCs w:val="24"/>
              </w:rPr>
              <w:t xml:space="preserve">Střední škola André </w:t>
            </w:r>
            <w:proofErr w:type="spellStart"/>
            <w:r w:rsidRPr="00806685">
              <w:rPr>
                <w:sz w:val="24"/>
                <w:szCs w:val="24"/>
              </w:rPr>
              <w:t>Citroëna</w:t>
            </w:r>
            <w:proofErr w:type="spellEnd"/>
            <w:r w:rsidRPr="00806685">
              <w:rPr>
                <w:sz w:val="24"/>
                <w:szCs w:val="24"/>
              </w:rPr>
              <w:t xml:space="preserve"> Boskovice</w:t>
            </w:r>
            <w:r>
              <w:rPr>
                <w:sz w:val="24"/>
                <w:szCs w:val="24"/>
              </w:rPr>
              <w:t>, příspěvková organizace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1655" w14:textId="3FF6DC08" w:rsidR="00C60F05" w:rsidRPr="00806685" w:rsidRDefault="00806685" w:rsidP="00C60F05">
            <w:pPr>
              <w:widowControl w:val="0"/>
              <w:jc w:val="center"/>
              <w:rPr>
                <w:sz w:val="24"/>
                <w:szCs w:val="24"/>
              </w:rPr>
            </w:pPr>
            <w:r w:rsidRPr="00806685">
              <w:rPr>
                <w:sz w:val="24"/>
                <w:szCs w:val="24"/>
              </w:rPr>
              <w:t>303,41</w:t>
            </w:r>
          </w:p>
        </w:tc>
        <w:tc>
          <w:tcPr>
            <w:tcW w:w="3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B95B" w14:textId="388DA0B1" w:rsidR="00C60F05" w:rsidRPr="00806685" w:rsidRDefault="00806685" w:rsidP="00C60F05">
            <w:pPr>
              <w:widowControl w:val="0"/>
              <w:jc w:val="center"/>
              <w:rPr>
                <w:sz w:val="24"/>
                <w:szCs w:val="24"/>
              </w:rPr>
            </w:pPr>
            <w:r w:rsidRPr="00806685">
              <w:rPr>
                <w:sz w:val="24"/>
                <w:szCs w:val="24"/>
              </w:rPr>
              <w:t>304 918,00</w:t>
            </w:r>
          </w:p>
        </w:tc>
      </w:tr>
    </w:tbl>
    <w:p w14:paraId="19B06DF4" w14:textId="7777777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2076F638" w14:textId="77777777" w:rsidR="00C60F05" w:rsidRPr="00C60F05" w:rsidRDefault="00C60F05" w:rsidP="00C60F05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 w:rsidRPr="00C60F05">
        <w:rPr>
          <w:b/>
          <w:sz w:val="24"/>
          <w:szCs w:val="24"/>
        </w:rPr>
        <w:t>III.</w:t>
      </w:r>
    </w:p>
    <w:p w14:paraId="0ED08E40" w14:textId="77777777" w:rsidR="00C60F05" w:rsidRPr="00C60F05" w:rsidRDefault="00C60F05" w:rsidP="00C60F05">
      <w:pPr>
        <w:spacing w:after="180"/>
        <w:jc w:val="center"/>
        <w:rPr>
          <w:b/>
          <w:sz w:val="24"/>
          <w:szCs w:val="24"/>
        </w:rPr>
      </w:pPr>
      <w:r w:rsidRPr="00C60F05">
        <w:rPr>
          <w:b/>
          <w:sz w:val="24"/>
          <w:szCs w:val="24"/>
        </w:rPr>
        <w:t>Odběrový diagram</w:t>
      </w:r>
    </w:p>
    <w:p w14:paraId="71EDE0CC" w14:textId="77777777" w:rsidR="00C60F05" w:rsidRPr="00C60F05" w:rsidRDefault="00C60F05" w:rsidP="00C60F05">
      <w:pPr>
        <w:spacing w:after="180"/>
        <w:jc w:val="both"/>
        <w:rPr>
          <w:sz w:val="24"/>
          <w:szCs w:val="24"/>
        </w:rPr>
      </w:pPr>
      <w:r w:rsidRPr="00C60F05">
        <w:rPr>
          <w:sz w:val="24"/>
          <w:szCs w:val="24"/>
        </w:rPr>
        <w:t>III.1. Celkový plánovaný odběr tepelné energie, včetně časového rozlišení odběru, je uveden v odběrovém diagramu:</w:t>
      </w:r>
    </w:p>
    <w:p w14:paraId="4DD5F11D" w14:textId="77777777" w:rsidR="00C60F05" w:rsidRPr="00C60F05" w:rsidRDefault="00C60F05" w:rsidP="00C60F05">
      <w:pPr>
        <w:spacing w:after="180"/>
        <w:jc w:val="center"/>
        <w:rPr>
          <w:b/>
          <w:sz w:val="24"/>
          <w:szCs w:val="24"/>
        </w:rPr>
      </w:pPr>
      <w:r w:rsidRPr="00C60F05">
        <w:rPr>
          <w:b/>
          <w:sz w:val="24"/>
          <w:szCs w:val="24"/>
        </w:rPr>
        <w:t>Návrh odběrového diagramu:</w:t>
      </w:r>
    </w:p>
    <w:tbl>
      <w:tblPr>
        <w:tblW w:w="873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993"/>
        <w:gridCol w:w="1843"/>
        <w:gridCol w:w="1400"/>
        <w:gridCol w:w="1660"/>
      </w:tblGrid>
      <w:tr w:rsidR="00C60F05" w:rsidRPr="00C60F05" w14:paraId="045DAF5B" w14:textId="77777777" w:rsidTr="009E5523">
        <w:trPr>
          <w:trHeight w:val="5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BAE1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F05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1F4E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F05">
              <w:rPr>
                <w:b/>
                <w:bCs/>
                <w:color w:val="000000"/>
                <w:sz w:val="24"/>
                <w:szCs w:val="24"/>
              </w:rPr>
              <w:t xml:space="preserve">Sjednané </w:t>
            </w:r>
            <w:proofErr w:type="gramStart"/>
            <w:r w:rsidRPr="00C60F05">
              <w:rPr>
                <w:b/>
                <w:bCs/>
                <w:color w:val="000000"/>
                <w:sz w:val="24"/>
                <w:szCs w:val="24"/>
              </w:rPr>
              <w:t>množství  GJ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DDCF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F05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2C4F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F05">
              <w:rPr>
                <w:b/>
                <w:bCs/>
                <w:color w:val="000000"/>
                <w:sz w:val="24"/>
                <w:szCs w:val="24"/>
              </w:rPr>
              <w:t xml:space="preserve">Sjednané </w:t>
            </w:r>
            <w:proofErr w:type="gramStart"/>
            <w:r w:rsidRPr="00C60F05">
              <w:rPr>
                <w:b/>
                <w:bCs/>
                <w:color w:val="000000"/>
                <w:sz w:val="24"/>
                <w:szCs w:val="24"/>
              </w:rPr>
              <w:t>množství  GJ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CB1F0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F05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F27E" w14:textId="7777777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F05">
              <w:rPr>
                <w:b/>
                <w:bCs/>
                <w:color w:val="000000"/>
                <w:sz w:val="24"/>
                <w:szCs w:val="24"/>
              </w:rPr>
              <w:t xml:space="preserve">Sjednané </w:t>
            </w:r>
            <w:proofErr w:type="gramStart"/>
            <w:r w:rsidRPr="00C60F05">
              <w:rPr>
                <w:b/>
                <w:bCs/>
                <w:color w:val="000000"/>
                <w:sz w:val="24"/>
                <w:szCs w:val="24"/>
              </w:rPr>
              <w:t>množství  GJ</w:t>
            </w:r>
            <w:proofErr w:type="gramEnd"/>
          </w:p>
        </w:tc>
      </w:tr>
      <w:tr w:rsidR="00C60F05" w:rsidRPr="00C60F05" w14:paraId="2D30064A" w14:textId="77777777" w:rsidTr="007877A3">
        <w:trPr>
          <w:trHeight w:val="3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F8E6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leden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543EF" w14:textId="3875233D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DA07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květen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80CD7" w14:textId="27BF05A8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8D30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září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258A8" w14:textId="2949B5D5" w:rsidR="00C60F05" w:rsidRPr="00C60F05" w:rsidRDefault="0080668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15,59</w:t>
            </w:r>
          </w:p>
        </w:tc>
      </w:tr>
      <w:tr w:rsidR="00C60F05" w:rsidRPr="00C60F05" w14:paraId="0C16C617" w14:textId="77777777" w:rsidTr="007877A3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E15E2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 xml:space="preserve">únor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A4023" w14:textId="00D5AA1A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7209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červen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2654A" w14:textId="6648BF8E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8D31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říjen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96B50" w14:textId="44684A30" w:rsidR="00C60F05" w:rsidRPr="00C60F05" w:rsidRDefault="0080668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60,68</w:t>
            </w:r>
          </w:p>
        </w:tc>
      </w:tr>
      <w:tr w:rsidR="00C60F05" w:rsidRPr="00C60F05" w14:paraId="21A949BF" w14:textId="77777777" w:rsidTr="007877A3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14A7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březen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742A0" w14:textId="1FEB5574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ECE8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červenec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478FE" w14:textId="0FE991A7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73A7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B9D2B" w14:textId="7B8B2DF5" w:rsidR="00C60F05" w:rsidRPr="00C60F05" w:rsidRDefault="0080668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99,33</w:t>
            </w:r>
          </w:p>
        </w:tc>
      </w:tr>
      <w:tr w:rsidR="00C60F05" w:rsidRPr="00C60F05" w14:paraId="21B0EC06" w14:textId="77777777" w:rsidTr="007877A3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F708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duben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7D527" w14:textId="223A0ADA" w:rsidR="00C60F05" w:rsidRPr="00C60F05" w:rsidRDefault="00C60F0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4510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srpen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B2F15" w14:textId="1A55DF00" w:rsidR="00C60F05" w:rsidRPr="00C60F05" w:rsidRDefault="0080668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2248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prosinec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1DBFB" w14:textId="10360565" w:rsidR="00C60F05" w:rsidRPr="00C60F05" w:rsidRDefault="0080668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118,65</w:t>
            </w:r>
          </w:p>
        </w:tc>
      </w:tr>
      <w:tr w:rsidR="00C60F05" w:rsidRPr="00C60F05" w14:paraId="11D8535C" w14:textId="77777777" w:rsidTr="009E5523">
        <w:trPr>
          <w:trHeight w:val="315"/>
        </w:trPr>
        <w:tc>
          <w:tcPr>
            <w:tcW w:w="70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B72BB" w14:textId="77777777" w:rsidR="00C60F05" w:rsidRPr="00C60F05" w:rsidRDefault="00C60F05" w:rsidP="00C60F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60F05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D2D87" w14:textId="19ED8D5E" w:rsidR="00C60F05" w:rsidRPr="00C60F05" w:rsidRDefault="00806685" w:rsidP="00C60F0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303,41</w:t>
            </w:r>
          </w:p>
        </w:tc>
      </w:tr>
      <w:tr w:rsidR="00C60F05" w:rsidRPr="00C60F05" w14:paraId="5EFF093C" w14:textId="77777777" w:rsidTr="009E5523">
        <w:trPr>
          <w:trHeight w:val="330"/>
        </w:trPr>
        <w:tc>
          <w:tcPr>
            <w:tcW w:w="70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2B68E" w14:textId="77777777" w:rsidR="00C60F05" w:rsidRPr="00C60F05" w:rsidRDefault="00C60F05" w:rsidP="00C60F05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24007" w14:textId="77777777" w:rsidR="00C60F05" w:rsidRPr="00C60F05" w:rsidRDefault="00C60F05" w:rsidP="00C60F05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9122194" w14:textId="77777777" w:rsidR="00C60F05" w:rsidRPr="00C60F05" w:rsidRDefault="00C60F05" w:rsidP="00C60F05">
      <w:pPr>
        <w:spacing w:after="180"/>
        <w:jc w:val="both"/>
        <w:rPr>
          <w:sz w:val="24"/>
          <w:szCs w:val="24"/>
        </w:rPr>
      </w:pPr>
    </w:p>
    <w:p w14:paraId="479F225A" w14:textId="77777777" w:rsidR="00C60F05" w:rsidRPr="00C60F05" w:rsidRDefault="00C60F05" w:rsidP="00C60F05">
      <w:pPr>
        <w:spacing w:after="180"/>
        <w:jc w:val="both"/>
        <w:rPr>
          <w:sz w:val="24"/>
          <w:szCs w:val="24"/>
        </w:rPr>
      </w:pPr>
      <w:r w:rsidRPr="00C60F05">
        <w:rPr>
          <w:sz w:val="24"/>
          <w:szCs w:val="24"/>
        </w:rPr>
        <w:t xml:space="preserve">III.2. Případné změny odběrového diagramu na následující rok sjednává odběratel a dodavatel vždy do 15. prosince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1B0C9DD5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7877A3">
        <w:t>3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F3AD49F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9BE13F0" w:rsidR="007C2AB2" w:rsidRDefault="00766A14" w:rsidP="00EB0D01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A29D" w14:textId="77777777" w:rsidR="004A6BB1" w:rsidRDefault="004A6BB1">
      <w:pPr>
        <w:rPr>
          <w:sz w:val="24"/>
        </w:rPr>
      </w:pPr>
      <w:r>
        <w:separator/>
      </w:r>
    </w:p>
  </w:endnote>
  <w:endnote w:type="continuationSeparator" w:id="0">
    <w:p w14:paraId="3C84268C" w14:textId="77777777" w:rsidR="004A6BB1" w:rsidRDefault="004A6BB1">
      <w:pPr>
        <w:rPr>
          <w:sz w:val="24"/>
        </w:rPr>
      </w:pPr>
      <w:r>
        <w:continuationSeparator/>
      </w:r>
    </w:p>
  </w:endnote>
  <w:endnote w:type="continuationNotice" w:id="1">
    <w:p w14:paraId="676F1914" w14:textId="77777777" w:rsidR="004A6BB1" w:rsidRDefault="004A6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2F3BC2DF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336C8">
      <w:rPr>
        <w:noProof/>
      </w:rPr>
      <w:t>7</w:t>
    </w:r>
    <w:r>
      <w:fldChar w:fldCharType="end"/>
    </w:r>
    <w:r>
      <w:t xml:space="preserve"> z</w:t>
    </w:r>
    <w:r w:rsidR="00EB0D01">
      <w:t> 7</w:t>
    </w:r>
  </w:p>
  <w:p w14:paraId="00ACCBB0" w14:textId="77777777" w:rsidR="00EB0D01" w:rsidRDefault="00EB0D01">
    <w:pPr>
      <w:pStyle w:val="Zpat"/>
      <w:jc w:val="center"/>
    </w:pPr>
  </w:p>
  <w:p w14:paraId="69218602" w14:textId="77777777" w:rsidR="001D158F" w:rsidRDefault="001D158F">
    <w:pPr>
      <w:pStyle w:val="Zpat"/>
      <w:jc w:val="center"/>
    </w:pPr>
  </w:p>
  <w:p w14:paraId="65ADE48D" w14:textId="77777777" w:rsidR="001D158F" w:rsidRDefault="001D158F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60F0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85E1" w14:textId="77777777" w:rsidR="004A6BB1" w:rsidRDefault="004A6BB1">
      <w:pPr>
        <w:rPr>
          <w:sz w:val="24"/>
        </w:rPr>
      </w:pPr>
      <w:r>
        <w:separator/>
      </w:r>
    </w:p>
  </w:footnote>
  <w:footnote w:type="continuationSeparator" w:id="0">
    <w:p w14:paraId="20DBAD9D" w14:textId="77777777" w:rsidR="004A6BB1" w:rsidRDefault="004A6BB1">
      <w:pPr>
        <w:rPr>
          <w:sz w:val="24"/>
        </w:rPr>
      </w:pPr>
      <w:r>
        <w:continuationSeparator/>
      </w:r>
    </w:p>
  </w:footnote>
  <w:footnote w:type="continuationNotice" w:id="1">
    <w:p w14:paraId="6A6368DB" w14:textId="77777777" w:rsidR="004A6BB1" w:rsidRDefault="004A6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605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AF2"/>
    <w:multiLevelType w:val="hybridMultilevel"/>
    <w:tmpl w:val="DC425238"/>
    <w:lvl w:ilvl="0" w:tplc="C3B0ED2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955534">
    <w:abstractNumId w:val="10"/>
  </w:num>
  <w:num w:numId="2" w16cid:durableId="2137597452">
    <w:abstractNumId w:val="0"/>
  </w:num>
  <w:num w:numId="3" w16cid:durableId="503014792">
    <w:abstractNumId w:val="6"/>
  </w:num>
  <w:num w:numId="4" w16cid:durableId="299073430">
    <w:abstractNumId w:val="7"/>
  </w:num>
  <w:num w:numId="5" w16cid:durableId="1917930367">
    <w:abstractNumId w:val="2"/>
  </w:num>
  <w:num w:numId="6" w16cid:durableId="1418940221">
    <w:abstractNumId w:val="15"/>
  </w:num>
  <w:num w:numId="7" w16cid:durableId="1406217814">
    <w:abstractNumId w:val="11"/>
  </w:num>
  <w:num w:numId="8" w16cid:durableId="1941719144">
    <w:abstractNumId w:val="5"/>
  </w:num>
  <w:num w:numId="9" w16cid:durableId="1512840428">
    <w:abstractNumId w:val="13"/>
  </w:num>
  <w:num w:numId="10" w16cid:durableId="858587729">
    <w:abstractNumId w:val="1"/>
  </w:num>
  <w:num w:numId="11" w16cid:durableId="1781799374">
    <w:abstractNumId w:val="3"/>
  </w:num>
  <w:num w:numId="12" w16cid:durableId="1172376756">
    <w:abstractNumId w:val="8"/>
  </w:num>
  <w:num w:numId="13" w16cid:durableId="1812795292">
    <w:abstractNumId w:val="12"/>
  </w:num>
  <w:num w:numId="14" w16cid:durableId="160000804">
    <w:abstractNumId w:val="14"/>
  </w:num>
  <w:num w:numId="15" w16cid:durableId="1943679043">
    <w:abstractNumId w:val="9"/>
  </w:num>
  <w:num w:numId="16" w16cid:durableId="338894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6D16"/>
    <w:rsid w:val="000279D3"/>
    <w:rsid w:val="000336C8"/>
    <w:rsid w:val="00055FDA"/>
    <w:rsid w:val="00066140"/>
    <w:rsid w:val="000778A6"/>
    <w:rsid w:val="0009357D"/>
    <w:rsid w:val="000A19DD"/>
    <w:rsid w:val="000E1CA4"/>
    <w:rsid w:val="00113A9C"/>
    <w:rsid w:val="00114052"/>
    <w:rsid w:val="00145821"/>
    <w:rsid w:val="0015679A"/>
    <w:rsid w:val="00163D0E"/>
    <w:rsid w:val="001651D7"/>
    <w:rsid w:val="00171970"/>
    <w:rsid w:val="00177A74"/>
    <w:rsid w:val="00181062"/>
    <w:rsid w:val="00181F4E"/>
    <w:rsid w:val="001A22E7"/>
    <w:rsid w:val="001C6F4E"/>
    <w:rsid w:val="001D158F"/>
    <w:rsid w:val="001D4C0F"/>
    <w:rsid w:val="001F3B3A"/>
    <w:rsid w:val="00204A5F"/>
    <w:rsid w:val="00204BEF"/>
    <w:rsid w:val="0021575E"/>
    <w:rsid w:val="0021601D"/>
    <w:rsid w:val="00227826"/>
    <w:rsid w:val="00241950"/>
    <w:rsid w:val="00246622"/>
    <w:rsid w:val="00253885"/>
    <w:rsid w:val="00276BAF"/>
    <w:rsid w:val="002A526D"/>
    <w:rsid w:val="002B2B54"/>
    <w:rsid w:val="002B3C2E"/>
    <w:rsid w:val="002C0C3C"/>
    <w:rsid w:val="002C211E"/>
    <w:rsid w:val="002E6747"/>
    <w:rsid w:val="002F2FBB"/>
    <w:rsid w:val="002F7DC1"/>
    <w:rsid w:val="00304CAC"/>
    <w:rsid w:val="00311ACF"/>
    <w:rsid w:val="00320B12"/>
    <w:rsid w:val="003214AB"/>
    <w:rsid w:val="00323336"/>
    <w:rsid w:val="00325F34"/>
    <w:rsid w:val="0033154E"/>
    <w:rsid w:val="00333A22"/>
    <w:rsid w:val="00356152"/>
    <w:rsid w:val="00375B69"/>
    <w:rsid w:val="00384A3A"/>
    <w:rsid w:val="003948B6"/>
    <w:rsid w:val="003949E2"/>
    <w:rsid w:val="003B15AB"/>
    <w:rsid w:val="003D237E"/>
    <w:rsid w:val="003E5919"/>
    <w:rsid w:val="003F1093"/>
    <w:rsid w:val="003F2EF7"/>
    <w:rsid w:val="003F5C2A"/>
    <w:rsid w:val="00400ED3"/>
    <w:rsid w:val="0040209E"/>
    <w:rsid w:val="0040700C"/>
    <w:rsid w:val="0041059C"/>
    <w:rsid w:val="00427878"/>
    <w:rsid w:val="00441F45"/>
    <w:rsid w:val="004431DB"/>
    <w:rsid w:val="004518B6"/>
    <w:rsid w:val="00453234"/>
    <w:rsid w:val="00455564"/>
    <w:rsid w:val="00486A1A"/>
    <w:rsid w:val="00490856"/>
    <w:rsid w:val="004A6BB1"/>
    <w:rsid w:val="004C245F"/>
    <w:rsid w:val="004C2D2C"/>
    <w:rsid w:val="004C315B"/>
    <w:rsid w:val="004C3C9D"/>
    <w:rsid w:val="004C67F9"/>
    <w:rsid w:val="004E3717"/>
    <w:rsid w:val="004F70FA"/>
    <w:rsid w:val="00501AB7"/>
    <w:rsid w:val="0052303C"/>
    <w:rsid w:val="00537618"/>
    <w:rsid w:val="0055225F"/>
    <w:rsid w:val="00562E72"/>
    <w:rsid w:val="00574F2E"/>
    <w:rsid w:val="00587D7D"/>
    <w:rsid w:val="005B61F9"/>
    <w:rsid w:val="005E1C3F"/>
    <w:rsid w:val="005E5C66"/>
    <w:rsid w:val="005F3DE4"/>
    <w:rsid w:val="00600616"/>
    <w:rsid w:val="00610D1F"/>
    <w:rsid w:val="00611C3E"/>
    <w:rsid w:val="00611EF6"/>
    <w:rsid w:val="0062490E"/>
    <w:rsid w:val="00641A1D"/>
    <w:rsid w:val="0064259A"/>
    <w:rsid w:val="0064314B"/>
    <w:rsid w:val="00643FE3"/>
    <w:rsid w:val="0065118D"/>
    <w:rsid w:val="00654D88"/>
    <w:rsid w:val="00662EBD"/>
    <w:rsid w:val="006727AA"/>
    <w:rsid w:val="00672AC6"/>
    <w:rsid w:val="00691929"/>
    <w:rsid w:val="006925C5"/>
    <w:rsid w:val="00692DAE"/>
    <w:rsid w:val="006950F2"/>
    <w:rsid w:val="006A6F30"/>
    <w:rsid w:val="006C56B1"/>
    <w:rsid w:val="006D0ACB"/>
    <w:rsid w:val="006D22C1"/>
    <w:rsid w:val="006F0EDB"/>
    <w:rsid w:val="006F4CA5"/>
    <w:rsid w:val="007121D7"/>
    <w:rsid w:val="00713C9F"/>
    <w:rsid w:val="007214D3"/>
    <w:rsid w:val="00731307"/>
    <w:rsid w:val="0073587F"/>
    <w:rsid w:val="00740590"/>
    <w:rsid w:val="00746F3E"/>
    <w:rsid w:val="00766A14"/>
    <w:rsid w:val="00780271"/>
    <w:rsid w:val="007867A3"/>
    <w:rsid w:val="007877A3"/>
    <w:rsid w:val="007C28E9"/>
    <w:rsid w:val="007C2AB2"/>
    <w:rsid w:val="007C2D01"/>
    <w:rsid w:val="007C37D4"/>
    <w:rsid w:val="007C4372"/>
    <w:rsid w:val="007C4519"/>
    <w:rsid w:val="007D0BCF"/>
    <w:rsid w:val="007D2316"/>
    <w:rsid w:val="007E09DD"/>
    <w:rsid w:val="007E0D3D"/>
    <w:rsid w:val="007E3933"/>
    <w:rsid w:val="007E449B"/>
    <w:rsid w:val="00804A0C"/>
    <w:rsid w:val="00804BCA"/>
    <w:rsid w:val="00806685"/>
    <w:rsid w:val="00806E24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2490"/>
    <w:rsid w:val="008977FC"/>
    <w:rsid w:val="008A2FE8"/>
    <w:rsid w:val="008A4C28"/>
    <w:rsid w:val="008B3EC5"/>
    <w:rsid w:val="008B7F88"/>
    <w:rsid w:val="008C66CB"/>
    <w:rsid w:val="008D1BAF"/>
    <w:rsid w:val="008E4DB0"/>
    <w:rsid w:val="008E54AB"/>
    <w:rsid w:val="008E5D72"/>
    <w:rsid w:val="008F1721"/>
    <w:rsid w:val="008F2C5F"/>
    <w:rsid w:val="00931201"/>
    <w:rsid w:val="00944500"/>
    <w:rsid w:val="00945A1B"/>
    <w:rsid w:val="009628E2"/>
    <w:rsid w:val="00964515"/>
    <w:rsid w:val="009678D8"/>
    <w:rsid w:val="00982253"/>
    <w:rsid w:val="009852B2"/>
    <w:rsid w:val="009A1826"/>
    <w:rsid w:val="009A3F4E"/>
    <w:rsid w:val="009B4A99"/>
    <w:rsid w:val="009C1130"/>
    <w:rsid w:val="009D0C63"/>
    <w:rsid w:val="009E2DA6"/>
    <w:rsid w:val="009E5AAB"/>
    <w:rsid w:val="009F675E"/>
    <w:rsid w:val="00A02BA5"/>
    <w:rsid w:val="00A1734C"/>
    <w:rsid w:val="00A27228"/>
    <w:rsid w:val="00A53093"/>
    <w:rsid w:val="00A65509"/>
    <w:rsid w:val="00A83698"/>
    <w:rsid w:val="00A874BC"/>
    <w:rsid w:val="00A91BCA"/>
    <w:rsid w:val="00A92663"/>
    <w:rsid w:val="00AB2E9C"/>
    <w:rsid w:val="00AB47FF"/>
    <w:rsid w:val="00AB534F"/>
    <w:rsid w:val="00AD50D8"/>
    <w:rsid w:val="00AE087E"/>
    <w:rsid w:val="00AF10F3"/>
    <w:rsid w:val="00B23230"/>
    <w:rsid w:val="00B25407"/>
    <w:rsid w:val="00B3089E"/>
    <w:rsid w:val="00B45162"/>
    <w:rsid w:val="00B52FC4"/>
    <w:rsid w:val="00B62A99"/>
    <w:rsid w:val="00B65215"/>
    <w:rsid w:val="00B66312"/>
    <w:rsid w:val="00B6638F"/>
    <w:rsid w:val="00B777C5"/>
    <w:rsid w:val="00B844AD"/>
    <w:rsid w:val="00B9181B"/>
    <w:rsid w:val="00B9745E"/>
    <w:rsid w:val="00BA3390"/>
    <w:rsid w:val="00BA4DA1"/>
    <w:rsid w:val="00BB622B"/>
    <w:rsid w:val="00BC1FA7"/>
    <w:rsid w:val="00BD0D0E"/>
    <w:rsid w:val="00BF0A2C"/>
    <w:rsid w:val="00C11867"/>
    <w:rsid w:val="00C14AAA"/>
    <w:rsid w:val="00C16596"/>
    <w:rsid w:val="00C300D6"/>
    <w:rsid w:val="00C30ECB"/>
    <w:rsid w:val="00C37F28"/>
    <w:rsid w:val="00C5703D"/>
    <w:rsid w:val="00C60F05"/>
    <w:rsid w:val="00C63552"/>
    <w:rsid w:val="00C7100A"/>
    <w:rsid w:val="00C81C71"/>
    <w:rsid w:val="00C94DEC"/>
    <w:rsid w:val="00CB3481"/>
    <w:rsid w:val="00CB6920"/>
    <w:rsid w:val="00CC19BF"/>
    <w:rsid w:val="00CE362B"/>
    <w:rsid w:val="00D13B92"/>
    <w:rsid w:val="00D16B18"/>
    <w:rsid w:val="00D24271"/>
    <w:rsid w:val="00D40BB2"/>
    <w:rsid w:val="00D777A0"/>
    <w:rsid w:val="00D82DE0"/>
    <w:rsid w:val="00D90566"/>
    <w:rsid w:val="00D91F22"/>
    <w:rsid w:val="00DB391C"/>
    <w:rsid w:val="00DC12D4"/>
    <w:rsid w:val="00DC275C"/>
    <w:rsid w:val="00DC317A"/>
    <w:rsid w:val="00DC73F1"/>
    <w:rsid w:val="00DE7B30"/>
    <w:rsid w:val="00E16300"/>
    <w:rsid w:val="00E21D98"/>
    <w:rsid w:val="00E24518"/>
    <w:rsid w:val="00E31255"/>
    <w:rsid w:val="00E3606C"/>
    <w:rsid w:val="00E50FD3"/>
    <w:rsid w:val="00E61A30"/>
    <w:rsid w:val="00E73C61"/>
    <w:rsid w:val="00E81B92"/>
    <w:rsid w:val="00E9414A"/>
    <w:rsid w:val="00E965D2"/>
    <w:rsid w:val="00EA339D"/>
    <w:rsid w:val="00EA46ED"/>
    <w:rsid w:val="00EB0D01"/>
    <w:rsid w:val="00EC7E56"/>
    <w:rsid w:val="00EE5DA4"/>
    <w:rsid w:val="00EF52C2"/>
    <w:rsid w:val="00F03B5A"/>
    <w:rsid w:val="00F07CFF"/>
    <w:rsid w:val="00F124CA"/>
    <w:rsid w:val="00F13FA4"/>
    <w:rsid w:val="00F17BEA"/>
    <w:rsid w:val="00F17F63"/>
    <w:rsid w:val="00F31B75"/>
    <w:rsid w:val="00F365FE"/>
    <w:rsid w:val="00F453D4"/>
    <w:rsid w:val="00F71EAF"/>
    <w:rsid w:val="00F76B57"/>
    <w:rsid w:val="00F95437"/>
    <w:rsid w:val="00FB092C"/>
    <w:rsid w:val="00FB37D8"/>
    <w:rsid w:val="00FC1FC0"/>
    <w:rsid w:val="00FC6C69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ADECF29D-F83F-4E8F-812F-7905D1E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4C4E-76BA-480B-80EC-94323FC6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1664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3</cp:revision>
  <cp:lastPrinted>2013-12-10T18:28:00Z</cp:lastPrinted>
  <dcterms:created xsi:type="dcterms:W3CDTF">2023-07-24T12:30:00Z</dcterms:created>
  <dcterms:modified xsi:type="dcterms:W3CDTF">2023-07-25T11:58:00Z</dcterms:modified>
</cp:coreProperties>
</file>