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860E" w14:textId="77777777" w:rsidR="000D37E4" w:rsidRPr="00FF1395" w:rsidRDefault="000D37E4" w:rsidP="00872F65">
      <w:pPr>
        <w:spacing w:after="0" w:line="312" w:lineRule="auto"/>
        <w:jc w:val="center"/>
        <w:rPr>
          <w:rFonts w:ascii="Arial" w:hAnsi="Arial" w:cs="Arial"/>
          <w:sz w:val="18"/>
          <w:szCs w:val="18"/>
        </w:rPr>
      </w:pPr>
      <w:r w:rsidRPr="00FF1395">
        <w:rPr>
          <w:rFonts w:ascii="Arial" w:hAnsi="Arial" w:cs="Arial"/>
          <w:sz w:val="18"/>
          <w:szCs w:val="18"/>
        </w:rPr>
        <w:t xml:space="preserve">Dále uvedeného dne, měsíce a roku byla uzavřena tato </w:t>
      </w:r>
    </w:p>
    <w:p w14:paraId="547B9F20" w14:textId="77777777" w:rsidR="000D37E4" w:rsidRPr="00FF1395" w:rsidRDefault="000D37E4" w:rsidP="00872F65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FF1395">
        <w:rPr>
          <w:rFonts w:ascii="Arial" w:hAnsi="Arial" w:cs="Arial"/>
          <w:b/>
          <w:sz w:val="24"/>
          <w:szCs w:val="24"/>
        </w:rPr>
        <w:t xml:space="preserve">Smlouva o </w:t>
      </w:r>
      <w:r>
        <w:rPr>
          <w:rFonts w:ascii="Arial" w:hAnsi="Arial" w:cs="Arial"/>
          <w:b/>
          <w:sz w:val="24"/>
          <w:szCs w:val="24"/>
        </w:rPr>
        <w:t xml:space="preserve">dodávce </w:t>
      </w:r>
      <w:r w:rsidR="004F4307">
        <w:rPr>
          <w:rFonts w:ascii="Arial" w:hAnsi="Arial" w:cs="Arial"/>
          <w:b/>
          <w:sz w:val="24"/>
          <w:szCs w:val="24"/>
        </w:rPr>
        <w:t xml:space="preserve">podpory </w:t>
      </w:r>
      <w:r w:rsidR="00AD704D">
        <w:rPr>
          <w:rFonts w:ascii="Arial" w:hAnsi="Arial" w:cs="Arial"/>
          <w:b/>
          <w:sz w:val="24"/>
          <w:szCs w:val="24"/>
        </w:rPr>
        <w:t xml:space="preserve">licencí </w:t>
      </w:r>
      <w:r>
        <w:rPr>
          <w:rFonts w:ascii="Arial" w:hAnsi="Arial" w:cs="Arial"/>
          <w:b/>
          <w:sz w:val="24"/>
          <w:szCs w:val="24"/>
        </w:rPr>
        <w:t>software</w:t>
      </w:r>
    </w:p>
    <w:p w14:paraId="259478E0" w14:textId="77777777" w:rsidR="000D37E4" w:rsidRPr="00FF1395" w:rsidRDefault="000D37E4" w:rsidP="00872F65">
      <w:pPr>
        <w:spacing w:after="0" w:line="312" w:lineRule="auto"/>
        <w:jc w:val="center"/>
        <w:rPr>
          <w:rFonts w:ascii="Arial" w:hAnsi="Arial" w:cs="Arial"/>
          <w:sz w:val="18"/>
          <w:szCs w:val="18"/>
        </w:rPr>
      </w:pPr>
      <w:r w:rsidRPr="00FF1395">
        <w:rPr>
          <w:rFonts w:ascii="Arial" w:hAnsi="Arial" w:cs="Arial"/>
          <w:sz w:val="18"/>
          <w:szCs w:val="18"/>
        </w:rPr>
        <w:t>(dále jen „</w:t>
      </w:r>
      <w:r w:rsidRPr="00FF1395">
        <w:rPr>
          <w:rFonts w:ascii="Arial" w:hAnsi="Arial" w:cs="Arial"/>
          <w:b/>
          <w:sz w:val="18"/>
          <w:szCs w:val="18"/>
        </w:rPr>
        <w:t>Smlouva</w:t>
      </w:r>
      <w:r w:rsidRPr="00FF1395">
        <w:rPr>
          <w:rFonts w:ascii="Arial" w:hAnsi="Arial" w:cs="Arial"/>
          <w:sz w:val="18"/>
          <w:szCs w:val="18"/>
        </w:rPr>
        <w:t xml:space="preserve">“) podle </w:t>
      </w:r>
      <w:proofErr w:type="spellStart"/>
      <w:r>
        <w:rPr>
          <w:rFonts w:ascii="Arial" w:hAnsi="Arial" w:cs="Arial"/>
          <w:sz w:val="18"/>
          <w:szCs w:val="18"/>
        </w:rPr>
        <w:t>ust</w:t>
      </w:r>
      <w:proofErr w:type="spellEnd"/>
      <w:r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079 a"/>
        </w:smartTagPr>
        <w:r>
          <w:rPr>
            <w:rFonts w:ascii="Arial" w:hAnsi="Arial" w:cs="Arial"/>
            <w:sz w:val="18"/>
            <w:szCs w:val="18"/>
          </w:rPr>
          <w:t>2079 a</w:t>
        </w:r>
      </w:smartTag>
      <w:r>
        <w:rPr>
          <w:rFonts w:ascii="Arial" w:hAnsi="Arial" w:cs="Arial"/>
          <w:sz w:val="18"/>
          <w:szCs w:val="18"/>
        </w:rPr>
        <w:t xml:space="preserve"> násl. </w:t>
      </w:r>
      <w:r w:rsidRPr="00FF1395">
        <w:rPr>
          <w:rFonts w:ascii="Arial" w:hAnsi="Arial" w:cs="Arial"/>
          <w:sz w:val="18"/>
          <w:szCs w:val="18"/>
        </w:rPr>
        <w:t xml:space="preserve">zákona č. </w:t>
      </w:r>
      <w:r>
        <w:rPr>
          <w:rFonts w:ascii="Arial" w:hAnsi="Arial" w:cs="Arial"/>
          <w:sz w:val="18"/>
          <w:szCs w:val="18"/>
        </w:rPr>
        <w:t>89/2012 Sb., občanského zákoníku</w:t>
      </w:r>
      <w:r w:rsidRPr="00FF1395">
        <w:rPr>
          <w:rFonts w:ascii="Arial" w:hAnsi="Arial" w:cs="Arial"/>
          <w:sz w:val="18"/>
          <w:szCs w:val="18"/>
        </w:rPr>
        <w:t xml:space="preserve"> (dále jen „</w:t>
      </w:r>
      <w:proofErr w:type="spellStart"/>
      <w:r>
        <w:rPr>
          <w:rFonts w:ascii="Arial" w:hAnsi="Arial" w:cs="Arial"/>
          <w:b/>
          <w:sz w:val="18"/>
          <w:szCs w:val="18"/>
        </w:rPr>
        <w:t>Obč</w:t>
      </w:r>
      <w:r w:rsidRPr="00FF1395">
        <w:rPr>
          <w:rFonts w:ascii="Arial" w:hAnsi="Arial" w:cs="Arial"/>
          <w:b/>
          <w:sz w:val="18"/>
          <w:szCs w:val="18"/>
        </w:rPr>
        <w:t>Z</w:t>
      </w:r>
      <w:proofErr w:type="spellEnd"/>
      <w:r w:rsidRPr="00FF1395">
        <w:rPr>
          <w:rFonts w:ascii="Arial" w:hAnsi="Arial" w:cs="Arial"/>
          <w:sz w:val="18"/>
          <w:szCs w:val="18"/>
        </w:rPr>
        <w:t>“) mezi dále specifikovanými smluvními stranami:</w:t>
      </w:r>
    </w:p>
    <w:p w14:paraId="4BEDF294" w14:textId="77777777" w:rsidR="000D37E4" w:rsidRPr="00FF1395" w:rsidRDefault="000D37E4" w:rsidP="00872F65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0280035E" w14:textId="77777777" w:rsidR="000D37E4" w:rsidRPr="00FF1395" w:rsidRDefault="000D37E4" w:rsidP="00872F65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040DDA56" w14:textId="77777777" w:rsidR="00EA11AD" w:rsidRPr="00EA11AD" w:rsidRDefault="00EA11AD" w:rsidP="00EA11A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14:paraId="227DB6AA" w14:textId="77777777" w:rsidR="00EA11AD" w:rsidRPr="00EA11AD" w:rsidRDefault="00EA11AD" w:rsidP="00EA11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eastAsia="cs-CZ"/>
        </w:rPr>
      </w:pPr>
      <w:r w:rsidRPr="00EA11AD">
        <w:rPr>
          <w:rFonts w:asciiTheme="minorHAnsi" w:hAnsiTheme="minorHAnsi" w:cs="Calibri"/>
          <w:color w:val="000000"/>
          <w:lang w:eastAsia="cs-CZ"/>
        </w:rPr>
        <w:t xml:space="preserve">Společnost                               </w:t>
      </w:r>
      <w:r w:rsidRPr="00EA11AD">
        <w:rPr>
          <w:rFonts w:asciiTheme="minorHAnsi" w:hAnsiTheme="minorHAnsi" w:cs="Arial"/>
          <w:b/>
          <w:bCs/>
          <w:color w:val="000000"/>
          <w:lang w:eastAsia="cs-CZ"/>
        </w:rPr>
        <w:t xml:space="preserve">T-Mobile Czech Republic a.s. </w:t>
      </w:r>
    </w:p>
    <w:p w14:paraId="4BD562AD" w14:textId="77777777" w:rsidR="00EA11AD" w:rsidRPr="00EA11AD" w:rsidRDefault="00EA11AD" w:rsidP="00EA11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eastAsia="cs-CZ"/>
        </w:rPr>
      </w:pPr>
      <w:r w:rsidRPr="00EA11AD">
        <w:rPr>
          <w:rFonts w:asciiTheme="minorHAnsi" w:hAnsiTheme="minorHAnsi" w:cs="Calibri"/>
          <w:color w:val="000000"/>
          <w:lang w:eastAsia="cs-CZ"/>
        </w:rPr>
        <w:t xml:space="preserve">se sídlem:                                 Tomíčkova 2144/1, Praha 4, 148 00 </w:t>
      </w:r>
    </w:p>
    <w:p w14:paraId="54376A04" w14:textId="77777777" w:rsidR="00EA11AD" w:rsidRPr="00EA11AD" w:rsidRDefault="00EA11AD" w:rsidP="00EA11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eastAsia="cs-CZ"/>
        </w:rPr>
      </w:pPr>
      <w:r w:rsidRPr="00EA11AD">
        <w:rPr>
          <w:rFonts w:asciiTheme="minorHAnsi" w:hAnsiTheme="minorHAnsi" w:cs="Calibri"/>
          <w:color w:val="000000"/>
          <w:lang w:eastAsia="cs-CZ"/>
        </w:rPr>
        <w:t xml:space="preserve">zastoupená:                             Dagmar </w:t>
      </w:r>
      <w:proofErr w:type="spellStart"/>
      <w:r w:rsidRPr="00EA11AD">
        <w:rPr>
          <w:rFonts w:asciiTheme="minorHAnsi" w:hAnsiTheme="minorHAnsi" w:cs="Calibri"/>
          <w:color w:val="000000"/>
          <w:lang w:eastAsia="cs-CZ"/>
        </w:rPr>
        <w:t>Elbastawisi</w:t>
      </w:r>
      <w:proofErr w:type="spellEnd"/>
      <w:r w:rsidRPr="00EA11AD">
        <w:rPr>
          <w:rFonts w:asciiTheme="minorHAnsi" w:hAnsiTheme="minorHAnsi" w:cs="Calibri"/>
          <w:color w:val="000000"/>
          <w:lang w:eastAsia="cs-CZ"/>
        </w:rPr>
        <w:t xml:space="preserve">, </w:t>
      </w:r>
      <w:proofErr w:type="spellStart"/>
      <w:r w:rsidRPr="00EA11AD">
        <w:rPr>
          <w:rFonts w:asciiTheme="minorHAnsi" w:hAnsiTheme="minorHAnsi" w:cs="Calibri"/>
          <w:color w:val="000000"/>
          <w:lang w:eastAsia="cs-CZ"/>
        </w:rPr>
        <w:t>Head</w:t>
      </w:r>
      <w:proofErr w:type="spellEnd"/>
      <w:r w:rsidRPr="00EA11AD">
        <w:rPr>
          <w:rFonts w:asciiTheme="minorHAnsi" w:hAnsiTheme="minorHAnsi" w:cs="Calibri"/>
          <w:color w:val="000000"/>
          <w:lang w:eastAsia="cs-CZ"/>
        </w:rPr>
        <w:t xml:space="preserve"> </w:t>
      </w:r>
      <w:proofErr w:type="spellStart"/>
      <w:r w:rsidRPr="00EA11AD">
        <w:rPr>
          <w:rFonts w:asciiTheme="minorHAnsi" w:hAnsiTheme="minorHAnsi" w:cs="Calibri"/>
          <w:color w:val="000000"/>
          <w:lang w:eastAsia="cs-CZ"/>
        </w:rPr>
        <w:t>of</w:t>
      </w:r>
      <w:proofErr w:type="spellEnd"/>
      <w:r w:rsidRPr="00EA11AD">
        <w:rPr>
          <w:rFonts w:asciiTheme="minorHAnsi" w:hAnsiTheme="minorHAnsi" w:cs="Calibri"/>
          <w:color w:val="000000"/>
          <w:lang w:eastAsia="cs-CZ"/>
        </w:rPr>
        <w:t xml:space="preserve"> LCC and MS </w:t>
      </w:r>
      <w:proofErr w:type="spellStart"/>
      <w:r w:rsidRPr="00EA11AD">
        <w:rPr>
          <w:rFonts w:asciiTheme="minorHAnsi" w:hAnsiTheme="minorHAnsi" w:cs="Calibri"/>
          <w:color w:val="000000"/>
          <w:lang w:eastAsia="cs-CZ"/>
        </w:rPr>
        <w:t>Consulting</w:t>
      </w:r>
      <w:proofErr w:type="spellEnd"/>
      <w:r w:rsidRPr="00EA11AD">
        <w:rPr>
          <w:rFonts w:asciiTheme="minorHAnsi" w:hAnsiTheme="minorHAnsi" w:cs="Calibri"/>
          <w:color w:val="000000"/>
          <w:lang w:eastAsia="cs-CZ"/>
        </w:rPr>
        <w:t xml:space="preserve">, na základě pověření </w:t>
      </w:r>
    </w:p>
    <w:p w14:paraId="6CEAF178" w14:textId="77777777" w:rsidR="00EA11AD" w:rsidRPr="00EA11AD" w:rsidRDefault="00EA11AD" w:rsidP="00EA11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eastAsia="cs-CZ"/>
        </w:rPr>
      </w:pPr>
      <w:r w:rsidRPr="00EA11AD">
        <w:rPr>
          <w:rFonts w:asciiTheme="minorHAnsi" w:hAnsiTheme="minorHAnsi" w:cs="Calibri"/>
          <w:color w:val="000000"/>
          <w:lang w:eastAsia="cs-CZ"/>
        </w:rPr>
        <w:t xml:space="preserve">IČO:                                           64949681 </w:t>
      </w:r>
    </w:p>
    <w:p w14:paraId="0C3E7684" w14:textId="77777777" w:rsidR="00EA11AD" w:rsidRPr="00EA11AD" w:rsidRDefault="00EA11AD" w:rsidP="00EA11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eastAsia="cs-CZ"/>
        </w:rPr>
      </w:pPr>
      <w:r w:rsidRPr="00EA11AD">
        <w:rPr>
          <w:rFonts w:asciiTheme="minorHAnsi" w:hAnsiTheme="minorHAnsi" w:cs="Calibri"/>
          <w:color w:val="000000"/>
          <w:lang w:eastAsia="cs-CZ"/>
        </w:rPr>
        <w:t xml:space="preserve">DIČ:                                           CZ64949681 </w:t>
      </w:r>
    </w:p>
    <w:p w14:paraId="53556B69" w14:textId="0CECDDFE" w:rsidR="00EA11AD" w:rsidRPr="00EA11AD" w:rsidRDefault="00EA11AD" w:rsidP="00EA11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eastAsia="cs-CZ"/>
        </w:rPr>
      </w:pPr>
      <w:r w:rsidRPr="00EA11AD">
        <w:rPr>
          <w:rFonts w:asciiTheme="minorHAnsi" w:hAnsiTheme="minorHAnsi" w:cs="Calibri"/>
          <w:color w:val="000000"/>
          <w:lang w:eastAsia="cs-CZ"/>
        </w:rPr>
        <w:t xml:space="preserve">Bank. spojení vč. č. </w:t>
      </w:r>
      <w:proofErr w:type="gramStart"/>
      <w:r w:rsidRPr="00EA11AD">
        <w:rPr>
          <w:rFonts w:asciiTheme="minorHAnsi" w:hAnsiTheme="minorHAnsi" w:cs="Calibri"/>
          <w:color w:val="000000"/>
          <w:lang w:eastAsia="cs-CZ"/>
        </w:rPr>
        <w:t xml:space="preserve">účtu:   </w:t>
      </w:r>
      <w:proofErr w:type="gramEnd"/>
      <w:r w:rsidRPr="00EA11AD">
        <w:rPr>
          <w:rFonts w:asciiTheme="minorHAnsi" w:hAnsiTheme="minorHAnsi" w:cs="Calibri"/>
          <w:color w:val="000000"/>
          <w:lang w:eastAsia="cs-CZ"/>
        </w:rPr>
        <w:t xml:space="preserve">   Komerční banka a.s., 19-2271190247/0100 </w:t>
      </w:r>
    </w:p>
    <w:p w14:paraId="0F068399" w14:textId="02DB1ED9" w:rsidR="00EA11AD" w:rsidRPr="00EA11AD" w:rsidRDefault="00EA11AD" w:rsidP="00EA11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eastAsia="cs-CZ"/>
        </w:rPr>
      </w:pPr>
      <w:r w:rsidRPr="00EA11AD">
        <w:rPr>
          <w:rFonts w:asciiTheme="minorHAnsi" w:hAnsiTheme="minorHAnsi" w:cs="Calibri"/>
          <w:color w:val="000000"/>
          <w:lang w:eastAsia="cs-CZ"/>
        </w:rPr>
        <w:t xml:space="preserve">kontaktní </w:t>
      </w:r>
      <w:proofErr w:type="gramStart"/>
      <w:r w:rsidRPr="00EA11AD">
        <w:rPr>
          <w:rFonts w:asciiTheme="minorHAnsi" w:hAnsiTheme="minorHAnsi" w:cs="Calibri"/>
          <w:color w:val="000000"/>
          <w:lang w:eastAsia="cs-CZ"/>
        </w:rPr>
        <w:t xml:space="preserve">osoba:   </w:t>
      </w:r>
      <w:proofErr w:type="gramEnd"/>
      <w:r w:rsidRPr="00EA11AD">
        <w:rPr>
          <w:rFonts w:asciiTheme="minorHAnsi" w:hAnsiTheme="minorHAnsi" w:cs="Calibri"/>
          <w:color w:val="000000"/>
          <w:lang w:eastAsia="cs-CZ"/>
        </w:rPr>
        <w:t xml:space="preserve">                 </w:t>
      </w:r>
      <w:proofErr w:type="spellStart"/>
      <w:r w:rsidR="00082E88">
        <w:rPr>
          <w:rFonts w:asciiTheme="minorHAnsi" w:hAnsiTheme="minorHAnsi" w:cs="Calibri"/>
          <w:color w:val="000000"/>
          <w:lang w:eastAsia="cs-CZ"/>
        </w:rPr>
        <w:t>xxxxxxxxxxxxxxxxxxxxxxx</w:t>
      </w:r>
      <w:proofErr w:type="spellEnd"/>
    </w:p>
    <w:p w14:paraId="07F34001" w14:textId="303E7FC3" w:rsidR="00EA11AD" w:rsidRPr="00EA11AD" w:rsidRDefault="00EA11AD" w:rsidP="00EA11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eastAsia="cs-CZ"/>
        </w:rPr>
      </w:pPr>
      <w:proofErr w:type="gramStart"/>
      <w:r w:rsidRPr="00EA11AD">
        <w:rPr>
          <w:rFonts w:asciiTheme="minorHAnsi" w:hAnsiTheme="minorHAnsi" w:cs="Calibri"/>
          <w:color w:val="000000"/>
          <w:lang w:eastAsia="cs-CZ"/>
        </w:rPr>
        <w:t xml:space="preserve">e-mail:   </w:t>
      </w:r>
      <w:proofErr w:type="gramEnd"/>
      <w:r w:rsidRPr="00EA11AD">
        <w:rPr>
          <w:rFonts w:asciiTheme="minorHAnsi" w:hAnsiTheme="minorHAnsi" w:cs="Calibri"/>
          <w:color w:val="000000"/>
          <w:lang w:eastAsia="cs-CZ"/>
        </w:rPr>
        <w:t xml:space="preserve">                                   </w:t>
      </w:r>
      <w:r w:rsidR="00082E88">
        <w:rPr>
          <w:rFonts w:asciiTheme="minorHAnsi" w:hAnsiTheme="minorHAnsi" w:cs="Calibri"/>
          <w:color w:val="000000"/>
          <w:lang w:eastAsia="cs-CZ"/>
        </w:rPr>
        <w:t>xxxxxxxxxxxxxxxxxxx</w:t>
      </w:r>
      <w:r w:rsidRPr="00EA11AD">
        <w:rPr>
          <w:rFonts w:asciiTheme="minorHAnsi" w:hAnsiTheme="minorHAnsi" w:cs="Calibri"/>
          <w:color w:val="000000"/>
          <w:lang w:eastAsia="cs-CZ"/>
        </w:rPr>
        <w:t xml:space="preserve">@t-mobile.cz </w:t>
      </w:r>
      <w:bookmarkStart w:id="0" w:name="_GoBack"/>
      <w:bookmarkEnd w:id="0"/>
    </w:p>
    <w:p w14:paraId="19EB1B6A" w14:textId="77777777" w:rsidR="00EA11AD" w:rsidRPr="00EA11AD" w:rsidRDefault="00EA11AD" w:rsidP="00EA11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eastAsia="cs-CZ"/>
        </w:rPr>
      </w:pPr>
      <w:r w:rsidRPr="00EA11AD">
        <w:rPr>
          <w:rFonts w:asciiTheme="minorHAnsi" w:hAnsiTheme="minorHAnsi" w:cs="Calibri"/>
          <w:color w:val="000000"/>
          <w:lang w:eastAsia="cs-CZ"/>
        </w:rPr>
        <w:t xml:space="preserve">ID datové schránky:               </w:t>
      </w:r>
      <w:r w:rsidRPr="00EA11AD">
        <w:rPr>
          <w:rFonts w:asciiTheme="minorHAnsi" w:hAnsiTheme="minorHAnsi" w:cs="Cambria"/>
          <w:color w:val="000000"/>
          <w:lang w:eastAsia="cs-CZ"/>
        </w:rPr>
        <w:t xml:space="preserve">ygwch5i </w:t>
      </w:r>
    </w:p>
    <w:p w14:paraId="6B877C0F" w14:textId="77777777" w:rsidR="00EA11AD" w:rsidRDefault="00EA11AD" w:rsidP="00EA11AD">
      <w:pPr>
        <w:pStyle w:val="Vlastntextsmlouvy"/>
        <w:spacing w:after="0" w:line="240" w:lineRule="atLeast"/>
        <w:rPr>
          <w:rFonts w:ascii="Calibri" w:eastAsia="Calibri" w:hAnsi="Calibri" w:cs="Calibri"/>
          <w:color w:val="000000"/>
          <w:sz w:val="22"/>
          <w:szCs w:val="22"/>
        </w:rPr>
      </w:pPr>
      <w:r w:rsidRPr="00EA11AD">
        <w:rPr>
          <w:rFonts w:ascii="Calibri" w:eastAsia="Calibri" w:hAnsi="Calibri" w:cs="Calibri"/>
          <w:color w:val="000000"/>
          <w:sz w:val="22"/>
          <w:szCs w:val="22"/>
        </w:rPr>
        <w:t>zapsaná v OR vedeném Městským soudem v Praze, oddíl B, vložka 3787</w:t>
      </w:r>
    </w:p>
    <w:p w14:paraId="47AF4163" w14:textId="77777777" w:rsidR="000D37E4" w:rsidRPr="0080656A" w:rsidRDefault="00E4436C" w:rsidP="00EA11AD">
      <w:pPr>
        <w:pStyle w:val="Vlastntextsmlouvy"/>
        <w:spacing w:after="0" w:line="240" w:lineRule="atLeast"/>
        <w:rPr>
          <w:rFonts w:asciiTheme="minorHAnsi" w:hAnsiTheme="minorHAnsi" w:cs="Arial"/>
          <w:sz w:val="22"/>
          <w:szCs w:val="22"/>
        </w:rPr>
      </w:pPr>
      <w:r w:rsidRPr="0080656A">
        <w:rPr>
          <w:rFonts w:asciiTheme="minorHAnsi" w:hAnsiTheme="minorHAnsi" w:cs="Calibri"/>
          <w:sz w:val="22"/>
          <w:szCs w:val="22"/>
        </w:rPr>
        <w:t>(dále jen „</w:t>
      </w:r>
      <w:r w:rsidRPr="0080656A">
        <w:rPr>
          <w:rFonts w:asciiTheme="minorHAnsi" w:hAnsiTheme="minorHAnsi" w:cs="Calibri"/>
          <w:b/>
          <w:sz w:val="22"/>
          <w:szCs w:val="22"/>
        </w:rPr>
        <w:t>Prodávající</w:t>
      </w:r>
      <w:proofErr w:type="gramStart"/>
      <w:r w:rsidRPr="0080656A">
        <w:rPr>
          <w:rFonts w:asciiTheme="minorHAnsi" w:hAnsiTheme="minorHAnsi" w:cs="Calibri"/>
          <w:sz w:val="22"/>
          <w:szCs w:val="22"/>
        </w:rPr>
        <w:t xml:space="preserve">“) </w:t>
      </w:r>
      <w:r w:rsidR="000D37E4" w:rsidRPr="0080656A">
        <w:rPr>
          <w:rFonts w:asciiTheme="minorHAnsi" w:hAnsiTheme="minorHAnsi" w:cs="Arial"/>
          <w:sz w:val="22"/>
          <w:szCs w:val="22"/>
        </w:rPr>
        <w:t xml:space="preserve"> na</w:t>
      </w:r>
      <w:proofErr w:type="gramEnd"/>
      <w:r w:rsidR="000D37E4" w:rsidRPr="0080656A">
        <w:rPr>
          <w:rFonts w:asciiTheme="minorHAnsi" w:hAnsiTheme="minorHAnsi" w:cs="Arial"/>
          <w:sz w:val="22"/>
          <w:szCs w:val="22"/>
        </w:rPr>
        <w:t xml:space="preserve"> straně jedné</w:t>
      </w:r>
    </w:p>
    <w:p w14:paraId="296C4936" w14:textId="77777777" w:rsidR="000D37E4" w:rsidRPr="0080656A" w:rsidRDefault="000D37E4" w:rsidP="00872F65">
      <w:pPr>
        <w:spacing w:after="0" w:line="312" w:lineRule="auto"/>
        <w:rPr>
          <w:rFonts w:asciiTheme="minorHAnsi" w:hAnsiTheme="minorHAnsi" w:cs="Arial"/>
        </w:rPr>
      </w:pPr>
    </w:p>
    <w:p w14:paraId="3A4152B7" w14:textId="77777777" w:rsidR="000D37E4" w:rsidRPr="0080656A" w:rsidRDefault="000D37E4" w:rsidP="00872F65">
      <w:pPr>
        <w:spacing w:after="0" w:line="312" w:lineRule="auto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>a</w:t>
      </w:r>
    </w:p>
    <w:p w14:paraId="770F15DC" w14:textId="77777777" w:rsidR="000D37E4" w:rsidRPr="0080656A" w:rsidRDefault="000D37E4" w:rsidP="00872F65">
      <w:pPr>
        <w:spacing w:after="0" w:line="312" w:lineRule="auto"/>
        <w:rPr>
          <w:rFonts w:asciiTheme="minorHAnsi" w:hAnsiTheme="minorHAnsi" w:cs="Arial"/>
        </w:rPr>
      </w:pPr>
    </w:p>
    <w:p w14:paraId="18C6A1E5" w14:textId="77777777" w:rsidR="000D37E4" w:rsidRPr="0080656A" w:rsidRDefault="007278F9" w:rsidP="00D85AB6">
      <w:pPr>
        <w:spacing w:after="0" w:line="312" w:lineRule="auto"/>
        <w:rPr>
          <w:rFonts w:asciiTheme="minorHAnsi" w:hAnsiTheme="minorHAnsi" w:cs="Arial"/>
          <w:b/>
        </w:rPr>
      </w:pPr>
      <w:r w:rsidRPr="0080656A">
        <w:rPr>
          <w:rFonts w:asciiTheme="minorHAnsi" w:hAnsiTheme="minorHAnsi" w:cs="Arial"/>
          <w:b/>
        </w:rPr>
        <w:t>Národní památkový ústav</w:t>
      </w:r>
    </w:p>
    <w:p w14:paraId="173D832B" w14:textId="77777777" w:rsidR="000D37E4" w:rsidRPr="0080656A" w:rsidRDefault="000D37E4" w:rsidP="00D85AB6">
      <w:pPr>
        <w:spacing w:after="0" w:line="312" w:lineRule="auto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 xml:space="preserve">IČ: </w:t>
      </w:r>
      <w:r w:rsidR="007278F9" w:rsidRPr="0080656A">
        <w:rPr>
          <w:rFonts w:asciiTheme="minorHAnsi" w:hAnsiTheme="minorHAnsi" w:cs="Arial"/>
        </w:rPr>
        <w:t>75032333</w:t>
      </w:r>
    </w:p>
    <w:p w14:paraId="2DDDCC35" w14:textId="77777777" w:rsidR="000D37E4" w:rsidRPr="0080656A" w:rsidRDefault="000D37E4" w:rsidP="00D85AB6">
      <w:pPr>
        <w:spacing w:after="0" w:line="312" w:lineRule="auto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 xml:space="preserve">se sídlem </w:t>
      </w:r>
      <w:r w:rsidR="007278F9" w:rsidRPr="0080656A">
        <w:rPr>
          <w:rFonts w:asciiTheme="minorHAnsi" w:hAnsiTheme="minorHAnsi" w:cs="Arial"/>
        </w:rPr>
        <w:t>Praha 1, Valdštejnské náměstí 162/3, PSČ: 118 01</w:t>
      </w:r>
    </w:p>
    <w:p w14:paraId="30EFE0F3" w14:textId="77777777" w:rsidR="000D37E4" w:rsidRPr="0080656A" w:rsidRDefault="000D37E4" w:rsidP="00D85AB6">
      <w:pPr>
        <w:spacing w:after="0" w:line="312" w:lineRule="auto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 xml:space="preserve">zastoupená </w:t>
      </w:r>
      <w:r w:rsidR="007278F9" w:rsidRPr="0080656A">
        <w:rPr>
          <w:rFonts w:asciiTheme="minorHAnsi" w:hAnsiTheme="minorHAnsi" w:cs="Arial"/>
        </w:rPr>
        <w:t xml:space="preserve">Ing. arch. Naděždou </w:t>
      </w:r>
      <w:proofErr w:type="spellStart"/>
      <w:r w:rsidR="007278F9" w:rsidRPr="0080656A">
        <w:rPr>
          <w:rFonts w:asciiTheme="minorHAnsi" w:hAnsiTheme="minorHAnsi" w:cs="Arial"/>
        </w:rPr>
        <w:t>Goryczkovou</w:t>
      </w:r>
      <w:proofErr w:type="spellEnd"/>
      <w:r w:rsidR="007278F9" w:rsidRPr="0080656A">
        <w:rPr>
          <w:rFonts w:asciiTheme="minorHAnsi" w:hAnsiTheme="minorHAnsi" w:cs="Arial"/>
        </w:rPr>
        <w:t>, generální ředitelkou</w:t>
      </w:r>
    </w:p>
    <w:p w14:paraId="7D959FFE" w14:textId="77777777" w:rsidR="000D37E4" w:rsidRPr="0080656A" w:rsidRDefault="000D37E4" w:rsidP="00872F65">
      <w:pPr>
        <w:spacing w:after="0" w:line="312" w:lineRule="auto"/>
        <w:rPr>
          <w:rFonts w:asciiTheme="minorHAnsi" w:hAnsiTheme="minorHAnsi" w:cs="Arial"/>
          <w:b/>
        </w:rPr>
      </w:pPr>
    </w:p>
    <w:p w14:paraId="7027CBAE" w14:textId="77777777" w:rsidR="000D37E4" w:rsidRPr="0080656A" w:rsidRDefault="000D37E4" w:rsidP="00872F65">
      <w:pPr>
        <w:spacing w:after="0" w:line="312" w:lineRule="auto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>dále jen jako</w:t>
      </w:r>
      <w:r w:rsidRPr="0080656A">
        <w:rPr>
          <w:rFonts w:asciiTheme="minorHAnsi" w:hAnsiTheme="minorHAnsi" w:cs="Arial"/>
          <w:b/>
        </w:rPr>
        <w:t xml:space="preserve"> „Zákazník“ </w:t>
      </w:r>
      <w:r w:rsidRPr="0080656A">
        <w:rPr>
          <w:rFonts w:asciiTheme="minorHAnsi" w:hAnsiTheme="minorHAnsi" w:cs="Arial"/>
        </w:rPr>
        <w:t>na straně druhé</w:t>
      </w:r>
    </w:p>
    <w:p w14:paraId="41BDCE84" w14:textId="77777777" w:rsidR="000D37E4" w:rsidRPr="0080656A" w:rsidRDefault="000D37E4" w:rsidP="00872F65">
      <w:pPr>
        <w:spacing w:after="0" w:line="312" w:lineRule="auto"/>
        <w:rPr>
          <w:rFonts w:asciiTheme="minorHAnsi" w:hAnsiTheme="minorHAnsi" w:cs="Arial"/>
        </w:rPr>
      </w:pPr>
    </w:p>
    <w:p w14:paraId="29A884FB" w14:textId="77777777" w:rsidR="000D37E4" w:rsidRPr="0080656A" w:rsidRDefault="003C1848" w:rsidP="00872F65">
      <w:pPr>
        <w:spacing w:after="0" w:line="312" w:lineRule="auto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>Prodávající</w:t>
      </w:r>
      <w:r w:rsidR="000D37E4" w:rsidRPr="0080656A">
        <w:rPr>
          <w:rFonts w:asciiTheme="minorHAnsi" w:hAnsiTheme="minorHAnsi" w:cs="Arial"/>
        </w:rPr>
        <w:t xml:space="preserve"> a Zákazník budou pro účely této Smlouvy společně dále označováni jen jako „</w:t>
      </w:r>
      <w:r w:rsidR="000D37E4" w:rsidRPr="0080656A">
        <w:rPr>
          <w:rFonts w:asciiTheme="minorHAnsi" w:hAnsiTheme="minorHAnsi" w:cs="Arial"/>
          <w:b/>
        </w:rPr>
        <w:t>Strany</w:t>
      </w:r>
      <w:r w:rsidR="000D37E4" w:rsidRPr="0080656A">
        <w:rPr>
          <w:rFonts w:asciiTheme="minorHAnsi" w:hAnsiTheme="minorHAnsi" w:cs="Arial"/>
        </w:rPr>
        <w:t>“, každý z nich jednotlivě bez bližšího rozlišení pak jen jako „</w:t>
      </w:r>
      <w:r w:rsidR="000D37E4" w:rsidRPr="0080656A">
        <w:rPr>
          <w:rFonts w:asciiTheme="minorHAnsi" w:hAnsiTheme="minorHAnsi" w:cs="Arial"/>
          <w:b/>
        </w:rPr>
        <w:t>Strana</w:t>
      </w:r>
      <w:r w:rsidR="000D37E4" w:rsidRPr="0080656A">
        <w:rPr>
          <w:rFonts w:asciiTheme="minorHAnsi" w:hAnsiTheme="minorHAnsi" w:cs="Arial"/>
        </w:rPr>
        <w:t>“.</w:t>
      </w:r>
    </w:p>
    <w:p w14:paraId="410261A8" w14:textId="77777777" w:rsidR="000D37E4" w:rsidRPr="0080656A" w:rsidRDefault="000D37E4" w:rsidP="00872F65">
      <w:pPr>
        <w:spacing w:after="0" w:line="312" w:lineRule="auto"/>
        <w:rPr>
          <w:rFonts w:asciiTheme="minorHAnsi" w:hAnsiTheme="minorHAnsi" w:cs="Arial"/>
        </w:rPr>
      </w:pPr>
    </w:p>
    <w:p w14:paraId="13694705" w14:textId="77777777" w:rsidR="000D37E4" w:rsidRPr="0080656A" w:rsidRDefault="000D37E4" w:rsidP="00872F65">
      <w:pPr>
        <w:spacing w:after="0" w:line="312" w:lineRule="auto"/>
        <w:jc w:val="center"/>
        <w:rPr>
          <w:rFonts w:asciiTheme="minorHAnsi" w:hAnsiTheme="minorHAnsi" w:cs="Arial"/>
          <w:b/>
        </w:rPr>
      </w:pPr>
      <w:r w:rsidRPr="0080656A">
        <w:rPr>
          <w:rFonts w:asciiTheme="minorHAnsi" w:hAnsiTheme="minorHAnsi" w:cs="Arial"/>
          <w:b/>
        </w:rPr>
        <w:t>PREAMBULE</w:t>
      </w:r>
    </w:p>
    <w:p w14:paraId="48D64E40" w14:textId="77777777" w:rsidR="001E13A4" w:rsidRPr="0080656A" w:rsidRDefault="001E13A4" w:rsidP="00872F65">
      <w:pPr>
        <w:spacing w:after="0" w:line="312" w:lineRule="auto"/>
        <w:jc w:val="center"/>
        <w:rPr>
          <w:rFonts w:asciiTheme="minorHAnsi" w:hAnsiTheme="minorHAnsi" w:cs="Arial"/>
          <w:b/>
        </w:rPr>
      </w:pPr>
    </w:p>
    <w:p w14:paraId="6084D95F" w14:textId="77777777" w:rsidR="001E13A4" w:rsidRPr="0080656A" w:rsidRDefault="001E13A4" w:rsidP="001E13A4">
      <w:pPr>
        <w:pStyle w:val="Zkladntext21"/>
        <w:shd w:val="clear" w:color="auto" w:fill="auto"/>
        <w:spacing w:before="0" w:after="0" w:line="240" w:lineRule="auto"/>
        <w:rPr>
          <w:rFonts w:asciiTheme="minorHAnsi" w:hAnsiTheme="minorHAnsi" w:cs="Tahoma"/>
          <w:sz w:val="22"/>
          <w:szCs w:val="22"/>
        </w:rPr>
      </w:pPr>
    </w:p>
    <w:p w14:paraId="6393EF78" w14:textId="77777777" w:rsidR="001E13A4" w:rsidRPr="0080656A" w:rsidRDefault="001E13A4" w:rsidP="008D6F41">
      <w:pPr>
        <w:pStyle w:val="Zkladntext2"/>
        <w:spacing w:line="360" w:lineRule="auto"/>
        <w:ind w:left="20" w:right="20" w:hanging="20"/>
        <w:rPr>
          <w:rFonts w:asciiTheme="minorHAnsi" w:hAnsiTheme="minorHAnsi" w:cs="Arial"/>
          <w:b w:val="0"/>
          <w:sz w:val="22"/>
          <w:szCs w:val="22"/>
        </w:rPr>
      </w:pPr>
      <w:r w:rsidRPr="0080656A">
        <w:rPr>
          <w:rFonts w:asciiTheme="minorHAnsi" w:hAnsiTheme="minorHAnsi" w:cs="Arial"/>
          <w:b w:val="0"/>
          <w:sz w:val="22"/>
          <w:szCs w:val="22"/>
        </w:rPr>
        <w:t>Tato smlouva je uzavírána na základě výsledků uzavřené výzvy na zakázku malého rozsahu s názvem „</w:t>
      </w:r>
      <w:r w:rsidR="00F35573" w:rsidRPr="00F35573">
        <w:rPr>
          <w:rFonts w:asciiTheme="minorHAnsi" w:hAnsiTheme="minorHAnsi" w:cs="Arial"/>
          <w:sz w:val="22"/>
          <w:szCs w:val="22"/>
        </w:rPr>
        <w:t xml:space="preserve">Prodloužení </w:t>
      </w:r>
      <w:r w:rsidR="00E02208">
        <w:rPr>
          <w:rFonts w:asciiTheme="minorHAnsi" w:hAnsiTheme="minorHAnsi" w:cs="Arial"/>
          <w:sz w:val="22"/>
          <w:szCs w:val="22"/>
        </w:rPr>
        <w:t xml:space="preserve">podpory </w:t>
      </w:r>
      <w:r w:rsidR="00F35573" w:rsidRPr="00F35573">
        <w:rPr>
          <w:rFonts w:asciiTheme="minorHAnsi" w:hAnsiTheme="minorHAnsi" w:cs="Arial"/>
          <w:sz w:val="22"/>
          <w:szCs w:val="22"/>
        </w:rPr>
        <w:t>stávajících</w:t>
      </w:r>
      <w:r w:rsidR="00F35573">
        <w:rPr>
          <w:rFonts w:asciiTheme="minorHAnsi" w:hAnsiTheme="minorHAnsi" w:cs="Arial"/>
          <w:sz w:val="22"/>
          <w:szCs w:val="22"/>
        </w:rPr>
        <w:t xml:space="preserve"> </w:t>
      </w:r>
      <w:r w:rsidR="00936A7F" w:rsidRPr="0080656A">
        <w:rPr>
          <w:rFonts w:asciiTheme="minorHAnsi" w:hAnsiTheme="minorHAnsi" w:cs="Arial"/>
          <w:sz w:val="22"/>
          <w:szCs w:val="22"/>
        </w:rPr>
        <w:t xml:space="preserve">licencí </w:t>
      </w:r>
      <w:r w:rsidR="00F35573">
        <w:rPr>
          <w:rFonts w:asciiTheme="minorHAnsi" w:hAnsiTheme="minorHAnsi" w:cs="Arial"/>
          <w:sz w:val="22"/>
          <w:szCs w:val="22"/>
        </w:rPr>
        <w:t>MS SQL Server</w:t>
      </w:r>
      <w:r w:rsidRPr="0080656A">
        <w:rPr>
          <w:rFonts w:asciiTheme="minorHAnsi" w:hAnsiTheme="minorHAnsi" w:cs="Arial"/>
          <w:b w:val="0"/>
          <w:sz w:val="22"/>
          <w:szCs w:val="22"/>
        </w:rPr>
        <w:t xml:space="preserve">", </w:t>
      </w:r>
      <w:proofErr w:type="spellStart"/>
      <w:r w:rsidRPr="0080656A">
        <w:rPr>
          <w:rFonts w:asciiTheme="minorHAnsi" w:hAnsiTheme="minorHAnsi" w:cs="Arial"/>
          <w:b w:val="0"/>
          <w:sz w:val="22"/>
          <w:szCs w:val="22"/>
        </w:rPr>
        <w:t>č.z</w:t>
      </w:r>
      <w:proofErr w:type="spellEnd"/>
      <w:r w:rsidRPr="0080656A">
        <w:rPr>
          <w:rFonts w:asciiTheme="minorHAnsi" w:hAnsiTheme="minorHAnsi" w:cs="Arial"/>
          <w:b w:val="0"/>
          <w:sz w:val="22"/>
          <w:szCs w:val="22"/>
        </w:rPr>
        <w:t xml:space="preserve">. </w:t>
      </w:r>
      <w:r w:rsidR="00E4436C" w:rsidRPr="0080656A">
        <w:rPr>
          <w:rFonts w:asciiTheme="minorHAnsi" w:hAnsiTheme="minorHAnsi" w:cs="Arial"/>
          <w:b w:val="0"/>
          <w:sz w:val="22"/>
          <w:szCs w:val="22"/>
        </w:rPr>
        <w:t>v</w:t>
      </w:r>
      <w:r w:rsidR="00B42282">
        <w:rPr>
          <w:rFonts w:asciiTheme="minorHAnsi" w:hAnsiTheme="minorHAnsi" w:cs="Arial"/>
          <w:b w:val="0"/>
          <w:sz w:val="22"/>
          <w:szCs w:val="22"/>
        </w:rPr>
        <w:t> </w:t>
      </w:r>
      <w:r w:rsidR="00E4436C" w:rsidRPr="0080656A">
        <w:rPr>
          <w:rFonts w:asciiTheme="minorHAnsi" w:hAnsiTheme="minorHAnsi" w:cs="Arial"/>
          <w:b w:val="0"/>
          <w:sz w:val="22"/>
          <w:szCs w:val="22"/>
        </w:rPr>
        <w:t>NEN</w:t>
      </w:r>
      <w:r w:rsidR="00B42282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A11AD" w:rsidRPr="00EA11AD">
        <w:rPr>
          <w:rFonts w:asciiTheme="minorHAnsi" w:hAnsiTheme="minorHAnsi" w:cs="Arial"/>
          <w:color w:val="000000"/>
          <w:sz w:val="22"/>
          <w:szCs w:val="22"/>
        </w:rPr>
        <w:t>N006/23/V00019788</w:t>
      </w:r>
      <w:r w:rsidRPr="0080656A">
        <w:rPr>
          <w:rFonts w:asciiTheme="minorHAnsi" w:hAnsiTheme="minorHAnsi" w:cs="Arial"/>
          <w:b w:val="0"/>
          <w:sz w:val="22"/>
          <w:szCs w:val="22"/>
        </w:rPr>
        <w:t xml:space="preserve">. </w:t>
      </w:r>
      <w:r w:rsidR="00F21CE1" w:rsidRPr="0080656A">
        <w:rPr>
          <w:rFonts w:asciiTheme="minorHAnsi" w:hAnsiTheme="minorHAnsi" w:cs="Arial"/>
          <w:b w:val="0"/>
          <w:sz w:val="22"/>
          <w:szCs w:val="22"/>
        </w:rPr>
        <w:t xml:space="preserve">Smluvní strany se dohodly, že součást smluvních ujednání tvoří rovněž zadávací dokumentace k veřejné zakázce a nabídka dodavatele podaná v rámci této veřejné zakázky. </w:t>
      </w:r>
      <w:r w:rsidRPr="0080656A">
        <w:rPr>
          <w:rFonts w:asciiTheme="minorHAnsi" w:hAnsiTheme="minorHAnsi" w:cs="Arial"/>
          <w:b w:val="0"/>
          <w:sz w:val="22"/>
          <w:szCs w:val="22"/>
        </w:rPr>
        <w:t>Veškeré případné změny této smlouvy budou uskutečněny v souladu s příslušnými právními předpisy, mj. též se zákonem č. 134/2016 Sb., o zadávání veřejných zakázek, v platném a účinném znění.</w:t>
      </w:r>
    </w:p>
    <w:p w14:paraId="3D56C641" w14:textId="77777777" w:rsidR="001E13A4" w:rsidRPr="0080656A" w:rsidRDefault="001E13A4" w:rsidP="001E13A4">
      <w:pPr>
        <w:pStyle w:val="Zkladntext2"/>
        <w:shd w:val="clear" w:color="auto" w:fill="auto"/>
        <w:spacing w:before="0" w:line="240" w:lineRule="auto"/>
        <w:ind w:left="20" w:right="20" w:firstLine="0"/>
        <w:rPr>
          <w:rFonts w:asciiTheme="minorHAnsi" w:hAnsiTheme="minorHAnsi" w:cs="Tahoma"/>
          <w:b w:val="0"/>
          <w:sz w:val="22"/>
          <w:szCs w:val="22"/>
        </w:rPr>
      </w:pPr>
    </w:p>
    <w:p w14:paraId="45008886" w14:textId="77777777" w:rsidR="000D37E4" w:rsidRPr="0080656A" w:rsidRDefault="000D37E4" w:rsidP="00872F65">
      <w:pPr>
        <w:spacing w:after="0" w:line="312" w:lineRule="auto"/>
        <w:jc w:val="both"/>
        <w:rPr>
          <w:rFonts w:asciiTheme="minorHAnsi" w:hAnsiTheme="minorHAnsi" w:cs="Arial"/>
        </w:rPr>
      </w:pPr>
    </w:p>
    <w:p w14:paraId="40825F83" w14:textId="77777777" w:rsidR="000D37E4" w:rsidRPr="0080656A" w:rsidRDefault="000D37E4" w:rsidP="003B7CE5">
      <w:pPr>
        <w:pStyle w:val="Odstavecseseznamem"/>
        <w:numPr>
          <w:ilvl w:val="0"/>
          <w:numId w:val="14"/>
        </w:numPr>
        <w:spacing w:after="0" w:line="312" w:lineRule="auto"/>
        <w:jc w:val="center"/>
        <w:rPr>
          <w:rFonts w:asciiTheme="minorHAnsi" w:hAnsiTheme="minorHAnsi" w:cs="Arial"/>
          <w:b/>
        </w:rPr>
      </w:pPr>
    </w:p>
    <w:p w14:paraId="6496EE78" w14:textId="77777777" w:rsidR="000D37E4" w:rsidRPr="0080656A" w:rsidRDefault="000D37E4" w:rsidP="00872F65">
      <w:pPr>
        <w:spacing w:after="0" w:line="312" w:lineRule="auto"/>
        <w:jc w:val="center"/>
        <w:rPr>
          <w:rFonts w:asciiTheme="minorHAnsi" w:hAnsiTheme="minorHAnsi" w:cs="Arial"/>
          <w:b/>
        </w:rPr>
      </w:pPr>
      <w:r w:rsidRPr="0080656A">
        <w:rPr>
          <w:rFonts w:asciiTheme="minorHAnsi" w:hAnsiTheme="minorHAnsi" w:cs="Arial"/>
          <w:b/>
        </w:rPr>
        <w:t>Předmět Smlouvy</w:t>
      </w:r>
    </w:p>
    <w:p w14:paraId="0D474F2F" w14:textId="77777777" w:rsidR="008D6F41" w:rsidRPr="0080656A" w:rsidRDefault="00217BB9" w:rsidP="00AD704D">
      <w:pPr>
        <w:pStyle w:val="Odstavecseseznamem"/>
        <w:numPr>
          <w:ilvl w:val="1"/>
          <w:numId w:val="14"/>
        </w:numPr>
        <w:spacing w:after="0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 xml:space="preserve">Předmětem této smlouvy je závazek </w:t>
      </w:r>
      <w:r w:rsidR="003C1848" w:rsidRPr="0080656A">
        <w:rPr>
          <w:rFonts w:asciiTheme="minorHAnsi" w:hAnsiTheme="minorHAnsi" w:cs="Arial"/>
        </w:rPr>
        <w:t>Prodávajícího</w:t>
      </w:r>
      <w:r w:rsidRPr="0080656A">
        <w:rPr>
          <w:rFonts w:asciiTheme="minorHAnsi" w:hAnsiTheme="minorHAnsi" w:cs="Arial"/>
        </w:rPr>
        <w:t xml:space="preserve"> k </w:t>
      </w:r>
      <w:r w:rsidR="00F21CE1" w:rsidRPr="0080656A">
        <w:rPr>
          <w:rFonts w:asciiTheme="minorHAnsi" w:hAnsiTheme="minorHAnsi" w:cs="Arial"/>
        </w:rPr>
        <w:t xml:space="preserve">řádnému zajištění </w:t>
      </w:r>
      <w:r w:rsidR="00E02208">
        <w:rPr>
          <w:rFonts w:asciiTheme="minorHAnsi" w:hAnsiTheme="minorHAnsi" w:cs="Arial"/>
        </w:rPr>
        <w:t xml:space="preserve">prodloužení podpory </w:t>
      </w:r>
      <w:r w:rsidR="00F21CE1" w:rsidRPr="0080656A">
        <w:rPr>
          <w:rFonts w:asciiTheme="minorHAnsi" w:hAnsiTheme="minorHAnsi" w:cs="Arial"/>
        </w:rPr>
        <w:t>licencí</w:t>
      </w:r>
      <w:r w:rsidRPr="0080656A">
        <w:rPr>
          <w:rFonts w:asciiTheme="minorHAnsi" w:hAnsiTheme="minorHAnsi" w:cs="Arial"/>
        </w:rPr>
        <w:t xml:space="preserve"> </w:t>
      </w:r>
      <w:r w:rsidR="00F21CE1" w:rsidRPr="0080656A">
        <w:rPr>
          <w:rFonts w:asciiTheme="minorHAnsi" w:hAnsiTheme="minorHAnsi" w:cs="Arial"/>
        </w:rPr>
        <w:t>od firmy Microsoft pro Zákazníka</w:t>
      </w:r>
      <w:r w:rsidRPr="0080656A">
        <w:rPr>
          <w:rFonts w:asciiTheme="minorHAnsi" w:hAnsiTheme="minorHAnsi" w:cs="Arial"/>
        </w:rPr>
        <w:t xml:space="preserve"> (NPÚ) dle specifikací uvedené v příloze zadávací dokumentace zakázky s názvem „Specifikace licencí“</w:t>
      </w:r>
      <w:r w:rsidR="001E13A4" w:rsidRPr="0080656A">
        <w:rPr>
          <w:rFonts w:asciiTheme="minorHAnsi" w:hAnsiTheme="minorHAnsi" w:cs="Arial"/>
        </w:rPr>
        <w:t>, jež je přílohou č. 1 této Smlouvy</w:t>
      </w:r>
      <w:r w:rsidR="00F21CE1" w:rsidRPr="0080656A">
        <w:rPr>
          <w:rFonts w:asciiTheme="minorHAnsi" w:hAnsiTheme="minorHAnsi" w:cs="Arial"/>
        </w:rPr>
        <w:t xml:space="preserve"> a uhrazení odměny za licence od Zákazníka vůči firmě Microsoft.</w:t>
      </w:r>
      <w:r w:rsidR="001E13A4" w:rsidRPr="0080656A">
        <w:rPr>
          <w:rFonts w:asciiTheme="minorHAnsi" w:hAnsiTheme="minorHAnsi" w:cs="Arial"/>
        </w:rPr>
        <w:t xml:space="preserve"> </w:t>
      </w:r>
      <w:r w:rsidR="003C1848" w:rsidRPr="0080656A">
        <w:rPr>
          <w:rFonts w:asciiTheme="minorHAnsi" w:hAnsiTheme="minorHAnsi" w:cs="Arial"/>
        </w:rPr>
        <w:t>Prodávající</w:t>
      </w:r>
      <w:r w:rsidR="000D37E4" w:rsidRPr="0080656A">
        <w:rPr>
          <w:rFonts w:asciiTheme="minorHAnsi" w:hAnsiTheme="minorHAnsi" w:cs="Arial"/>
        </w:rPr>
        <w:t xml:space="preserve"> se touto Smlouvou zavazuje dodat Zákazníkovi licence (rozmnoženiny počítačového programu) v počtech a cenách specifikovaných </w:t>
      </w:r>
      <w:r w:rsidR="002D5562" w:rsidRPr="0080656A">
        <w:rPr>
          <w:rFonts w:asciiTheme="minorHAnsi" w:hAnsiTheme="minorHAnsi" w:cs="Arial"/>
        </w:rPr>
        <w:t>v příloze č. 2 Položkový rozpočet</w:t>
      </w:r>
      <w:r w:rsidR="00BF7CDC" w:rsidRPr="0080656A">
        <w:rPr>
          <w:rFonts w:asciiTheme="minorHAnsi" w:hAnsiTheme="minorHAnsi" w:cs="Arial"/>
        </w:rPr>
        <w:t xml:space="preserve">, </w:t>
      </w:r>
      <w:r w:rsidR="000D37E4" w:rsidRPr="0080656A">
        <w:rPr>
          <w:rFonts w:asciiTheme="minorHAnsi" w:hAnsiTheme="minorHAnsi" w:cs="Arial"/>
        </w:rPr>
        <w:t xml:space="preserve">včetně případných instalačních médií a licenčního klíče (dále jen „Software“) a zajistit, že Zákazník získá v rámci dodávky možnost nabýt právo opravňující jej k užívání Software. Zákazník se zavazuje zaplatit </w:t>
      </w:r>
      <w:r w:rsidR="003C1848" w:rsidRPr="0080656A">
        <w:rPr>
          <w:rFonts w:asciiTheme="minorHAnsi" w:hAnsiTheme="minorHAnsi" w:cs="Arial"/>
        </w:rPr>
        <w:t>Prodávajícímu</w:t>
      </w:r>
      <w:r w:rsidR="000D37E4" w:rsidRPr="0080656A">
        <w:rPr>
          <w:rFonts w:asciiTheme="minorHAnsi" w:hAnsiTheme="minorHAnsi" w:cs="Arial"/>
        </w:rPr>
        <w:t xml:space="preserve"> za dodávku Software kupní cenu za podmínek sjednaných v této Smlouvě.</w:t>
      </w:r>
    </w:p>
    <w:p w14:paraId="03B56C89" w14:textId="77777777" w:rsidR="003D3C4D" w:rsidRPr="0080656A" w:rsidRDefault="003D3C4D" w:rsidP="00872F65">
      <w:pPr>
        <w:spacing w:after="0" w:line="312" w:lineRule="auto"/>
        <w:jc w:val="both"/>
        <w:rPr>
          <w:rFonts w:asciiTheme="minorHAnsi" w:hAnsiTheme="minorHAnsi" w:cs="Arial"/>
        </w:rPr>
      </w:pPr>
    </w:p>
    <w:p w14:paraId="6211688F" w14:textId="77777777" w:rsidR="000D37E4" w:rsidRPr="0080656A" w:rsidRDefault="000D37E4" w:rsidP="00D96210">
      <w:pPr>
        <w:pStyle w:val="Odstavecseseznamem"/>
        <w:numPr>
          <w:ilvl w:val="0"/>
          <w:numId w:val="14"/>
        </w:numPr>
        <w:spacing w:after="0" w:line="312" w:lineRule="auto"/>
        <w:jc w:val="center"/>
        <w:rPr>
          <w:rFonts w:asciiTheme="minorHAnsi" w:hAnsiTheme="minorHAnsi" w:cs="Arial"/>
          <w:b/>
        </w:rPr>
      </w:pPr>
    </w:p>
    <w:p w14:paraId="50E516E8" w14:textId="77777777" w:rsidR="000D37E4" w:rsidRPr="0080656A" w:rsidRDefault="00755AF2" w:rsidP="00872F65">
      <w:pPr>
        <w:spacing w:after="0" w:line="312" w:lineRule="auto"/>
        <w:jc w:val="center"/>
        <w:rPr>
          <w:rFonts w:asciiTheme="minorHAnsi" w:hAnsiTheme="minorHAnsi" w:cs="Arial"/>
          <w:b/>
        </w:rPr>
      </w:pPr>
      <w:r w:rsidRPr="0080656A">
        <w:rPr>
          <w:rFonts w:asciiTheme="minorHAnsi" w:hAnsiTheme="minorHAnsi" w:cs="Arial"/>
          <w:b/>
        </w:rPr>
        <w:t xml:space="preserve">Společensky odpovědné plnění </w:t>
      </w:r>
    </w:p>
    <w:p w14:paraId="7FAC9DC4" w14:textId="77777777" w:rsidR="00755AF2" w:rsidRDefault="003C1848" w:rsidP="00755AF2">
      <w:pPr>
        <w:pStyle w:val="Odstavecseseznamem"/>
        <w:numPr>
          <w:ilvl w:val="1"/>
          <w:numId w:val="14"/>
        </w:numPr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>Prodávající</w:t>
      </w:r>
      <w:r w:rsidR="00755AF2" w:rsidRPr="0080656A">
        <w:rPr>
          <w:rFonts w:asciiTheme="minorHAnsi" w:hAnsiTheme="minorHAnsi" w:cs="Arial"/>
        </w:rPr>
        <w:t xml:space="preserve"> se zavazuje po celou dobu plnění smlouvy zajistit společensky odpovědné plnění, které předložil ve své nabídce k veřejné zakázce.</w:t>
      </w:r>
    </w:p>
    <w:p w14:paraId="1C2D6017" w14:textId="77777777" w:rsidR="00103E03" w:rsidRPr="0080656A" w:rsidRDefault="00103E03" w:rsidP="00103E03">
      <w:pPr>
        <w:pStyle w:val="Odstavecseseznamem"/>
        <w:ind w:left="454"/>
        <w:jc w:val="both"/>
        <w:rPr>
          <w:rFonts w:asciiTheme="minorHAnsi" w:hAnsiTheme="minorHAnsi" w:cs="Arial"/>
        </w:rPr>
      </w:pPr>
    </w:p>
    <w:p w14:paraId="13CC1DD0" w14:textId="77777777" w:rsidR="00755AF2" w:rsidRPr="0080656A" w:rsidRDefault="00755AF2" w:rsidP="00755AF2">
      <w:pPr>
        <w:pStyle w:val="Odstavecseseznamem"/>
        <w:numPr>
          <w:ilvl w:val="0"/>
          <w:numId w:val="14"/>
        </w:numPr>
        <w:spacing w:after="0" w:line="312" w:lineRule="auto"/>
        <w:jc w:val="center"/>
        <w:rPr>
          <w:rFonts w:asciiTheme="minorHAnsi" w:hAnsiTheme="minorHAnsi" w:cs="Arial"/>
          <w:b/>
        </w:rPr>
      </w:pPr>
    </w:p>
    <w:p w14:paraId="18A064AB" w14:textId="77777777" w:rsidR="00755AF2" w:rsidRPr="0080656A" w:rsidRDefault="00755AF2" w:rsidP="00755AF2">
      <w:pPr>
        <w:spacing w:after="0" w:line="312" w:lineRule="auto"/>
        <w:jc w:val="center"/>
        <w:rPr>
          <w:rFonts w:asciiTheme="minorHAnsi" w:hAnsiTheme="minorHAnsi" w:cs="Arial"/>
          <w:b/>
        </w:rPr>
      </w:pPr>
      <w:r w:rsidRPr="0080656A">
        <w:rPr>
          <w:rFonts w:asciiTheme="minorHAnsi" w:hAnsiTheme="minorHAnsi" w:cs="Arial"/>
          <w:b/>
        </w:rPr>
        <w:t>Dodání software</w:t>
      </w:r>
    </w:p>
    <w:p w14:paraId="5C42BF1F" w14:textId="77777777" w:rsidR="00755AF2" w:rsidRPr="0080656A" w:rsidRDefault="00755AF2" w:rsidP="00755AF2">
      <w:pPr>
        <w:pStyle w:val="Odstavecseseznamem"/>
        <w:spacing w:after="0" w:line="312" w:lineRule="auto"/>
        <w:ind w:left="454"/>
        <w:jc w:val="both"/>
        <w:rPr>
          <w:rFonts w:asciiTheme="minorHAnsi" w:hAnsiTheme="minorHAnsi" w:cs="Arial"/>
        </w:rPr>
      </w:pPr>
    </w:p>
    <w:p w14:paraId="07AB01A6" w14:textId="77777777" w:rsidR="000D37E4" w:rsidRPr="0080656A" w:rsidRDefault="003C1848" w:rsidP="00755AF2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>Prodávající</w:t>
      </w:r>
      <w:r w:rsidR="000D37E4" w:rsidRPr="0080656A">
        <w:rPr>
          <w:rFonts w:asciiTheme="minorHAnsi" w:hAnsiTheme="minorHAnsi" w:cs="Arial"/>
        </w:rPr>
        <w:t xml:space="preserve"> se zavazuje dodat Software Zákazníkovi v termínu </w:t>
      </w:r>
      <w:r w:rsidR="000D37E4" w:rsidRPr="0080656A">
        <w:rPr>
          <w:rFonts w:asciiTheme="minorHAnsi" w:hAnsiTheme="minorHAnsi" w:cs="Arial"/>
          <w:b/>
          <w:bCs/>
        </w:rPr>
        <w:t xml:space="preserve">do </w:t>
      </w:r>
      <w:r w:rsidR="00217BB9" w:rsidRPr="0080656A">
        <w:rPr>
          <w:rFonts w:asciiTheme="minorHAnsi" w:hAnsiTheme="minorHAnsi" w:cs="Arial"/>
          <w:b/>
          <w:bCs/>
        </w:rPr>
        <w:t>20</w:t>
      </w:r>
      <w:r w:rsidR="000D37E4" w:rsidRPr="0080656A">
        <w:rPr>
          <w:rFonts w:asciiTheme="minorHAnsi" w:hAnsiTheme="minorHAnsi" w:cs="Arial"/>
          <w:b/>
          <w:bCs/>
        </w:rPr>
        <w:t xml:space="preserve"> dnů od </w:t>
      </w:r>
      <w:r w:rsidR="00217BB9" w:rsidRPr="0080656A">
        <w:rPr>
          <w:rFonts w:asciiTheme="minorHAnsi" w:hAnsiTheme="minorHAnsi" w:cs="Arial"/>
          <w:b/>
          <w:bCs/>
        </w:rPr>
        <w:t>nabytí účinnosti</w:t>
      </w:r>
      <w:r w:rsidR="000D37E4" w:rsidRPr="0080656A">
        <w:rPr>
          <w:rFonts w:asciiTheme="minorHAnsi" w:hAnsiTheme="minorHAnsi" w:cs="Arial"/>
          <w:b/>
          <w:bCs/>
        </w:rPr>
        <w:t xml:space="preserve"> této Smlouvy</w:t>
      </w:r>
      <w:r w:rsidR="000D37E4" w:rsidRPr="0080656A">
        <w:rPr>
          <w:rFonts w:asciiTheme="minorHAnsi" w:hAnsiTheme="minorHAnsi" w:cs="Arial"/>
        </w:rPr>
        <w:t xml:space="preserve">. Instalace Software není předmětem této Smlouvy a </w:t>
      </w:r>
      <w:r w:rsidRPr="0080656A">
        <w:rPr>
          <w:rFonts w:asciiTheme="minorHAnsi" w:hAnsiTheme="minorHAnsi" w:cs="Arial"/>
        </w:rPr>
        <w:t>Prodávající</w:t>
      </w:r>
      <w:r w:rsidR="000D37E4" w:rsidRPr="0080656A">
        <w:rPr>
          <w:rFonts w:asciiTheme="minorHAnsi" w:hAnsiTheme="minorHAnsi" w:cs="Arial"/>
        </w:rPr>
        <w:t xml:space="preserve"> ji není povinna zajišťovat.</w:t>
      </w:r>
    </w:p>
    <w:p w14:paraId="466AFAAC" w14:textId="77777777" w:rsidR="000D37E4" w:rsidRPr="0080656A" w:rsidRDefault="000D37E4" w:rsidP="00755AF2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 xml:space="preserve">Místem dodání Software je sídlo Zákazníka uvedené v záhlaví této Smlouvy. </w:t>
      </w:r>
    </w:p>
    <w:p w14:paraId="111F6943" w14:textId="77777777" w:rsidR="000D37E4" w:rsidRPr="0080656A" w:rsidRDefault="000D37E4" w:rsidP="00755AF2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 xml:space="preserve">Zákazník je povinen poskytnout </w:t>
      </w:r>
      <w:r w:rsidR="003C1848" w:rsidRPr="0080656A">
        <w:rPr>
          <w:rFonts w:asciiTheme="minorHAnsi" w:hAnsiTheme="minorHAnsi" w:cs="Arial"/>
        </w:rPr>
        <w:t>Prodávajícímu</w:t>
      </w:r>
      <w:r w:rsidRPr="0080656A">
        <w:rPr>
          <w:rFonts w:asciiTheme="minorHAnsi" w:hAnsiTheme="minorHAnsi" w:cs="Arial"/>
        </w:rPr>
        <w:t xml:space="preserve"> veškerou součinnost, která je nezbytná </w:t>
      </w:r>
      <w:r w:rsidRPr="0080656A">
        <w:rPr>
          <w:rFonts w:asciiTheme="minorHAnsi" w:hAnsiTheme="minorHAnsi" w:cs="Arial"/>
        </w:rPr>
        <w:br/>
        <w:t>k dodání Software, zejména Software řádně převzít.</w:t>
      </w:r>
    </w:p>
    <w:p w14:paraId="7D15DB78" w14:textId="77777777" w:rsidR="000D37E4" w:rsidRPr="0080656A" w:rsidRDefault="000D37E4" w:rsidP="00755AF2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 xml:space="preserve">Dodání Software bude mezi Stranami potvrzeno v písemném předávacím protokolu, který se Strany zavazují podepsat při předání Software k rukám Zákazníka. </w:t>
      </w:r>
    </w:p>
    <w:p w14:paraId="4A918A45" w14:textId="77777777" w:rsidR="000D37E4" w:rsidRPr="0080656A" w:rsidRDefault="000D37E4" w:rsidP="00755AF2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 xml:space="preserve">Strany se dohodly, že </w:t>
      </w:r>
      <w:r w:rsidR="003C1848" w:rsidRPr="0080656A">
        <w:rPr>
          <w:rFonts w:asciiTheme="minorHAnsi" w:hAnsiTheme="minorHAnsi" w:cs="Arial"/>
        </w:rPr>
        <w:t>Prodávající</w:t>
      </w:r>
      <w:r w:rsidRPr="0080656A">
        <w:rPr>
          <w:rFonts w:asciiTheme="minorHAnsi" w:hAnsiTheme="minorHAnsi" w:cs="Arial"/>
        </w:rPr>
        <w:t xml:space="preserve"> z titulu odpovědnosti za vady odpovídá výlučně za množstevní vady Software, případně za dodání nesprávného produktu, tj. typu Software. Veškeré ostatní vady, tzn. zejména funkční a programové vady Software, je Zákazník povinen řešit přímo s výrobcem (autorem) a společnost </w:t>
      </w:r>
      <w:r w:rsidR="003C1848" w:rsidRPr="0080656A">
        <w:rPr>
          <w:rFonts w:asciiTheme="minorHAnsi" w:hAnsiTheme="minorHAnsi" w:cs="Arial"/>
        </w:rPr>
        <w:t>Prodávající</w:t>
      </w:r>
      <w:r w:rsidRPr="0080656A">
        <w:rPr>
          <w:rFonts w:asciiTheme="minorHAnsi" w:hAnsiTheme="minorHAnsi" w:cs="Arial"/>
        </w:rPr>
        <w:t xml:space="preserve"> za ně neodpovídá. Pokud v této smlouvě není stanoveno nebo v jednotlivém obchodním případě nebude výslovně dohodnuto jinak, </w:t>
      </w:r>
      <w:r w:rsidR="003C1848" w:rsidRPr="0080656A">
        <w:rPr>
          <w:rFonts w:asciiTheme="minorHAnsi" w:hAnsiTheme="minorHAnsi" w:cs="Arial"/>
        </w:rPr>
        <w:t>Prodávající</w:t>
      </w:r>
      <w:r w:rsidRPr="0080656A">
        <w:rPr>
          <w:rFonts w:asciiTheme="minorHAnsi" w:hAnsiTheme="minorHAnsi" w:cs="Arial"/>
        </w:rPr>
        <w:t xml:space="preserve"> neposkytuje žádné záruky za vlastnosti prodaného Software. V případě nároku z odpovědnosti za vady v podobě slevy z kupní ceny (kterou je </w:t>
      </w:r>
      <w:r w:rsidR="003C1848" w:rsidRPr="0080656A">
        <w:rPr>
          <w:rFonts w:asciiTheme="minorHAnsi" w:hAnsiTheme="minorHAnsi" w:cs="Arial"/>
        </w:rPr>
        <w:t>Prodávající</w:t>
      </w:r>
      <w:r w:rsidRPr="0080656A">
        <w:rPr>
          <w:rFonts w:asciiTheme="minorHAnsi" w:hAnsiTheme="minorHAnsi" w:cs="Arial"/>
        </w:rPr>
        <w:t xml:space="preserve"> vždy </w:t>
      </w:r>
      <w:r w:rsidR="003C1848" w:rsidRPr="0080656A">
        <w:rPr>
          <w:rFonts w:asciiTheme="minorHAnsi" w:hAnsiTheme="minorHAnsi" w:cs="Arial"/>
        </w:rPr>
        <w:t>podle svého rozhodnutí oprávněn</w:t>
      </w:r>
      <w:r w:rsidRPr="0080656A">
        <w:rPr>
          <w:rFonts w:asciiTheme="minorHAnsi" w:hAnsiTheme="minorHAnsi" w:cs="Arial"/>
        </w:rPr>
        <w:t xml:space="preserve"> Zákazníkovi poskytnout) je odpovědnost </w:t>
      </w:r>
      <w:r w:rsidR="003C1848" w:rsidRPr="0080656A">
        <w:rPr>
          <w:rFonts w:asciiTheme="minorHAnsi" w:hAnsiTheme="minorHAnsi" w:cs="Arial"/>
        </w:rPr>
        <w:t>Prodávajícího</w:t>
      </w:r>
      <w:r w:rsidRPr="0080656A">
        <w:rPr>
          <w:rFonts w:asciiTheme="minorHAnsi" w:hAnsiTheme="minorHAnsi" w:cs="Arial"/>
        </w:rPr>
        <w:t xml:space="preserve"> omezena výší pořizovací ceny Software.</w:t>
      </w:r>
    </w:p>
    <w:p w14:paraId="4C7266B0" w14:textId="77777777" w:rsidR="000D37E4" w:rsidRPr="0080656A" w:rsidRDefault="000D37E4" w:rsidP="007278F9">
      <w:pPr>
        <w:spacing w:after="0" w:line="312" w:lineRule="auto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  <w:b/>
        </w:rPr>
        <w:t xml:space="preserve">  </w:t>
      </w:r>
    </w:p>
    <w:p w14:paraId="5BDA3DCF" w14:textId="77777777" w:rsidR="000D37E4" w:rsidRDefault="000D37E4" w:rsidP="00872F65">
      <w:pPr>
        <w:spacing w:after="0" w:line="312" w:lineRule="auto"/>
        <w:ind w:left="360"/>
        <w:jc w:val="both"/>
        <w:rPr>
          <w:rFonts w:asciiTheme="minorHAnsi" w:hAnsiTheme="minorHAnsi" w:cs="Arial"/>
        </w:rPr>
      </w:pPr>
    </w:p>
    <w:p w14:paraId="5E82202A" w14:textId="77777777" w:rsidR="002C4741" w:rsidRDefault="002C4741" w:rsidP="00872F65">
      <w:pPr>
        <w:spacing w:after="0" w:line="312" w:lineRule="auto"/>
        <w:ind w:left="360"/>
        <w:jc w:val="both"/>
        <w:rPr>
          <w:rFonts w:asciiTheme="minorHAnsi" w:hAnsiTheme="minorHAnsi" w:cs="Arial"/>
        </w:rPr>
      </w:pPr>
    </w:p>
    <w:p w14:paraId="4118CFA9" w14:textId="77777777" w:rsidR="002C4741" w:rsidRDefault="002C4741" w:rsidP="00872F65">
      <w:pPr>
        <w:spacing w:after="0" w:line="312" w:lineRule="auto"/>
        <w:ind w:left="360"/>
        <w:jc w:val="both"/>
        <w:rPr>
          <w:rFonts w:asciiTheme="minorHAnsi" w:hAnsiTheme="minorHAnsi" w:cs="Arial"/>
        </w:rPr>
      </w:pPr>
    </w:p>
    <w:p w14:paraId="6FE36F84" w14:textId="77777777" w:rsidR="002C4741" w:rsidRDefault="002C4741" w:rsidP="00872F65">
      <w:pPr>
        <w:spacing w:after="0" w:line="312" w:lineRule="auto"/>
        <w:ind w:left="360"/>
        <w:jc w:val="both"/>
        <w:rPr>
          <w:rFonts w:asciiTheme="minorHAnsi" w:hAnsiTheme="minorHAnsi" w:cs="Arial"/>
        </w:rPr>
      </w:pPr>
    </w:p>
    <w:p w14:paraId="033A1517" w14:textId="77777777" w:rsidR="000D37E4" w:rsidRPr="0080656A" w:rsidRDefault="000D37E4" w:rsidP="00755AF2">
      <w:pPr>
        <w:pStyle w:val="Odstavecseseznamem"/>
        <w:numPr>
          <w:ilvl w:val="0"/>
          <w:numId w:val="14"/>
        </w:numPr>
        <w:spacing w:after="0" w:line="312" w:lineRule="auto"/>
        <w:jc w:val="center"/>
        <w:rPr>
          <w:rFonts w:asciiTheme="minorHAnsi" w:hAnsiTheme="minorHAnsi" w:cs="Arial"/>
          <w:b/>
        </w:rPr>
      </w:pPr>
    </w:p>
    <w:p w14:paraId="6647C9D4" w14:textId="77777777" w:rsidR="000D37E4" w:rsidRPr="0080656A" w:rsidRDefault="000D37E4" w:rsidP="00872F65">
      <w:pPr>
        <w:spacing w:after="0" w:line="312" w:lineRule="auto"/>
        <w:jc w:val="center"/>
        <w:rPr>
          <w:rFonts w:asciiTheme="minorHAnsi" w:hAnsiTheme="minorHAnsi" w:cs="Arial"/>
          <w:b/>
        </w:rPr>
      </w:pPr>
      <w:r w:rsidRPr="0080656A">
        <w:rPr>
          <w:rFonts w:asciiTheme="minorHAnsi" w:hAnsiTheme="minorHAnsi" w:cs="Arial"/>
          <w:b/>
        </w:rPr>
        <w:t>Kupní cena a platební podmínky</w:t>
      </w:r>
    </w:p>
    <w:p w14:paraId="6B16A5E1" w14:textId="77777777" w:rsidR="000D37E4" w:rsidRPr="0080656A" w:rsidRDefault="000D37E4" w:rsidP="008D6F41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>Kupní cena za dodání Software dle této Smlouvy je</w:t>
      </w:r>
      <w:r w:rsidR="009939F2" w:rsidRPr="0080656A">
        <w:rPr>
          <w:rFonts w:asciiTheme="minorHAnsi" w:hAnsiTheme="minorHAnsi" w:cs="Arial"/>
        </w:rPr>
        <w:t xml:space="preserve"> </w:t>
      </w:r>
      <w:r w:rsidR="00B11AF8">
        <w:rPr>
          <w:rFonts w:asciiTheme="minorHAnsi" w:hAnsiTheme="minorHAnsi" w:cs="Arial"/>
        </w:rPr>
        <w:t>198 856,00 Kč bez DPH</w:t>
      </w:r>
      <w:r w:rsidR="0048321F" w:rsidRPr="0080656A">
        <w:rPr>
          <w:rFonts w:asciiTheme="minorHAnsi" w:hAnsiTheme="minorHAnsi" w:cs="Arial"/>
        </w:rPr>
        <w:t xml:space="preserve"> </w:t>
      </w:r>
      <w:r w:rsidR="005730A2" w:rsidRPr="0080656A">
        <w:rPr>
          <w:rFonts w:asciiTheme="minorHAnsi" w:hAnsiTheme="minorHAnsi" w:cs="Arial"/>
        </w:rPr>
        <w:t xml:space="preserve">jež vyplývá z přílohy č. </w:t>
      </w:r>
      <w:r w:rsidR="002D5562" w:rsidRPr="0080656A">
        <w:rPr>
          <w:rFonts w:asciiTheme="minorHAnsi" w:hAnsiTheme="minorHAnsi" w:cs="Arial"/>
        </w:rPr>
        <w:t>2</w:t>
      </w:r>
      <w:r w:rsidR="005730A2" w:rsidRPr="0080656A">
        <w:rPr>
          <w:rFonts w:asciiTheme="minorHAnsi" w:hAnsiTheme="minorHAnsi" w:cs="Arial"/>
        </w:rPr>
        <w:t xml:space="preserve"> této Smlouvy. </w:t>
      </w:r>
      <w:r w:rsidRPr="0080656A">
        <w:rPr>
          <w:rFonts w:asciiTheme="minorHAnsi" w:hAnsiTheme="minorHAnsi" w:cs="Arial"/>
        </w:rPr>
        <w:t>Kupní cena se může zvýšit nebo snížit pouze na základě změny sazby DPH, popřípadě zákonných poplatků.</w:t>
      </w:r>
    </w:p>
    <w:p w14:paraId="5EE68DBD" w14:textId="77777777" w:rsidR="000D37E4" w:rsidRPr="0080656A" w:rsidRDefault="000D37E4" w:rsidP="00755AF2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>Strany se dohodly, že kupní cena bude splatná po dodání Software (čímž se rozumí jeho převzetí Zákazníkem), případně poté co Zákazník poruší svou povinnost převzít Software dodaný v souladu s čl. II. této Smlouvy.</w:t>
      </w:r>
    </w:p>
    <w:p w14:paraId="4DD8862B" w14:textId="77777777" w:rsidR="000D37E4" w:rsidRPr="0080656A" w:rsidRDefault="000D37E4" w:rsidP="00755AF2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>Pro potřeby této Smlouvy bude poté, kdy se naplnily předpoklady sjednané v čl.</w:t>
      </w:r>
      <w:r w:rsidR="00A60AAF" w:rsidRPr="0080656A">
        <w:rPr>
          <w:rFonts w:asciiTheme="minorHAnsi" w:hAnsiTheme="minorHAnsi" w:cs="Arial"/>
        </w:rPr>
        <w:t xml:space="preserve"> III. Odst.</w:t>
      </w:r>
      <w:r w:rsidRPr="0080656A">
        <w:rPr>
          <w:rFonts w:asciiTheme="minorHAnsi" w:hAnsiTheme="minorHAnsi" w:cs="Arial"/>
        </w:rPr>
        <w:t xml:space="preserve"> </w:t>
      </w:r>
      <w:r w:rsidR="00A60AAF" w:rsidRPr="0080656A">
        <w:rPr>
          <w:rFonts w:asciiTheme="minorHAnsi" w:hAnsiTheme="minorHAnsi" w:cs="Arial"/>
        </w:rPr>
        <w:t>III</w:t>
      </w:r>
      <w:r w:rsidRPr="0080656A">
        <w:rPr>
          <w:rFonts w:asciiTheme="minorHAnsi" w:hAnsiTheme="minorHAnsi" w:cs="Arial"/>
        </w:rPr>
        <w:t xml:space="preserve">.2 Smlouvy, ze strany </w:t>
      </w:r>
      <w:r w:rsidR="003C1848" w:rsidRPr="0080656A">
        <w:rPr>
          <w:rFonts w:asciiTheme="minorHAnsi" w:hAnsiTheme="minorHAnsi" w:cs="Arial"/>
        </w:rPr>
        <w:t>Prodávajícího</w:t>
      </w:r>
      <w:r w:rsidRPr="0080656A">
        <w:rPr>
          <w:rFonts w:asciiTheme="minorHAnsi" w:hAnsiTheme="minorHAnsi" w:cs="Arial"/>
        </w:rPr>
        <w:t xml:space="preserve"> vystaven a Zákazníkovi doručen řádný daňový doklad (faktura) obsahující </w:t>
      </w:r>
      <w:r w:rsidR="009E79FD" w:rsidRPr="0080656A">
        <w:rPr>
          <w:rFonts w:asciiTheme="minorHAnsi" w:hAnsiTheme="minorHAnsi" w:cs="Arial"/>
        </w:rPr>
        <w:t>všechny náležitosti řádného účetního a daňového dokladu dle příslušných právních předpisů, zejména zákona č. 235/2004 Sb., o dani z přidané hodnoty, ve znění pozdějších předpisů, dále musí splňovat Smlouvou stanovené náležitosti včetně uvedení</w:t>
      </w:r>
      <w:r w:rsidRPr="0080656A">
        <w:rPr>
          <w:rFonts w:asciiTheme="minorHAnsi" w:hAnsiTheme="minorHAnsi" w:cs="Arial"/>
        </w:rPr>
        <w:t xml:space="preserve"> splatnosti kupní ceny. Kupní cena nebude splatná dříve než 21 dní po doručení řádného daňového dokladu.</w:t>
      </w:r>
    </w:p>
    <w:p w14:paraId="069FF8CA" w14:textId="77777777" w:rsidR="000D37E4" w:rsidRPr="0080656A" w:rsidRDefault="000D37E4" w:rsidP="00755AF2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>Zákazník je oprávněn vrátit daňový doklad před termínem jeho splatnosti, pokud nebude obsahovat náležitosti podle zákona č. 235/2004 Sb. o dani z přidané hodnoty, nebo bude obsahovat nesprávné cenové údaje případně jiné nesrovnalosti. Vrátí-li Zákazník vadnou fakturu, přestává běžet původní lhůta splatnosti.</w:t>
      </w:r>
      <w:r w:rsidR="00A60AAF" w:rsidRPr="0080656A">
        <w:rPr>
          <w:rFonts w:asciiTheme="minorHAnsi" w:hAnsiTheme="minorHAnsi" w:cs="Arial"/>
        </w:rPr>
        <w:t xml:space="preserve"> V takovém případě není Zákazník v prodlení s úhradou.</w:t>
      </w:r>
      <w:r w:rsidRPr="0080656A">
        <w:rPr>
          <w:rFonts w:asciiTheme="minorHAnsi" w:hAnsiTheme="minorHAnsi" w:cs="Arial"/>
        </w:rPr>
        <w:t xml:space="preserve"> Celá lhůta splatnosti běží opět dne doručení nově vystavené faktury</w:t>
      </w:r>
      <w:r w:rsidR="00A60AAF" w:rsidRPr="0080656A">
        <w:rPr>
          <w:rFonts w:asciiTheme="minorHAnsi" w:hAnsiTheme="minorHAnsi" w:cs="Arial"/>
        </w:rPr>
        <w:t xml:space="preserve"> s novým termínem splatnosti</w:t>
      </w:r>
      <w:proofErr w:type="gramStart"/>
      <w:r w:rsidR="00A60AAF" w:rsidRPr="0080656A">
        <w:rPr>
          <w:rFonts w:asciiTheme="minorHAnsi" w:hAnsiTheme="minorHAnsi" w:cs="Arial"/>
        </w:rPr>
        <w:t xml:space="preserve">. </w:t>
      </w:r>
      <w:r w:rsidRPr="0080656A">
        <w:rPr>
          <w:rFonts w:asciiTheme="minorHAnsi" w:hAnsiTheme="minorHAnsi" w:cs="Arial"/>
        </w:rPr>
        <w:t>.</w:t>
      </w:r>
      <w:proofErr w:type="gramEnd"/>
      <w:r w:rsidRPr="0080656A">
        <w:rPr>
          <w:rFonts w:asciiTheme="minorHAnsi" w:hAnsiTheme="minorHAnsi" w:cs="Arial"/>
        </w:rPr>
        <w:t xml:space="preserve"> </w:t>
      </w:r>
    </w:p>
    <w:p w14:paraId="421816B4" w14:textId="77777777" w:rsidR="000D37E4" w:rsidRPr="0080656A" w:rsidRDefault="000D37E4" w:rsidP="00755AF2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>Platby budou prováděny bezhotovostním způsobem, výhradně v českých korunách.</w:t>
      </w:r>
    </w:p>
    <w:p w14:paraId="312BCF82" w14:textId="77777777" w:rsidR="000D37E4" w:rsidRPr="0080656A" w:rsidRDefault="000D37E4" w:rsidP="00755AF2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  <w:b/>
        </w:rPr>
      </w:pPr>
      <w:r w:rsidRPr="0080656A">
        <w:rPr>
          <w:rFonts w:asciiTheme="minorHAnsi" w:hAnsiTheme="minorHAnsi" w:cs="Arial"/>
        </w:rPr>
        <w:t xml:space="preserve">Strany se dohodly, že splnění jakýchkoliv dluhů Zákazníka vůči </w:t>
      </w:r>
      <w:r w:rsidR="003C1848" w:rsidRPr="0080656A">
        <w:rPr>
          <w:rFonts w:asciiTheme="minorHAnsi" w:hAnsiTheme="minorHAnsi" w:cs="Arial"/>
        </w:rPr>
        <w:t>Prodávajícímu</w:t>
      </w:r>
      <w:r w:rsidRPr="0080656A">
        <w:rPr>
          <w:rFonts w:asciiTheme="minorHAnsi" w:hAnsiTheme="minorHAnsi" w:cs="Arial"/>
        </w:rPr>
        <w:t xml:space="preserve"> je nepřípustné jednostranným započtením jakékoliv pohledávky Zákazníka proti pohledávkám </w:t>
      </w:r>
      <w:r w:rsidR="003C1848" w:rsidRPr="0080656A">
        <w:rPr>
          <w:rFonts w:asciiTheme="minorHAnsi" w:hAnsiTheme="minorHAnsi" w:cs="Arial"/>
        </w:rPr>
        <w:t>Prodávajícího</w:t>
      </w:r>
      <w:r w:rsidRPr="0080656A">
        <w:rPr>
          <w:rFonts w:asciiTheme="minorHAnsi" w:hAnsiTheme="minorHAnsi" w:cs="Arial"/>
        </w:rPr>
        <w:t>.</w:t>
      </w:r>
    </w:p>
    <w:p w14:paraId="78C47914" w14:textId="77777777" w:rsidR="007D15FA" w:rsidRPr="0080656A" w:rsidRDefault="003C1848" w:rsidP="00755AF2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  <w:b/>
        </w:rPr>
      </w:pPr>
      <w:r w:rsidRPr="0080656A">
        <w:rPr>
          <w:rFonts w:asciiTheme="minorHAnsi" w:hAnsiTheme="minorHAnsi" w:cs="Arial"/>
        </w:rPr>
        <w:t>Prodávající</w:t>
      </w:r>
      <w:r w:rsidR="007D15FA" w:rsidRPr="0080656A">
        <w:rPr>
          <w:rFonts w:asciiTheme="minorHAnsi" w:hAnsiTheme="minorHAnsi" w:cs="Arial"/>
        </w:rPr>
        <w:t xml:space="preserve"> prohlašuje, že ke dni podpisu Smlouvy není nespolehlivým plátcem DPH dle §106 zákona č. 235/2004 Sb., o dani z přidané hodnoty, v platném znění a není vedena v registru nespolehlivých plátců DPH. </w:t>
      </w:r>
      <w:r w:rsidRPr="0080656A">
        <w:rPr>
          <w:rFonts w:asciiTheme="minorHAnsi" w:hAnsiTheme="minorHAnsi" w:cs="Arial"/>
        </w:rPr>
        <w:t>Prodávající</w:t>
      </w:r>
      <w:r w:rsidR="007D15FA" w:rsidRPr="0080656A">
        <w:rPr>
          <w:rFonts w:asciiTheme="minorHAnsi" w:hAnsiTheme="minorHAnsi" w:cs="Arial"/>
        </w:rPr>
        <w:t xml:space="preserve"> se dále zavazuje uvádět pro účely bezhotovostního převodu pouze účet či účty, které jsou správcem daně zveřejněny způsobem umožňujícím dálkový přístup dle zákona č. 235/2004 Sb., o dani z přidané hodnoty, v platném znění. V případě, že se </w:t>
      </w:r>
      <w:r w:rsidRPr="0080656A">
        <w:rPr>
          <w:rFonts w:asciiTheme="minorHAnsi" w:hAnsiTheme="minorHAnsi" w:cs="Arial"/>
        </w:rPr>
        <w:t>Prodávající</w:t>
      </w:r>
      <w:r w:rsidR="007D15FA" w:rsidRPr="0080656A">
        <w:rPr>
          <w:rFonts w:asciiTheme="minorHAnsi" w:hAnsiTheme="minorHAnsi" w:cs="Arial"/>
        </w:rPr>
        <w:t xml:space="preserve"> stane nespolehlivým plátcem DPH, je povinna tuto skutečnost oznámit NPÚ nejpozději do 5 pracovních dnů ode dne, kdy tato skutečnost nastala, přičemž oznámením se rozumí den, kdy NPÚ předmětnou informaci prokazatelně obdržel. V případě porušení některé z těchto povinností je </w:t>
      </w:r>
      <w:r w:rsidRPr="0080656A">
        <w:rPr>
          <w:rFonts w:asciiTheme="minorHAnsi" w:hAnsiTheme="minorHAnsi" w:cs="Arial"/>
        </w:rPr>
        <w:t>Prodávající</w:t>
      </w:r>
      <w:r w:rsidR="007D15FA" w:rsidRPr="0080656A">
        <w:rPr>
          <w:rFonts w:asciiTheme="minorHAnsi" w:hAnsiTheme="minorHAnsi" w:cs="Arial"/>
        </w:rPr>
        <w:t xml:space="preserve"> povinen uhradit NPÚ smluvní pokutu ve výši 10.000,- Kč a to za každý jednotlivý případ porušení povinnosti. Uhrazení smluvní pokuty se nikterak nedotýká nároku na náhradu škody způsobené porušením této povinnosti. </w:t>
      </w:r>
      <w:r w:rsidRPr="0080656A">
        <w:rPr>
          <w:rFonts w:asciiTheme="minorHAnsi" w:hAnsiTheme="minorHAnsi" w:cs="Arial"/>
        </w:rPr>
        <w:t>Prodávající</w:t>
      </w:r>
      <w:r w:rsidR="007D15FA" w:rsidRPr="0080656A">
        <w:rPr>
          <w:rFonts w:asciiTheme="minorHAnsi" w:hAnsiTheme="minorHAnsi" w:cs="Arial"/>
        </w:rPr>
        <w:t xml:space="preserve"> dále souhlasí s tím, aby NPÚ provedl zajišťovací úhradu DPH přímo na účet příslušného finančního úřadu, jestliže </w:t>
      </w:r>
      <w:r w:rsidRPr="0080656A">
        <w:rPr>
          <w:rFonts w:asciiTheme="minorHAnsi" w:hAnsiTheme="minorHAnsi" w:cs="Arial"/>
        </w:rPr>
        <w:t>Prodávající</w:t>
      </w:r>
      <w:r w:rsidR="007D15FA" w:rsidRPr="0080656A">
        <w:rPr>
          <w:rFonts w:asciiTheme="minorHAnsi" w:hAnsiTheme="minorHAnsi" w:cs="Arial"/>
        </w:rPr>
        <w:t xml:space="preserve"> bude ke dni uskutečnění zdanitelného plnění vedena v registru nespolehlivých plátců DPH.</w:t>
      </w:r>
    </w:p>
    <w:p w14:paraId="2465DFB7" w14:textId="77777777" w:rsidR="007D15FA" w:rsidRPr="002C4741" w:rsidRDefault="003C1848" w:rsidP="00755AF2">
      <w:pPr>
        <w:pStyle w:val="Odstavecseseznamem"/>
        <w:numPr>
          <w:ilvl w:val="1"/>
          <w:numId w:val="14"/>
        </w:numPr>
        <w:spacing w:after="0" w:line="312" w:lineRule="auto"/>
        <w:jc w:val="both"/>
        <w:rPr>
          <w:rFonts w:asciiTheme="minorHAnsi" w:hAnsiTheme="minorHAnsi" w:cs="Arial"/>
          <w:b/>
        </w:rPr>
      </w:pPr>
      <w:r w:rsidRPr="0080656A">
        <w:rPr>
          <w:rFonts w:asciiTheme="minorHAnsi" w:hAnsiTheme="minorHAnsi" w:cs="Arial"/>
        </w:rPr>
        <w:t>Prodávající</w:t>
      </w:r>
      <w:r w:rsidR="007D15FA" w:rsidRPr="0080656A">
        <w:rPr>
          <w:rFonts w:asciiTheme="minorHAnsi" w:hAnsiTheme="minorHAnsi" w:cs="Arial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344353C" w14:textId="77777777" w:rsidR="002C4741" w:rsidRPr="0080656A" w:rsidRDefault="002C4741" w:rsidP="002C4741">
      <w:pPr>
        <w:pStyle w:val="Odstavecseseznamem"/>
        <w:spacing w:after="0" w:line="312" w:lineRule="auto"/>
        <w:ind w:left="454"/>
        <w:jc w:val="both"/>
        <w:rPr>
          <w:rFonts w:asciiTheme="minorHAnsi" w:hAnsiTheme="minorHAnsi" w:cs="Arial"/>
          <w:b/>
        </w:rPr>
      </w:pPr>
    </w:p>
    <w:p w14:paraId="1ABB431F" w14:textId="77777777" w:rsidR="00D761C1" w:rsidRPr="002C4741" w:rsidRDefault="002C4741" w:rsidP="002C4741">
      <w:pPr>
        <w:spacing w:after="0" w:line="312" w:lineRule="auto"/>
        <w:ind w:left="288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V.</w:t>
      </w:r>
    </w:p>
    <w:p w14:paraId="1D0ACDB6" w14:textId="77777777" w:rsidR="000D37E4" w:rsidRPr="0080656A" w:rsidRDefault="007D15FA" w:rsidP="00D761C1">
      <w:pPr>
        <w:pStyle w:val="Odstavecseseznamem"/>
        <w:spacing w:after="0" w:line="312" w:lineRule="auto"/>
        <w:ind w:left="0"/>
        <w:jc w:val="center"/>
        <w:rPr>
          <w:rFonts w:asciiTheme="minorHAnsi" w:hAnsiTheme="minorHAnsi" w:cs="Arial"/>
          <w:b/>
        </w:rPr>
      </w:pPr>
      <w:r w:rsidRPr="0080656A">
        <w:rPr>
          <w:rFonts w:asciiTheme="minorHAnsi" w:hAnsiTheme="minorHAnsi" w:cs="Arial"/>
          <w:b/>
        </w:rPr>
        <w:t>Mlčenlivost</w:t>
      </w:r>
      <w:r w:rsidR="00444F2E" w:rsidRPr="0080656A">
        <w:rPr>
          <w:rFonts w:asciiTheme="minorHAnsi" w:hAnsiTheme="minorHAnsi" w:cs="Arial"/>
          <w:b/>
        </w:rPr>
        <w:t xml:space="preserve"> a ochrana osobních údajů</w:t>
      </w:r>
    </w:p>
    <w:p w14:paraId="4282839A" w14:textId="77777777" w:rsidR="00DF3C35" w:rsidRDefault="002C4741" w:rsidP="00DF3C35">
      <w:pPr>
        <w:spacing w:after="0" w:line="312" w:lineRule="auto"/>
        <w:jc w:val="both"/>
        <w:rPr>
          <w:rFonts w:asciiTheme="minorHAnsi" w:hAnsiTheme="minorHAnsi" w:cs="Arial"/>
        </w:rPr>
      </w:pPr>
      <w:proofErr w:type="gramStart"/>
      <w:r w:rsidRPr="002C4741">
        <w:rPr>
          <w:rFonts w:asciiTheme="minorHAnsi" w:hAnsiTheme="minorHAnsi" w:cs="Arial"/>
          <w:b/>
        </w:rPr>
        <w:t>V.</w:t>
      </w:r>
      <w:r>
        <w:rPr>
          <w:rFonts w:asciiTheme="minorHAnsi" w:hAnsiTheme="minorHAnsi" w:cs="Arial"/>
          <w:b/>
        </w:rPr>
        <w:t>1</w:t>
      </w:r>
      <w:r>
        <w:rPr>
          <w:rFonts w:asciiTheme="minorHAnsi" w:hAnsiTheme="minorHAnsi" w:cs="Arial"/>
        </w:rPr>
        <w:t xml:space="preserve">  </w:t>
      </w:r>
      <w:r w:rsidR="003C1848" w:rsidRPr="002C4741">
        <w:rPr>
          <w:rFonts w:asciiTheme="minorHAnsi" w:hAnsiTheme="minorHAnsi" w:cs="Arial"/>
        </w:rPr>
        <w:t>Prodávající</w:t>
      </w:r>
      <w:proofErr w:type="gramEnd"/>
      <w:r w:rsidR="00D761C1" w:rsidRPr="002C4741">
        <w:rPr>
          <w:rFonts w:asciiTheme="minorHAnsi" w:hAnsiTheme="minorHAnsi" w:cs="Arial"/>
        </w:rPr>
        <w:t xml:space="preserve"> se zavazuje během plnění smlouvy i po ukončení smlouvy zachovávat mlčenlivost o </w:t>
      </w:r>
      <w:r w:rsidR="00DF3C35">
        <w:rPr>
          <w:rFonts w:asciiTheme="minorHAnsi" w:hAnsiTheme="minorHAnsi" w:cs="Arial"/>
        </w:rPr>
        <w:t xml:space="preserve"> </w:t>
      </w:r>
    </w:p>
    <w:p w14:paraId="23FF8589" w14:textId="77777777" w:rsidR="00D761C1" w:rsidRPr="002C4741" w:rsidRDefault="00DF3C35" w:rsidP="00DF3C35">
      <w:pPr>
        <w:spacing w:after="0" w:line="312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</w:t>
      </w:r>
      <w:r w:rsidR="00D761C1" w:rsidRPr="002C4741">
        <w:rPr>
          <w:rFonts w:asciiTheme="minorHAnsi" w:hAnsiTheme="minorHAnsi" w:cs="Arial"/>
        </w:rPr>
        <w:t>všech skutečnostech, o kterých se dozví od</w:t>
      </w:r>
      <w:r w:rsidR="00444F2E" w:rsidRPr="002C4741">
        <w:rPr>
          <w:rFonts w:asciiTheme="minorHAnsi" w:hAnsiTheme="minorHAnsi" w:cs="Arial"/>
        </w:rPr>
        <w:t xml:space="preserve"> Zákazníka (</w:t>
      </w:r>
      <w:r w:rsidR="00D761C1" w:rsidRPr="002C4741">
        <w:rPr>
          <w:rFonts w:asciiTheme="minorHAnsi" w:hAnsiTheme="minorHAnsi" w:cs="Arial"/>
        </w:rPr>
        <w:t>NPÚ</w:t>
      </w:r>
      <w:r w:rsidR="00444F2E" w:rsidRPr="002C4741">
        <w:rPr>
          <w:rFonts w:asciiTheme="minorHAnsi" w:hAnsiTheme="minorHAnsi" w:cs="Arial"/>
        </w:rPr>
        <w:t>)</w:t>
      </w:r>
      <w:r w:rsidR="00D761C1" w:rsidRPr="002C4741">
        <w:rPr>
          <w:rFonts w:asciiTheme="minorHAnsi" w:hAnsiTheme="minorHAnsi" w:cs="Arial"/>
        </w:rPr>
        <w:t xml:space="preserve"> v souvislosti s plněním Smlouvy.</w:t>
      </w:r>
    </w:p>
    <w:p w14:paraId="1CB2A367" w14:textId="77777777" w:rsidR="00DF3C35" w:rsidRDefault="002C4741" w:rsidP="002C4741">
      <w:pPr>
        <w:spacing w:after="0" w:line="336" w:lineRule="auto"/>
        <w:jc w:val="both"/>
        <w:rPr>
          <w:rFonts w:asciiTheme="minorHAnsi" w:hAnsiTheme="minorHAnsi" w:cs="Arial"/>
        </w:rPr>
      </w:pPr>
      <w:proofErr w:type="gramStart"/>
      <w:r w:rsidRPr="002C4741">
        <w:rPr>
          <w:rFonts w:asciiTheme="minorHAnsi" w:hAnsiTheme="minorHAnsi" w:cs="Arial"/>
          <w:b/>
        </w:rPr>
        <w:t>V.</w:t>
      </w:r>
      <w:r>
        <w:rPr>
          <w:rFonts w:asciiTheme="minorHAnsi" w:hAnsiTheme="minorHAnsi" w:cs="Arial"/>
          <w:b/>
        </w:rPr>
        <w:t>2</w:t>
      </w:r>
      <w:r>
        <w:rPr>
          <w:rFonts w:asciiTheme="minorHAnsi" w:hAnsiTheme="minorHAnsi" w:cs="Arial"/>
        </w:rPr>
        <w:t xml:space="preserve">  </w:t>
      </w:r>
      <w:r w:rsidR="00444F2E" w:rsidRPr="0080656A">
        <w:rPr>
          <w:rFonts w:asciiTheme="minorHAnsi" w:hAnsiTheme="minorHAnsi" w:cs="Arial"/>
        </w:rPr>
        <w:t>Informace</w:t>
      </w:r>
      <w:proofErr w:type="gramEnd"/>
      <w:r w:rsidR="00444F2E" w:rsidRPr="0080656A">
        <w:rPr>
          <w:rFonts w:asciiTheme="minorHAnsi" w:hAnsiTheme="minorHAnsi" w:cs="Arial"/>
        </w:rPr>
        <w:t xml:space="preserve"> k ochraně osobních údajů jsou ze strany Zákazníka uveřejněny na webových stránkách</w:t>
      </w:r>
    </w:p>
    <w:p w14:paraId="0C33569A" w14:textId="77777777" w:rsidR="00DF3C35" w:rsidRDefault="00DF3C35" w:rsidP="002C4741">
      <w:pPr>
        <w:spacing w:after="0" w:line="33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444F2E" w:rsidRPr="0080656A">
        <w:rPr>
          <w:rFonts w:asciiTheme="minorHAnsi" w:hAnsiTheme="minorHAnsi" w:cs="Arial"/>
        </w:rPr>
        <w:t xml:space="preserve"> </w:t>
      </w:r>
      <w:hyperlink r:id="rId7" w:history="1">
        <w:r w:rsidR="00444F2E" w:rsidRPr="0080656A">
          <w:rPr>
            <w:rStyle w:val="Hypertextovodkaz"/>
            <w:rFonts w:asciiTheme="minorHAnsi" w:hAnsiTheme="minorHAnsi" w:cs="Arial"/>
          </w:rPr>
          <w:t>www.npu.cz</w:t>
        </w:r>
      </w:hyperlink>
      <w:r w:rsidR="00444F2E" w:rsidRPr="0080656A">
        <w:rPr>
          <w:rFonts w:asciiTheme="minorHAnsi" w:hAnsiTheme="minorHAnsi" w:cs="Arial"/>
        </w:rPr>
        <w:t xml:space="preserve"> v sekci „Ochrana osobních údajů“ a ze strany </w:t>
      </w:r>
      <w:r w:rsidR="003C1848" w:rsidRPr="0080656A">
        <w:rPr>
          <w:rFonts w:asciiTheme="minorHAnsi" w:hAnsiTheme="minorHAnsi" w:cs="Arial"/>
        </w:rPr>
        <w:t>Prodávajícího</w:t>
      </w:r>
      <w:r w:rsidR="00444F2E" w:rsidRPr="0080656A">
        <w:rPr>
          <w:rFonts w:asciiTheme="minorHAnsi" w:hAnsiTheme="minorHAnsi" w:cs="Arial"/>
        </w:rPr>
        <w:t xml:space="preserve"> </w:t>
      </w:r>
      <w:r w:rsidR="002D5562" w:rsidRPr="0080656A">
        <w:rPr>
          <w:rFonts w:asciiTheme="minorHAnsi" w:hAnsiTheme="minorHAnsi" w:cs="Arial"/>
        </w:rPr>
        <w:t xml:space="preserve">jsou uveřejněny na </w:t>
      </w:r>
    </w:p>
    <w:p w14:paraId="288DFD8E" w14:textId="77777777" w:rsidR="00444F2E" w:rsidRPr="0080656A" w:rsidRDefault="00DF3C35" w:rsidP="002C4741">
      <w:pPr>
        <w:spacing w:after="0" w:line="33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2D5562" w:rsidRPr="0080656A">
        <w:rPr>
          <w:rFonts w:asciiTheme="minorHAnsi" w:hAnsiTheme="minorHAnsi" w:cs="Arial"/>
        </w:rPr>
        <w:t xml:space="preserve">webových stránkách </w:t>
      </w:r>
      <w:hyperlink r:id="rId8" w:history="1">
        <w:r w:rsidR="00E97102">
          <w:rPr>
            <w:rStyle w:val="Hypertextovodkaz"/>
            <w:rFonts w:asciiTheme="minorHAnsi" w:hAnsiTheme="minorHAnsi" w:cs="Arial"/>
          </w:rPr>
          <w:t>https://www.t-mobile.cz/ochrana-udaju/zasady-ochrany-osobnich-udaju</w:t>
        </w:r>
      </w:hyperlink>
      <w:r w:rsidR="00950491">
        <w:rPr>
          <w:rFonts w:asciiTheme="minorHAnsi" w:hAnsiTheme="minorHAnsi" w:cs="Calibri"/>
        </w:rPr>
        <w:t>.</w:t>
      </w:r>
    </w:p>
    <w:p w14:paraId="6A44FF7C" w14:textId="77777777" w:rsidR="00444F2E" w:rsidRPr="0080656A" w:rsidRDefault="00444F2E" w:rsidP="002D5562">
      <w:pPr>
        <w:pStyle w:val="Odstavecseseznamem"/>
        <w:spacing w:after="0" w:line="312" w:lineRule="auto"/>
        <w:ind w:left="454"/>
        <w:jc w:val="both"/>
        <w:rPr>
          <w:rFonts w:asciiTheme="minorHAnsi" w:hAnsiTheme="minorHAnsi" w:cs="Arial"/>
        </w:rPr>
      </w:pPr>
    </w:p>
    <w:p w14:paraId="740A1C26" w14:textId="77777777" w:rsidR="00444F2E" w:rsidRPr="0080656A" w:rsidRDefault="00444F2E" w:rsidP="005730A2">
      <w:pPr>
        <w:pStyle w:val="Odstavecseseznamem"/>
        <w:spacing w:after="0" w:line="312" w:lineRule="auto"/>
        <w:ind w:left="454"/>
        <w:jc w:val="both"/>
        <w:rPr>
          <w:rFonts w:asciiTheme="minorHAnsi" w:hAnsiTheme="minorHAnsi" w:cs="Arial"/>
        </w:rPr>
      </w:pPr>
    </w:p>
    <w:p w14:paraId="42E6D16B" w14:textId="77777777" w:rsidR="005730A2" w:rsidRPr="0080656A" w:rsidRDefault="005730A2" w:rsidP="005730A2">
      <w:pPr>
        <w:pStyle w:val="Odstavecseseznamem"/>
        <w:spacing w:after="0" w:line="312" w:lineRule="auto"/>
        <w:ind w:left="454"/>
        <w:jc w:val="center"/>
        <w:rPr>
          <w:rFonts w:asciiTheme="minorHAnsi" w:hAnsiTheme="minorHAnsi" w:cs="Arial"/>
          <w:b/>
          <w:bCs/>
        </w:rPr>
      </w:pPr>
      <w:r w:rsidRPr="0080656A">
        <w:rPr>
          <w:rFonts w:asciiTheme="minorHAnsi" w:hAnsiTheme="minorHAnsi" w:cs="Arial"/>
          <w:b/>
          <w:bCs/>
        </w:rPr>
        <w:t>V</w:t>
      </w:r>
      <w:r w:rsidR="002C4741">
        <w:rPr>
          <w:rFonts w:asciiTheme="minorHAnsi" w:hAnsiTheme="minorHAnsi" w:cs="Arial"/>
          <w:b/>
          <w:bCs/>
        </w:rPr>
        <w:t>I</w:t>
      </w:r>
      <w:r w:rsidRPr="0080656A">
        <w:rPr>
          <w:rFonts w:asciiTheme="minorHAnsi" w:hAnsiTheme="minorHAnsi" w:cs="Arial"/>
          <w:b/>
          <w:bCs/>
        </w:rPr>
        <w:t>.</w:t>
      </w:r>
    </w:p>
    <w:p w14:paraId="2BFCDA34" w14:textId="77777777" w:rsidR="005730A2" w:rsidRPr="0080656A" w:rsidRDefault="005730A2" w:rsidP="00755AF2">
      <w:pPr>
        <w:pStyle w:val="Odstavecseseznamem"/>
        <w:spacing w:after="0" w:line="312" w:lineRule="auto"/>
        <w:ind w:left="454"/>
        <w:jc w:val="center"/>
        <w:rPr>
          <w:rFonts w:asciiTheme="minorHAnsi" w:hAnsiTheme="minorHAnsi" w:cs="Arial"/>
          <w:b/>
          <w:bCs/>
        </w:rPr>
      </w:pPr>
      <w:r w:rsidRPr="0080656A">
        <w:rPr>
          <w:rFonts w:asciiTheme="minorHAnsi" w:hAnsiTheme="minorHAnsi" w:cs="Arial"/>
          <w:b/>
          <w:bCs/>
        </w:rPr>
        <w:t>Sankce</w:t>
      </w:r>
    </w:p>
    <w:p w14:paraId="1E4BB8B0" w14:textId="77777777" w:rsidR="00DF3C35" w:rsidRDefault="002C4741" w:rsidP="002C4741">
      <w:pPr>
        <w:spacing w:after="0" w:line="312" w:lineRule="auto"/>
        <w:jc w:val="both"/>
        <w:rPr>
          <w:rFonts w:asciiTheme="minorHAnsi" w:hAnsiTheme="minorHAnsi" w:cs="Arial"/>
        </w:rPr>
      </w:pPr>
      <w:r w:rsidRPr="002C4741">
        <w:rPr>
          <w:rFonts w:asciiTheme="minorHAnsi" w:hAnsiTheme="minorHAnsi" w:cs="Arial"/>
          <w:b/>
        </w:rPr>
        <w:t>VI.</w:t>
      </w:r>
      <w:r>
        <w:rPr>
          <w:rFonts w:asciiTheme="minorHAnsi" w:hAnsiTheme="minorHAnsi" w:cs="Arial"/>
          <w:b/>
        </w:rPr>
        <w:t>1</w:t>
      </w:r>
      <w:r>
        <w:rPr>
          <w:rFonts w:asciiTheme="minorHAnsi" w:hAnsiTheme="minorHAnsi" w:cs="Arial"/>
        </w:rPr>
        <w:t xml:space="preserve"> </w:t>
      </w:r>
      <w:r w:rsidR="005730A2" w:rsidRPr="002C4741">
        <w:rPr>
          <w:rFonts w:asciiTheme="minorHAnsi" w:hAnsiTheme="minorHAnsi" w:cs="Arial"/>
        </w:rPr>
        <w:t xml:space="preserve">V případě, že se </w:t>
      </w:r>
      <w:r w:rsidR="003C1848" w:rsidRPr="002C4741">
        <w:rPr>
          <w:rFonts w:asciiTheme="minorHAnsi" w:hAnsiTheme="minorHAnsi" w:cs="Arial"/>
        </w:rPr>
        <w:t>Prodávající</w:t>
      </w:r>
      <w:r w:rsidR="005730A2" w:rsidRPr="002C4741">
        <w:rPr>
          <w:rFonts w:asciiTheme="minorHAnsi" w:hAnsiTheme="minorHAnsi" w:cs="Arial"/>
        </w:rPr>
        <w:t xml:space="preserve"> dostane do prodlení s plněním povinnosti poskytnout plnění řádně a </w:t>
      </w:r>
    </w:p>
    <w:p w14:paraId="59F8E977" w14:textId="77777777" w:rsidR="005730A2" w:rsidRPr="002C4741" w:rsidRDefault="00DF3C35" w:rsidP="002C4741">
      <w:pPr>
        <w:spacing w:after="0" w:line="312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5730A2" w:rsidRPr="002C4741">
        <w:rPr>
          <w:rFonts w:asciiTheme="minorHAnsi" w:hAnsiTheme="minorHAnsi" w:cs="Arial"/>
        </w:rPr>
        <w:t>včas, zavazuje se k úhradě smluvní pokuty ve výši 1.000,- Kč za každý, byť započatý den prodlení.</w:t>
      </w:r>
    </w:p>
    <w:p w14:paraId="3D21568B" w14:textId="77777777" w:rsidR="00DF3C35" w:rsidRDefault="002C4741" w:rsidP="00DF3C35">
      <w:pPr>
        <w:spacing w:after="0" w:line="312" w:lineRule="auto"/>
        <w:rPr>
          <w:rFonts w:asciiTheme="minorHAnsi" w:hAnsiTheme="minorHAnsi" w:cs="Arial"/>
        </w:rPr>
      </w:pPr>
      <w:r w:rsidRPr="002C4741">
        <w:rPr>
          <w:rFonts w:asciiTheme="minorHAnsi" w:hAnsiTheme="minorHAnsi" w:cs="Arial"/>
          <w:b/>
        </w:rPr>
        <w:t>VI.2</w:t>
      </w:r>
      <w:r>
        <w:rPr>
          <w:rFonts w:asciiTheme="minorHAnsi" w:hAnsiTheme="minorHAnsi" w:cs="Arial"/>
        </w:rPr>
        <w:t xml:space="preserve"> </w:t>
      </w:r>
      <w:r w:rsidR="005730A2" w:rsidRPr="002C4741">
        <w:rPr>
          <w:rFonts w:asciiTheme="minorHAnsi" w:hAnsiTheme="minorHAnsi" w:cs="Arial"/>
        </w:rPr>
        <w:t>Dostane-li se Zákazník do prodlení s úhradou kupní ceny</w:t>
      </w:r>
      <w:r w:rsidR="00A60AAF" w:rsidRPr="002C4741">
        <w:rPr>
          <w:rFonts w:asciiTheme="minorHAnsi" w:hAnsiTheme="minorHAnsi" w:cs="Arial"/>
        </w:rPr>
        <w:t xml:space="preserve"> dle čl. III odst. 1</w:t>
      </w:r>
      <w:r w:rsidR="005730A2" w:rsidRPr="002C4741">
        <w:rPr>
          <w:rFonts w:asciiTheme="minorHAnsi" w:hAnsiTheme="minorHAnsi" w:cs="Arial"/>
        </w:rPr>
        <w:t xml:space="preserve"> </w:t>
      </w:r>
      <w:r w:rsidR="00A60AAF" w:rsidRPr="002C4741">
        <w:rPr>
          <w:rFonts w:asciiTheme="minorHAnsi" w:hAnsiTheme="minorHAnsi" w:cs="Arial"/>
        </w:rPr>
        <w:t xml:space="preserve">této Smlouvy, </w:t>
      </w:r>
      <w:r w:rsidR="005730A2" w:rsidRPr="002C4741">
        <w:rPr>
          <w:rFonts w:asciiTheme="minorHAnsi" w:hAnsiTheme="minorHAnsi" w:cs="Arial"/>
        </w:rPr>
        <w:t>je</w:t>
      </w:r>
    </w:p>
    <w:p w14:paraId="4301E3F1" w14:textId="77777777" w:rsidR="00A60AAF" w:rsidRPr="002C4741" w:rsidRDefault="00DF3C35" w:rsidP="002C4741">
      <w:pPr>
        <w:spacing w:after="0" w:line="312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5730A2" w:rsidRPr="002C4741">
        <w:rPr>
          <w:rFonts w:asciiTheme="minorHAnsi" w:hAnsiTheme="minorHAnsi" w:cs="Arial"/>
        </w:rPr>
        <w:t xml:space="preserve"> povinen zaplatit </w:t>
      </w:r>
      <w:r w:rsidR="003C1848" w:rsidRPr="002C4741">
        <w:rPr>
          <w:rFonts w:asciiTheme="minorHAnsi" w:hAnsiTheme="minorHAnsi" w:cs="Arial"/>
        </w:rPr>
        <w:t>Prodávajícímu</w:t>
      </w:r>
      <w:r w:rsidR="005730A2" w:rsidRPr="002C4741">
        <w:rPr>
          <w:rFonts w:asciiTheme="minorHAnsi" w:hAnsiTheme="minorHAnsi" w:cs="Arial"/>
        </w:rPr>
        <w:t xml:space="preserve"> kromě dlužné jistiny také úrok z prodlení v zákonné výši</w:t>
      </w:r>
      <w:r w:rsidR="00A60AAF" w:rsidRPr="002C4741">
        <w:rPr>
          <w:rFonts w:asciiTheme="minorHAnsi" w:hAnsiTheme="minorHAnsi" w:cs="Arial"/>
        </w:rPr>
        <w:t>.</w:t>
      </w:r>
    </w:p>
    <w:p w14:paraId="3A927F66" w14:textId="77777777" w:rsidR="00DF3C35" w:rsidRDefault="002C4741" w:rsidP="002C4741">
      <w:pPr>
        <w:spacing w:after="0" w:line="312" w:lineRule="auto"/>
        <w:jc w:val="both"/>
        <w:rPr>
          <w:rFonts w:asciiTheme="minorHAnsi" w:hAnsiTheme="minorHAnsi" w:cs="Arial"/>
        </w:rPr>
      </w:pPr>
      <w:r w:rsidRPr="002C4741">
        <w:rPr>
          <w:rFonts w:asciiTheme="minorHAnsi" w:hAnsiTheme="minorHAnsi" w:cs="Arial"/>
          <w:b/>
        </w:rPr>
        <w:t xml:space="preserve">VI.3 </w:t>
      </w:r>
      <w:r w:rsidR="00A60AAF" w:rsidRPr="002C4741">
        <w:rPr>
          <w:rFonts w:asciiTheme="minorHAnsi" w:hAnsiTheme="minorHAnsi" w:cs="Arial"/>
        </w:rPr>
        <w:t xml:space="preserve">Za porušení povinnosti mlčenlivosti specifikované v čl. IV této Smlouvě je </w:t>
      </w:r>
      <w:r w:rsidR="003C1848" w:rsidRPr="002C4741">
        <w:rPr>
          <w:rFonts w:asciiTheme="minorHAnsi" w:hAnsiTheme="minorHAnsi" w:cs="Arial"/>
        </w:rPr>
        <w:t>Prodávající</w:t>
      </w:r>
      <w:r w:rsidR="00A60AAF" w:rsidRPr="002C4741">
        <w:rPr>
          <w:rFonts w:asciiTheme="minorHAnsi" w:hAnsiTheme="minorHAnsi" w:cs="Arial"/>
        </w:rPr>
        <w:t xml:space="preserve"> povinen </w:t>
      </w:r>
    </w:p>
    <w:p w14:paraId="212E46A5" w14:textId="77777777" w:rsidR="00DF3C35" w:rsidRDefault="00DF3C35" w:rsidP="002C4741">
      <w:pPr>
        <w:spacing w:after="0" w:line="312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A60AAF" w:rsidRPr="002C4741">
        <w:rPr>
          <w:rFonts w:asciiTheme="minorHAnsi" w:hAnsiTheme="minorHAnsi" w:cs="Arial"/>
        </w:rPr>
        <w:t xml:space="preserve">uhradit Zákazníkovi smluvní pokutu ve výši 5.000,- Kč, a to za každý jednotlivý případ porušení </w:t>
      </w:r>
    </w:p>
    <w:p w14:paraId="0758F293" w14:textId="77777777" w:rsidR="00DF3C35" w:rsidRDefault="00DF3C35" w:rsidP="002C4741">
      <w:pPr>
        <w:spacing w:after="0" w:line="312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A60AAF" w:rsidRPr="002C4741">
        <w:rPr>
          <w:rFonts w:asciiTheme="minorHAnsi" w:hAnsiTheme="minorHAnsi" w:cs="Arial"/>
        </w:rPr>
        <w:t xml:space="preserve">povinnosti. Uhrazení smluvní pokuty se nikterak nedotýká nároku na náhradu škody způsobené </w:t>
      </w:r>
      <w:r>
        <w:rPr>
          <w:rFonts w:asciiTheme="minorHAnsi" w:hAnsiTheme="minorHAnsi" w:cs="Arial"/>
        </w:rPr>
        <w:t xml:space="preserve"> </w:t>
      </w:r>
    </w:p>
    <w:p w14:paraId="7A5EA194" w14:textId="77777777" w:rsidR="00A60AAF" w:rsidRPr="002C4741" w:rsidRDefault="00DF3C35" w:rsidP="002C4741">
      <w:pPr>
        <w:spacing w:after="0" w:line="312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A60AAF" w:rsidRPr="002C4741">
        <w:rPr>
          <w:rFonts w:asciiTheme="minorHAnsi" w:hAnsiTheme="minorHAnsi" w:cs="Arial"/>
        </w:rPr>
        <w:t>porušením této povinnosti.</w:t>
      </w:r>
    </w:p>
    <w:p w14:paraId="1B69A31A" w14:textId="77777777" w:rsidR="00A60AAF" w:rsidRPr="0080656A" w:rsidRDefault="00A60AAF" w:rsidP="006479CD">
      <w:pPr>
        <w:pStyle w:val="Odstavecseseznamem"/>
        <w:spacing w:after="0" w:line="312" w:lineRule="auto"/>
        <w:ind w:left="284"/>
        <w:rPr>
          <w:rFonts w:asciiTheme="minorHAnsi" w:hAnsiTheme="minorHAnsi" w:cs="Arial"/>
        </w:rPr>
      </w:pPr>
    </w:p>
    <w:p w14:paraId="3EA2EB7F" w14:textId="77777777" w:rsidR="00D761C1" w:rsidRPr="0080656A" w:rsidRDefault="00D761C1" w:rsidP="00D761C1">
      <w:pPr>
        <w:pStyle w:val="Odstavecseseznamem"/>
        <w:spacing w:after="0" w:line="312" w:lineRule="auto"/>
        <w:ind w:left="454"/>
        <w:jc w:val="center"/>
        <w:rPr>
          <w:rFonts w:asciiTheme="minorHAnsi" w:hAnsiTheme="minorHAnsi" w:cs="Arial"/>
          <w:b/>
        </w:rPr>
      </w:pPr>
    </w:p>
    <w:p w14:paraId="0B3132D1" w14:textId="77777777" w:rsidR="000D37E4" w:rsidRPr="0080656A" w:rsidRDefault="005730A2" w:rsidP="005730A2">
      <w:pPr>
        <w:spacing w:after="0" w:line="312" w:lineRule="auto"/>
        <w:ind w:left="288"/>
        <w:jc w:val="center"/>
        <w:rPr>
          <w:rFonts w:asciiTheme="minorHAnsi" w:hAnsiTheme="minorHAnsi" w:cs="Arial"/>
          <w:b/>
        </w:rPr>
      </w:pPr>
      <w:r w:rsidRPr="0080656A">
        <w:rPr>
          <w:rFonts w:asciiTheme="minorHAnsi" w:hAnsiTheme="minorHAnsi" w:cs="Arial"/>
          <w:b/>
        </w:rPr>
        <w:t>VI</w:t>
      </w:r>
      <w:r w:rsidR="002C4741">
        <w:rPr>
          <w:rFonts w:asciiTheme="minorHAnsi" w:hAnsiTheme="minorHAnsi" w:cs="Arial"/>
          <w:b/>
        </w:rPr>
        <w:t>I</w:t>
      </w:r>
      <w:r w:rsidRPr="0080656A">
        <w:rPr>
          <w:rFonts w:asciiTheme="minorHAnsi" w:hAnsiTheme="minorHAnsi" w:cs="Arial"/>
          <w:b/>
        </w:rPr>
        <w:t>.</w:t>
      </w:r>
    </w:p>
    <w:p w14:paraId="797740EE" w14:textId="77777777" w:rsidR="000D37E4" w:rsidRPr="0080656A" w:rsidRDefault="000D37E4" w:rsidP="00872F65">
      <w:pPr>
        <w:spacing w:after="0" w:line="312" w:lineRule="auto"/>
        <w:jc w:val="center"/>
        <w:rPr>
          <w:rFonts w:asciiTheme="minorHAnsi" w:hAnsiTheme="minorHAnsi" w:cs="Arial"/>
          <w:b/>
        </w:rPr>
      </w:pPr>
      <w:r w:rsidRPr="0080656A">
        <w:rPr>
          <w:rFonts w:asciiTheme="minorHAnsi" w:hAnsiTheme="minorHAnsi" w:cs="Arial"/>
          <w:b/>
        </w:rPr>
        <w:t>Závěrečná ustanovení</w:t>
      </w:r>
    </w:p>
    <w:p w14:paraId="6F02F5D3" w14:textId="77777777" w:rsidR="000D37E4" w:rsidRPr="002C4741" w:rsidRDefault="002C4741" w:rsidP="002C4741">
      <w:pPr>
        <w:spacing w:after="0" w:line="312" w:lineRule="auto"/>
        <w:jc w:val="both"/>
        <w:rPr>
          <w:rFonts w:asciiTheme="minorHAnsi" w:hAnsiTheme="minorHAnsi" w:cs="Arial"/>
        </w:rPr>
      </w:pPr>
      <w:proofErr w:type="gramStart"/>
      <w:r w:rsidRPr="002C4741">
        <w:rPr>
          <w:rFonts w:asciiTheme="minorHAnsi" w:hAnsiTheme="minorHAnsi" w:cs="Arial"/>
          <w:b/>
        </w:rPr>
        <w:t>VI</w:t>
      </w:r>
      <w:r w:rsidR="00F57FB1">
        <w:rPr>
          <w:rFonts w:asciiTheme="minorHAnsi" w:hAnsiTheme="minorHAnsi" w:cs="Arial"/>
          <w:b/>
        </w:rPr>
        <w:t>I</w:t>
      </w:r>
      <w:r w:rsidRPr="002C4741">
        <w:rPr>
          <w:rFonts w:asciiTheme="minorHAnsi" w:hAnsiTheme="minorHAnsi" w:cs="Arial"/>
          <w:b/>
        </w:rPr>
        <w:t>.</w:t>
      </w:r>
      <w:r>
        <w:rPr>
          <w:rFonts w:asciiTheme="minorHAnsi" w:hAnsiTheme="minorHAnsi" w:cs="Arial"/>
          <w:b/>
        </w:rPr>
        <w:t>1</w:t>
      </w:r>
      <w:r>
        <w:rPr>
          <w:rFonts w:asciiTheme="minorHAnsi" w:hAnsiTheme="minorHAnsi" w:cs="Arial"/>
        </w:rPr>
        <w:t xml:space="preserve"> </w:t>
      </w:r>
      <w:r w:rsidR="00F57FB1">
        <w:rPr>
          <w:rFonts w:asciiTheme="minorHAnsi" w:hAnsiTheme="minorHAnsi" w:cs="Arial"/>
        </w:rPr>
        <w:t xml:space="preserve"> </w:t>
      </w:r>
      <w:r w:rsidR="0080656A" w:rsidRPr="002C4741">
        <w:rPr>
          <w:rFonts w:asciiTheme="minorHAnsi" w:hAnsiTheme="minorHAnsi" w:cs="Calibri"/>
        </w:rPr>
        <w:t>Tato</w:t>
      </w:r>
      <w:proofErr w:type="gramEnd"/>
      <w:r w:rsidR="0080656A" w:rsidRPr="002C4741">
        <w:rPr>
          <w:rFonts w:asciiTheme="minorHAnsi" w:hAnsiTheme="minorHAnsi" w:cs="Calibri"/>
        </w:rPr>
        <w:t xml:space="preserve"> Smlouva se uzavírá elektronickou formou s elektronickými podpisy smluvních stran</w:t>
      </w:r>
      <w:r w:rsidR="000D37E4" w:rsidRPr="002C4741">
        <w:rPr>
          <w:rFonts w:asciiTheme="minorHAnsi" w:hAnsiTheme="minorHAnsi" w:cs="Arial"/>
        </w:rPr>
        <w:t>.</w:t>
      </w:r>
    </w:p>
    <w:p w14:paraId="5F9D9A29" w14:textId="77777777" w:rsidR="00DF3C35" w:rsidRDefault="00F57FB1" w:rsidP="00DF3C35">
      <w:pPr>
        <w:spacing w:after="0" w:line="312" w:lineRule="auto"/>
        <w:jc w:val="both"/>
        <w:rPr>
          <w:rFonts w:asciiTheme="minorHAnsi" w:hAnsiTheme="minorHAnsi" w:cs="Arial"/>
        </w:rPr>
      </w:pPr>
      <w:r w:rsidRPr="002C4741">
        <w:rPr>
          <w:rFonts w:asciiTheme="minorHAnsi" w:hAnsiTheme="minorHAnsi" w:cs="Arial"/>
          <w:b/>
        </w:rPr>
        <w:t>VI</w:t>
      </w:r>
      <w:r>
        <w:rPr>
          <w:rFonts w:asciiTheme="minorHAnsi" w:hAnsiTheme="minorHAnsi" w:cs="Arial"/>
          <w:b/>
        </w:rPr>
        <w:t>I</w:t>
      </w:r>
      <w:r w:rsidRPr="002C4741">
        <w:rPr>
          <w:rFonts w:asciiTheme="minorHAnsi" w:hAnsiTheme="minorHAnsi" w:cs="Arial"/>
          <w:b/>
        </w:rPr>
        <w:t>.</w:t>
      </w:r>
      <w:r>
        <w:rPr>
          <w:rFonts w:asciiTheme="minorHAnsi" w:hAnsiTheme="minorHAnsi" w:cs="Arial"/>
          <w:b/>
        </w:rPr>
        <w:t>2</w:t>
      </w:r>
      <w:r>
        <w:rPr>
          <w:rFonts w:asciiTheme="minorHAnsi" w:hAnsiTheme="minorHAnsi" w:cs="Arial"/>
        </w:rPr>
        <w:t xml:space="preserve"> </w:t>
      </w:r>
      <w:r w:rsidR="000D37E4" w:rsidRPr="00F57FB1">
        <w:rPr>
          <w:rFonts w:asciiTheme="minorHAnsi" w:hAnsiTheme="minorHAnsi" w:cs="Arial"/>
        </w:rPr>
        <w:t xml:space="preserve">Tato Smlouva a veškeré právní vztahy z ní vzniklé či s ní související se řídí právním řádem České </w:t>
      </w:r>
      <w:r w:rsidR="00DF3C35">
        <w:rPr>
          <w:rFonts w:asciiTheme="minorHAnsi" w:hAnsiTheme="minorHAnsi" w:cs="Arial"/>
        </w:rPr>
        <w:t xml:space="preserve"> </w:t>
      </w:r>
    </w:p>
    <w:p w14:paraId="3C2FF022" w14:textId="77777777" w:rsidR="000D37E4" w:rsidRPr="00F57FB1" w:rsidRDefault="000D37E4" w:rsidP="00DF3C35">
      <w:pPr>
        <w:spacing w:after="0" w:line="312" w:lineRule="auto"/>
        <w:jc w:val="both"/>
        <w:rPr>
          <w:rFonts w:asciiTheme="minorHAnsi" w:hAnsiTheme="minorHAnsi" w:cs="Arial"/>
        </w:rPr>
      </w:pPr>
      <w:r w:rsidRPr="00F57FB1">
        <w:rPr>
          <w:rFonts w:asciiTheme="minorHAnsi" w:hAnsiTheme="minorHAnsi" w:cs="Arial"/>
        </w:rPr>
        <w:t xml:space="preserve">republiky, zejména </w:t>
      </w:r>
      <w:proofErr w:type="spellStart"/>
      <w:r w:rsidRPr="00F57FB1">
        <w:rPr>
          <w:rFonts w:asciiTheme="minorHAnsi" w:hAnsiTheme="minorHAnsi" w:cs="Arial"/>
        </w:rPr>
        <w:t>ObčZ</w:t>
      </w:r>
      <w:proofErr w:type="spellEnd"/>
      <w:r w:rsidRPr="00F57FB1">
        <w:rPr>
          <w:rFonts w:asciiTheme="minorHAnsi" w:hAnsiTheme="minorHAnsi" w:cs="Arial"/>
        </w:rPr>
        <w:t xml:space="preserve">. </w:t>
      </w:r>
    </w:p>
    <w:p w14:paraId="161C2F02" w14:textId="77777777" w:rsidR="00DF3C35" w:rsidRDefault="00F57FB1" w:rsidP="00F57FB1">
      <w:pPr>
        <w:pStyle w:val="Odstavecseseznamem"/>
        <w:spacing w:after="0" w:line="312" w:lineRule="auto"/>
        <w:ind w:left="0"/>
        <w:jc w:val="both"/>
        <w:rPr>
          <w:rFonts w:asciiTheme="minorHAnsi" w:hAnsiTheme="minorHAnsi" w:cs="Arial"/>
        </w:rPr>
      </w:pPr>
      <w:r w:rsidRPr="002C4741">
        <w:rPr>
          <w:rFonts w:asciiTheme="minorHAnsi" w:hAnsiTheme="minorHAnsi" w:cs="Arial"/>
          <w:b/>
        </w:rPr>
        <w:t>VI</w:t>
      </w:r>
      <w:r w:rsidR="00DF3C35">
        <w:rPr>
          <w:rFonts w:asciiTheme="minorHAnsi" w:hAnsiTheme="minorHAnsi" w:cs="Arial"/>
          <w:b/>
        </w:rPr>
        <w:t>I</w:t>
      </w:r>
      <w:r w:rsidRPr="002C4741">
        <w:rPr>
          <w:rFonts w:asciiTheme="minorHAnsi" w:hAnsiTheme="minorHAnsi" w:cs="Arial"/>
          <w:b/>
        </w:rPr>
        <w:t>.</w:t>
      </w:r>
      <w:r>
        <w:rPr>
          <w:rFonts w:asciiTheme="minorHAnsi" w:hAnsiTheme="minorHAnsi" w:cs="Arial"/>
          <w:b/>
        </w:rPr>
        <w:t>3</w:t>
      </w:r>
      <w:r>
        <w:rPr>
          <w:rFonts w:asciiTheme="minorHAnsi" w:hAnsiTheme="minorHAnsi" w:cs="Arial"/>
        </w:rPr>
        <w:t xml:space="preserve"> </w:t>
      </w:r>
      <w:r w:rsidR="001F2F63" w:rsidRPr="0080656A">
        <w:rPr>
          <w:rFonts w:asciiTheme="minorHAnsi" w:hAnsiTheme="minorHAnsi" w:cs="Arial"/>
        </w:rPr>
        <w:t>Zá</w:t>
      </w:r>
      <w:r w:rsidR="00444F2E" w:rsidRPr="0080656A">
        <w:rPr>
          <w:rFonts w:asciiTheme="minorHAnsi" w:hAnsiTheme="minorHAnsi"/>
        </w:rPr>
        <w:t>kazník</w:t>
      </w:r>
      <w:r w:rsidR="00444F2E" w:rsidRPr="0080656A">
        <w:rPr>
          <w:rFonts w:asciiTheme="minorHAnsi" w:hAnsiTheme="minorHAnsi" w:cs="Arial"/>
        </w:rPr>
        <w:t xml:space="preserve"> si vyhrazuje právo zveřejnit obsah této smlouvy včetně případných dodatků k této </w:t>
      </w:r>
    </w:p>
    <w:p w14:paraId="52440D5B" w14:textId="77777777" w:rsidR="000D37E4" w:rsidRPr="0080656A" w:rsidRDefault="00444F2E" w:rsidP="00DF3C35">
      <w:pPr>
        <w:pStyle w:val="Odstavecseseznamem"/>
        <w:spacing w:after="0" w:line="312" w:lineRule="auto"/>
        <w:ind w:left="0"/>
        <w:jc w:val="both"/>
        <w:rPr>
          <w:rFonts w:asciiTheme="minorHAnsi" w:hAnsiTheme="minorHAnsi" w:cs="Arial"/>
        </w:rPr>
      </w:pPr>
      <w:r w:rsidRPr="0080656A">
        <w:rPr>
          <w:rFonts w:asciiTheme="minorHAnsi" w:hAnsiTheme="minorHAnsi" w:cs="Arial"/>
        </w:rPr>
        <w:t xml:space="preserve">smlouvě. </w:t>
      </w:r>
      <w:r w:rsidR="003C1848" w:rsidRPr="0080656A">
        <w:rPr>
          <w:rFonts w:asciiTheme="minorHAnsi" w:hAnsiTheme="minorHAnsi" w:cs="Arial"/>
        </w:rPr>
        <w:t>Prodávající</w:t>
      </w:r>
      <w:r w:rsidRPr="0080656A">
        <w:rPr>
          <w:rFonts w:asciiTheme="minorHAnsi" w:hAnsiTheme="minorHAnsi" w:cs="Arial"/>
        </w:rPr>
        <w:t xml:space="preserve"> dále souhlasí se zveřejněním své identifikace a dalších údajů uvedených ve smlouvě včetně ceny. Smluvní strany shodně dále konstatují, že tato smlouva včetně všech příloh podléhá uveřejnění dle zákona č. 340/2015 Sb., o zvláštních podmínkách účinnosti některých smluv, uveřejňování těchto smluv a o registru smluv (zákon o registru smluv). Smluvní strany se dohodly, že tuto smlouvu uveřejní v registru smluv Zákazník. </w:t>
      </w:r>
      <w:r w:rsidR="001F2F63" w:rsidRPr="0080656A">
        <w:rPr>
          <w:rFonts w:asciiTheme="minorHAnsi" w:hAnsiTheme="minorHAnsi" w:cs="Arial"/>
        </w:rPr>
        <w:t xml:space="preserve">Zákazník je povinen </w:t>
      </w:r>
      <w:r w:rsidR="003C1848" w:rsidRPr="0080656A">
        <w:rPr>
          <w:rFonts w:asciiTheme="minorHAnsi" w:hAnsiTheme="minorHAnsi" w:cs="Arial"/>
        </w:rPr>
        <w:t>Prodávajícímu</w:t>
      </w:r>
      <w:r w:rsidR="001F2F63" w:rsidRPr="0080656A">
        <w:rPr>
          <w:rFonts w:asciiTheme="minorHAnsi" w:hAnsiTheme="minorHAnsi" w:cs="Arial"/>
        </w:rPr>
        <w:t xml:space="preserve"> zaslat nebo zajistit zaslání potvrzení o uveřejnění Smlouvy vydaného správcem registru smluv nejpozději do sedmi dnů od jeho doručení Zákazníkovi.</w:t>
      </w:r>
    </w:p>
    <w:p w14:paraId="17C14DA7" w14:textId="77777777" w:rsidR="00444F2E" w:rsidRPr="00DF3C35" w:rsidRDefault="00DF3C35" w:rsidP="00DF3C35">
      <w:pPr>
        <w:spacing w:after="0" w:line="312" w:lineRule="auto"/>
        <w:jc w:val="both"/>
        <w:rPr>
          <w:rFonts w:asciiTheme="minorHAnsi" w:hAnsiTheme="minorHAnsi" w:cs="Arial"/>
        </w:rPr>
      </w:pPr>
      <w:r w:rsidRPr="002C4741">
        <w:rPr>
          <w:rFonts w:asciiTheme="minorHAnsi" w:hAnsiTheme="minorHAnsi" w:cs="Arial"/>
          <w:b/>
        </w:rPr>
        <w:t>VI</w:t>
      </w:r>
      <w:r>
        <w:rPr>
          <w:rFonts w:asciiTheme="minorHAnsi" w:hAnsiTheme="minorHAnsi" w:cs="Arial"/>
          <w:b/>
        </w:rPr>
        <w:t>I</w:t>
      </w:r>
      <w:r w:rsidRPr="002C4741">
        <w:rPr>
          <w:rFonts w:asciiTheme="minorHAnsi" w:hAnsiTheme="minorHAnsi" w:cs="Arial"/>
          <w:b/>
        </w:rPr>
        <w:t>.</w:t>
      </w:r>
      <w:r>
        <w:rPr>
          <w:rFonts w:asciiTheme="minorHAnsi" w:hAnsiTheme="minorHAnsi" w:cs="Arial"/>
          <w:b/>
        </w:rPr>
        <w:t>4</w:t>
      </w:r>
      <w:r>
        <w:rPr>
          <w:rFonts w:asciiTheme="minorHAnsi" w:hAnsiTheme="minorHAnsi" w:cs="Arial"/>
        </w:rPr>
        <w:t xml:space="preserve"> </w:t>
      </w:r>
      <w:r w:rsidR="00444F2E" w:rsidRPr="00DF3C35">
        <w:rPr>
          <w:rFonts w:asciiTheme="minorHAnsi" w:hAnsiTheme="minorHAnsi" w:cs="Arial"/>
        </w:rPr>
        <w:t xml:space="preserve">Tato Smlouva je uzavřena a nabývá platnosti podpisem oběma Stranami. Účinnosti nabývá tato Smlouva dnem uveřejnění v registru smluv. </w:t>
      </w:r>
    </w:p>
    <w:p w14:paraId="6DCCC13A" w14:textId="77777777" w:rsidR="00444F2E" w:rsidRPr="0080656A" w:rsidRDefault="00444F2E" w:rsidP="006479CD">
      <w:pPr>
        <w:pStyle w:val="Odstavecseseznamem"/>
        <w:spacing w:after="0" w:line="312" w:lineRule="auto"/>
        <w:ind w:left="454"/>
        <w:jc w:val="both"/>
        <w:rPr>
          <w:rFonts w:asciiTheme="minorHAnsi" w:hAnsiTheme="minorHAnsi" w:cs="Arial"/>
        </w:rPr>
      </w:pPr>
    </w:p>
    <w:p w14:paraId="631DCBCC" w14:textId="77777777" w:rsidR="000D37E4" w:rsidRPr="0080656A" w:rsidRDefault="00DF3C35" w:rsidP="00DF3C35">
      <w:pPr>
        <w:pStyle w:val="ListParagraph1"/>
        <w:spacing w:line="33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DF3C35">
        <w:rPr>
          <w:rFonts w:asciiTheme="minorHAnsi" w:hAnsiTheme="minorHAnsi" w:cs="Arial"/>
          <w:b/>
        </w:rPr>
        <w:t>VII.5</w:t>
      </w:r>
      <w:r>
        <w:rPr>
          <w:rFonts w:asciiTheme="minorHAnsi" w:hAnsiTheme="minorHAnsi" w:cs="Arial"/>
        </w:rPr>
        <w:t xml:space="preserve"> </w:t>
      </w:r>
      <w:r w:rsidR="001F2F63" w:rsidRPr="0080656A">
        <w:rPr>
          <w:rFonts w:asciiTheme="minorHAnsi" w:hAnsiTheme="minorHAnsi" w:cs="Arial"/>
          <w:sz w:val="22"/>
          <w:szCs w:val="22"/>
        </w:rPr>
        <w:t>V</w:t>
      </w:r>
      <w:r w:rsidR="000D37E4" w:rsidRPr="0080656A">
        <w:rPr>
          <w:rFonts w:asciiTheme="minorHAnsi" w:hAnsiTheme="minorHAnsi" w:cs="Arial"/>
          <w:sz w:val="22"/>
          <w:szCs w:val="22"/>
        </w:rPr>
        <w:t> </w:t>
      </w:r>
      <w:r w:rsidR="001F2F63" w:rsidRPr="0080656A">
        <w:rPr>
          <w:rFonts w:asciiTheme="minorHAnsi" w:hAnsiTheme="minorHAnsi" w:cs="Arial"/>
          <w:sz w:val="22"/>
          <w:szCs w:val="22"/>
        </w:rPr>
        <w:t>případě, že nebude Smlouva v</w:t>
      </w:r>
      <w:r w:rsidR="000D37E4" w:rsidRPr="0080656A">
        <w:rPr>
          <w:rFonts w:asciiTheme="minorHAnsi" w:hAnsiTheme="minorHAnsi" w:cs="Arial"/>
          <w:sz w:val="22"/>
          <w:szCs w:val="22"/>
        </w:rPr>
        <w:t> </w:t>
      </w:r>
      <w:r w:rsidR="001F2F63" w:rsidRPr="0080656A">
        <w:rPr>
          <w:rFonts w:asciiTheme="minorHAnsi" w:hAnsiTheme="minorHAnsi" w:cs="Arial"/>
          <w:sz w:val="22"/>
          <w:szCs w:val="22"/>
        </w:rPr>
        <w:t>registru smluv uveřejněna nejpozději do</w:t>
      </w:r>
      <w:r w:rsidR="000D37E4" w:rsidRPr="0080656A">
        <w:rPr>
          <w:rFonts w:asciiTheme="minorHAnsi" w:hAnsiTheme="minorHAnsi" w:cs="Arial"/>
          <w:sz w:val="22"/>
          <w:szCs w:val="22"/>
        </w:rPr>
        <w:t> </w:t>
      </w:r>
      <w:r w:rsidR="001F2F63" w:rsidRPr="0080656A">
        <w:rPr>
          <w:rFonts w:asciiTheme="minorHAnsi" w:hAnsiTheme="minorHAnsi" w:cs="Arial"/>
          <w:sz w:val="22"/>
          <w:szCs w:val="22"/>
        </w:rPr>
        <w:t>tří měsíců ode dne jejího uzavření, ruší se Smlouva od počátku. V</w:t>
      </w:r>
      <w:r w:rsidR="000D37E4" w:rsidRPr="0080656A">
        <w:rPr>
          <w:rFonts w:asciiTheme="minorHAnsi" w:hAnsiTheme="minorHAnsi" w:cs="Arial"/>
          <w:sz w:val="22"/>
          <w:szCs w:val="22"/>
        </w:rPr>
        <w:t> </w:t>
      </w:r>
      <w:r w:rsidR="001F2F63" w:rsidRPr="0080656A">
        <w:rPr>
          <w:rFonts w:asciiTheme="minorHAnsi" w:hAnsiTheme="minorHAnsi" w:cs="Arial"/>
          <w:sz w:val="22"/>
          <w:szCs w:val="22"/>
        </w:rPr>
        <w:t>takovém případě jsou Strany povinny vrátit si vzájemně veškerá již poskytnutá plnění a vzájemně se vypořádat podle zásad o bezdůvodném obohacení s</w:t>
      </w:r>
      <w:r w:rsidR="000D37E4" w:rsidRPr="0080656A">
        <w:rPr>
          <w:rFonts w:asciiTheme="minorHAnsi" w:hAnsiTheme="minorHAnsi" w:cs="Arial"/>
          <w:sz w:val="22"/>
          <w:szCs w:val="22"/>
        </w:rPr>
        <w:t> </w:t>
      </w:r>
      <w:r w:rsidR="001F2F63" w:rsidRPr="0080656A">
        <w:rPr>
          <w:rFonts w:asciiTheme="minorHAnsi" w:hAnsiTheme="minorHAnsi" w:cs="Arial"/>
          <w:sz w:val="22"/>
          <w:szCs w:val="22"/>
        </w:rPr>
        <w:t xml:space="preserve">tím, že není dotčeno </w:t>
      </w:r>
      <w:r w:rsidR="001F2F63" w:rsidRPr="0080656A">
        <w:rPr>
          <w:rFonts w:asciiTheme="minorHAnsi" w:hAnsiTheme="minorHAnsi" w:cs="Arial"/>
          <w:sz w:val="22"/>
          <w:szCs w:val="22"/>
        </w:rPr>
        <w:lastRenderedPageBreak/>
        <w:t>právo Stran na náhradu škody.</w:t>
      </w:r>
    </w:p>
    <w:p w14:paraId="09204986" w14:textId="77777777" w:rsidR="000D37E4" w:rsidRPr="00DF3C35" w:rsidRDefault="00DF3C35" w:rsidP="00DF3C35">
      <w:pPr>
        <w:spacing w:after="0" w:line="312" w:lineRule="auto"/>
        <w:jc w:val="both"/>
        <w:rPr>
          <w:rFonts w:asciiTheme="minorHAnsi" w:hAnsiTheme="minorHAnsi" w:cs="Arial"/>
        </w:rPr>
      </w:pPr>
      <w:r w:rsidRPr="002C4741">
        <w:rPr>
          <w:rFonts w:asciiTheme="minorHAnsi" w:hAnsiTheme="minorHAnsi" w:cs="Arial"/>
          <w:b/>
        </w:rPr>
        <w:t>VI</w:t>
      </w:r>
      <w:r>
        <w:rPr>
          <w:rFonts w:asciiTheme="minorHAnsi" w:hAnsiTheme="minorHAnsi" w:cs="Arial"/>
          <w:b/>
        </w:rPr>
        <w:t>I</w:t>
      </w:r>
      <w:r w:rsidRPr="002C4741">
        <w:rPr>
          <w:rFonts w:asciiTheme="minorHAnsi" w:hAnsiTheme="minorHAnsi" w:cs="Arial"/>
          <w:b/>
        </w:rPr>
        <w:t>.</w:t>
      </w:r>
      <w:r>
        <w:rPr>
          <w:rFonts w:asciiTheme="minorHAnsi" w:hAnsiTheme="minorHAnsi" w:cs="Arial"/>
          <w:b/>
        </w:rPr>
        <w:t>6</w:t>
      </w:r>
      <w:r>
        <w:rPr>
          <w:rFonts w:asciiTheme="minorHAnsi" w:hAnsiTheme="minorHAnsi" w:cs="Arial"/>
        </w:rPr>
        <w:t xml:space="preserve"> </w:t>
      </w:r>
      <w:r w:rsidR="000D37E4" w:rsidRPr="00DF3C35">
        <w:rPr>
          <w:rFonts w:asciiTheme="minorHAnsi" w:hAnsiTheme="minorHAnsi" w:cs="Arial"/>
        </w:rPr>
        <w:t xml:space="preserve">V návaznosti na uzavřený smluvní vztah Zákazník tímto poskytuje svůj souhlas k tomu, aby </w:t>
      </w:r>
      <w:r w:rsidR="003C1848" w:rsidRPr="00DF3C35">
        <w:rPr>
          <w:rFonts w:asciiTheme="minorHAnsi" w:hAnsiTheme="minorHAnsi" w:cs="Arial"/>
        </w:rPr>
        <w:t>Prodávající</w:t>
      </w:r>
      <w:r w:rsidR="000D37E4" w:rsidRPr="00DF3C35">
        <w:rPr>
          <w:rFonts w:asciiTheme="minorHAnsi" w:hAnsiTheme="minorHAnsi" w:cs="Arial"/>
        </w:rPr>
        <w:t xml:space="preserve"> v rámce propagace svého podnikání bezplatně využívala reference vycházející ze smluvních obchodních vztahů se Zákazníkem. </w:t>
      </w:r>
      <w:r w:rsidR="003C1848" w:rsidRPr="00DF3C35">
        <w:rPr>
          <w:rFonts w:asciiTheme="minorHAnsi" w:hAnsiTheme="minorHAnsi" w:cs="Arial"/>
        </w:rPr>
        <w:t>Prodávající je zejména oprávněn</w:t>
      </w:r>
      <w:r w:rsidR="000D37E4" w:rsidRPr="00DF3C35">
        <w:rPr>
          <w:rFonts w:asciiTheme="minorHAnsi" w:hAnsiTheme="minorHAnsi" w:cs="Arial"/>
        </w:rPr>
        <w:t xml:space="preserve"> prezentovat obchodní firmu Zákazníka mezi svými zákazníky. Referenci je </w:t>
      </w:r>
      <w:r w:rsidR="003C1848" w:rsidRPr="00DF3C35">
        <w:rPr>
          <w:rFonts w:asciiTheme="minorHAnsi" w:hAnsiTheme="minorHAnsi" w:cs="Arial"/>
        </w:rPr>
        <w:t>Prodávající oprávněn</w:t>
      </w:r>
      <w:r w:rsidR="000D37E4" w:rsidRPr="00DF3C35">
        <w:rPr>
          <w:rFonts w:asciiTheme="minorHAnsi" w:hAnsiTheme="minorHAnsi" w:cs="Arial"/>
        </w:rPr>
        <w:t xml:space="preserve"> používat ve všech marketingových, propagačních a komunikačních aktivitách, a to zejména na svých webových stránkách, v tištěných propagačních materiálech, médiích a v rámci případových studií. </w:t>
      </w:r>
      <w:r w:rsidR="003C1848" w:rsidRPr="00DF3C35">
        <w:rPr>
          <w:rFonts w:asciiTheme="minorHAnsi" w:hAnsiTheme="minorHAnsi" w:cs="Arial"/>
        </w:rPr>
        <w:t>Prodávající</w:t>
      </w:r>
      <w:r w:rsidR="000D37E4" w:rsidRPr="00DF3C35">
        <w:rPr>
          <w:rFonts w:asciiTheme="minorHAnsi" w:hAnsiTheme="minorHAnsi" w:cs="Arial"/>
        </w:rPr>
        <w:t xml:space="preserve"> souhlas Zákazníka přijímá a zavazuje se reference prezentovat pouze takovým způsobem, aby nebylo ohroženo či dotčeno dobré jméno a pověst Zákazníka. Tímto ujednáním není dotčeno právo Zákazníka na ochranu důvěrných informací a obchodního tajemství v rozsahu, který vyplývá z uzavřené smlouvy či platných a účinných právních předpisů. Zákazník je oprávněn svůj souhlas vyplývající z tohoto ujednání kdykoliv odvolat.</w:t>
      </w:r>
    </w:p>
    <w:p w14:paraId="36B1492F" w14:textId="77777777" w:rsidR="00C332E7" w:rsidRPr="0080656A" w:rsidRDefault="00DF3C35" w:rsidP="00DF3C35">
      <w:pPr>
        <w:spacing w:after="0" w:line="336" w:lineRule="auto"/>
        <w:jc w:val="both"/>
        <w:rPr>
          <w:rFonts w:asciiTheme="minorHAnsi" w:hAnsiTheme="minorHAnsi" w:cs="Arial"/>
        </w:rPr>
      </w:pPr>
      <w:r w:rsidRPr="002C4741">
        <w:rPr>
          <w:rFonts w:asciiTheme="minorHAnsi" w:hAnsiTheme="minorHAnsi" w:cs="Arial"/>
          <w:b/>
        </w:rPr>
        <w:t>VI</w:t>
      </w:r>
      <w:r>
        <w:rPr>
          <w:rFonts w:asciiTheme="minorHAnsi" w:hAnsiTheme="minorHAnsi" w:cs="Arial"/>
          <w:b/>
        </w:rPr>
        <w:t>I</w:t>
      </w:r>
      <w:r w:rsidRPr="002C4741">
        <w:rPr>
          <w:rFonts w:asciiTheme="minorHAnsi" w:hAnsiTheme="minorHAnsi" w:cs="Arial"/>
          <w:b/>
        </w:rPr>
        <w:t>.</w:t>
      </w:r>
      <w:r w:rsidR="00E97102">
        <w:rPr>
          <w:rFonts w:asciiTheme="minorHAnsi" w:hAnsiTheme="minorHAnsi" w:cs="Arial"/>
          <w:b/>
        </w:rPr>
        <w:t>7</w:t>
      </w:r>
      <w:r>
        <w:rPr>
          <w:rFonts w:asciiTheme="minorHAnsi" w:hAnsiTheme="minorHAnsi" w:cs="Arial"/>
        </w:rPr>
        <w:t xml:space="preserve"> </w:t>
      </w:r>
      <w:r w:rsidR="00C332E7" w:rsidRPr="0080656A">
        <w:rPr>
          <w:rFonts w:asciiTheme="minorHAnsi" w:hAnsiTheme="minorHAnsi" w:cs="Arial"/>
        </w:rPr>
        <w:t>Smluvní strany jsou oprávněny od Smlouvy odstoupit z důvodů uvedených v</w:t>
      </w:r>
      <w:r w:rsidR="006479CD" w:rsidRPr="0080656A">
        <w:rPr>
          <w:rFonts w:asciiTheme="minorHAnsi" w:hAnsiTheme="minorHAnsi" w:cs="Arial"/>
        </w:rPr>
        <w:t> </w:t>
      </w:r>
      <w:r w:rsidR="00C332E7" w:rsidRPr="0080656A">
        <w:rPr>
          <w:rFonts w:asciiTheme="minorHAnsi" w:hAnsiTheme="minorHAnsi" w:cs="Arial"/>
        </w:rPr>
        <w:t>zákoně</w:t>
      </w:r>
      <w:r w:rsidR="006479CD" w:rsidRPr="0080656A">
        <w:rPr>
          <w:rFonts w:asciiTheme="minorHAnsi" w:hAnsiTheme="minorHAnsi" w:cs="Arial"/>
        </w:rPr>
        <w:t xml:space="preserve"> (zejména v </w:t>
      </w:r>
      <w:proofErr w:type="spellStart"/>
      <w:r w:rsidR="006479CD" w:rsidRPr="0080656A">
        <w:rPr>
          <w:rFonts w:asciiTheme="minorHAnsi" w:hAnsiTheme="minorHAnsi" w:cs="Arial"/>
        </w:rPr>
        <w:t>ObčZ</w:t>
      </w:r>
      <w:proofErr w:type="spellEnd"/>
      <w:r w:rsidR="006479CD" w:rsidRPr="0080656A">
        <w:rPr>
          <w:rFonts w:asciiTheme="minorHAnsi" w:hAnsiTheme="minorHAnsi" w:cs="Arial"/>
        </w:rPr>
        <w:t>)</w:t>
      </w:r>
      <w:r w:rsidR="00C332E7" w:rsidRPr="0080656A">
        <w:rPr>
          <w:rFonts w:asciiTheme="minorHAnsi" w:hAnsiTheme="minorHAnsi" w:cs="Arial"/>
        </w:rPr>
        <w:t xml:space="preserve"> a z důvodu podstatného porušení Smlouvy.</w:t>
      </w:r>
      <w:r w:rsidR="006479CD" w:rsidRPr="0080656A">
        <w:rPr>
          <w:rFonts w:asciiTheme="minorHAnsi" w:hAnsiTheme="minorHAnsi" w:cs="Arial"/>
        </w:rPr>
        <w:t xml:space="preserve"> Podstatným porušením smlouvy se myslí zejména porušení těch ustanovení, ke kterým se vztahují sankce uvedené v čl. V</w:t>
      </w:r>
      <w:r>
        <w:rPr>
          <w:rFonts w:asciiTheme="minorHAnsi" w:hAnsiTheme="minorHAnsi" w:cs="Arial"/>
        </w:rPr>
        <w:t>I</w:t>
      </w:r>
      <w:r w:rsidR="006479CD" w:rsidRPr="0080656A">
        <w:rPr>
          <w:rFonts w:asciiTheme="minorHAnsi" w:hAnsiTheme="minorHAnsi" w:cs="Arial"/>
        </w:rPr>
        <w:t>.</w:t>
      </w:r>
    </w:p>
    <w:p w14:paraId="4A51700F" w14:textId="77777777" w:rsidR="00CD57AA" w:rsidRPr="0080656A" w:rsidRDefault="00DF3C35" w:rsidP="00DF3C35">
      <w:pPr>
        <w:spacing w:after="0" w:line="336" w:lineRule="auto"/>
        <w:jc w:val="both"/>
        <w:rPr>
          <w:rFonts w:asciiTheme="minorHAnsi" w:hAnsiTheme="minorHAnsi" w:cs="Arial"/>
        </w:rPr>
      </w:pPr>
      <w:r w:rsidRPr="002C4741">
        <w:rPr>
          <w:rFonts w:asciiTheme="minorHAnsi" w:hAnsiTheme="minorHAnsi" w:cs="Arial"/>
          <w:b/>
        </w:rPr>
        <w:t>VI</w:t>
      </w:r>
      <w:r>
        <w:rPr>
          <w:rFonts w:asciiTheme="minorHAnsi" w:hAnsiTheme="minorHAnsi" w:cs="Arial"/>
          <w:b/>
        </w:rPr>
        <w:t>I</w:t>
      </w:r>
      <w:r w:rsidRPr="002C4741">
        <w:rPr>
          <w:rFonts w:asciiTheme="minorHAnsi" w:hAnsiTheme="minorHAnsi" w:cs="Arial"/>
          <w:b/>
        </w:rPr>
        <w:t>.</w:t>
      </w:r>
      <w:r w:rsidR="00E97102">
        <w:rPr>
          <w:rFonts w:asciiTheme="minorHAnsi" w:hAnsiTheme="minorHAnsi" w:cs="Arial"/>
          <w:b/>
        </w:rPr>
        <w:t>8</w:t>
      </w:r>
      <w:r>
        <w:rPr>
          <w:rFonts w:asciiTheme="minorHAnsi" w:hAnsiTheme="minorHAnsi" w:cs="Arial"/>
        </w:rPr>
        <w:t xml:space="preserve"> </w:t>
      </w:r>
      <w:r w:rsidR="003C1848" w:rsidRPr="0080656A">
        <w:rPr>
          <w:rFonts w:asciiTheme="minorHAnsi" w:hAnsiTheme="minorHAnsi" w:cs="Arial"/>
        </w:rPr>
        <w:t>Prodávající</w:t>
      </w:r>
      <w:r w:rsidR="00CD57AA" w:rsidRPr="0080656A">
        <w:rPr>
          <w:rFonts w:asciiTheme="minorHAnsi" w:hAnsiTheme="minorHAnsi" w:cs="Arial"/>
        </w:rPr>
        <w:t xml:space="preserve"> není oprávněn postoupit práva, povinnosti a závazky Smlouvy třetí osobě nebo jiným oso</w:t>
      </w:r>
      <w:r w:rsidR="00444F2E" w:rsidRPr="0080656A">
        <w:rPr>
          <w:rFonts w:asciiTheme="minorHAnsi" w:hAnsiTheme="minorHAnsi" w:cs="Arial"/>
        </w:rPr>
        <w:t>b</w:t>
      </w:r>
      <w:r w:rsidR="00CD57AA" w:rsidRPr="0080656A">
        <w:rPr>
          <w:rFonts w:asciiTheme="minorHAnsi" w:hAnsiTheme="minorHAnsi" w:cs="Arial"/>
        </w:rPr>
        <w:t>ám bez předchozího písemného souhlasu Zákazníka.</w:t>
      </w:r>
    </w:p>
    <w:p w14:paraId="3144BD13" w14:textId="77777777" w:rsidR="000D37E4" w:rsidRPr="00DF3C35" w:rsidRDefault="00DF3C35" w:rsidP="00DF3C35">
      <w:pPr>
        <w:spacing w:after="0" w:line="312" w:lineRule="auto"/>
        <w:jc w:val="both"/>
        <w:rPr>
          <w:rFonts w:asciiTheme="minorHAnsi" w:hAnsiTheme="minorHAnsi" w:cs="Arial"/>
        </w:rPr>
      </w:pPr>
      <w:r w:rsidRPr="002C4741">
        <w:rPr>
          <w:rFonts w:asciiTheme="minorHAnsi" w:hAnsiTheme="minorHAnsi" w:cs="Arial"/>
          <w:b/>
        </w:rPr>
        <w:t>VI</w:t>
      </w:r>
      <w:r>
        <w:rPr>
          <w:rFonts w:asciiTheme="minorHAnsi" w:hAnsiTheme="minorHAnsi" w:cs="Arial"/>
          <w:b/>
        </w:rPr>
        <w:t>I</w:t>
      </w:r>
      <w:r w:rsidRPr="002C4741">
        <w:rPr>
          <w:rFonts w:asciiTheme="minorHAnsi" w:hAnsiTheme="minorHAnsi" w:cs="Arial"/>
          <w:b/>
        </w:rPr>
        <w:t>.</w:t>
      </w:r>
      <w:r w:rsidR="00E97102">
        <w:rPr>
          <w:rFonts w:asciiTheme="minorHAnsi" w:hAnsiTheme="minorHAnsi" w:cs="Arial"/>
          <w:b/>
        </w:rPr>
        <w:t>9</w:t>
      </w:r>
      <w:r>
        <w:rPr>
          <w:rFonts w:asciiTheme="minorHAnsi" w:hAnsiTheme="minorHAnsi" w:cs="Arial"/>
        </w:rPr>
        <w:t xml:space="preserve"> </w:t>
      </w:r>
      <w:r w:rsidR="000D37E4" w:rsidRPr="00DF3C35">
        <w:rPr>
          <w:rFonts w:asciiTheme="minorHAnsi" w:hAnsiTheme="minorHAnsi" w:cs="Arial"/>
        </w:rPr>
        <w:t>Tato</w:t>
      </w:r>
      <w:r w:rsidR="006F474E" w:rsidRPr="00DF3C35">
        <w:rPr>
          <w:rFonts w:asciiTheme="minorHAnsi" w:hAnsiTheme="minorHAnsi" w:cs="Arial"/>
        </w:rPr>
        <w:t xml:space="preserve"> </w:t>
      </w:r>
      <w:r w:rsidR="000D37E4" w:rsidRPr="00DF3C35">
        <w:rPr>
          <w:rFonts w:asciiTheme="minorHAnsi" w:hAnsiTheme="minorHAnsi" w:cs="Arial"/>
        </w:rPr>
        <w:t xml:space="preserve">Smlouva může být měněna pouze vzestupně číslovanými dodatky v písemné formě, řádně podepsanými oběma Stranami. </w:t>
      </w:r>
    </w:p>
    <w:p w14:paraId="351662A3" w14:textId="77777777" w:rsidR="000D37E4" w:rsidRPr="00DF3C35" w:rsidRDefault="00DF3C35" w:rsidP="00DF3C35">
      <w:pPr>
        <w:spacing w:after="0" w:line="312" w:lineRule="auto"/>
        <w:jc w:val="both"/>
        <w:rPr>
          <w:rFonts w:asciiTheme="minorHAnsi" w:hAnsiTheme="minorHAnsi" w:cs="Arial"/>
        </w:rPr>
      </w:pPr>
      <w:r w:rsidRPr="002C4741">
        <w:rPr>
          <w:rFonts w:asciiTheme="minorHAnsi" w:hAnsiTheme="minorHAnsi" w:cs="Arial"/>
          <w:b/>
        </w:rPr>
        <w:t>VI</w:t>
      </w:r>
      <w:r>
        <w:rPr>
          <w:rFonts w:asciiTheme="minorHAnsi" w:hAnsiTheme="minorHAnsi" w:cs="Arial"/>
          <w:b/>
        </w:rPr>
        <w:t>I</w:t>
      </w:r>
      <w:r w:rsidRPr="002C4741">
        <w:rPr>
          <w:rFonts w:asciiTheme="minorHAnsi" w:hAnsiTheme="minorHAnsi" w:cs="Arial"/>
          <w:b/>
        </w:rPr>
        <w:t>.</w:t>
      </w:r>
      <w:r w:rsidR="00103E03">
        <w:rPr>
          <w:rFonts w:asciiTheme="minorHAnsi" w:hAnsiTheme="minorHAnsi" w:cs="Arial"/>
          <w:b/>
        </w:rPr>
        <w:t>1</w:t>
      </w:r>
      <w:r w:rsidR="00E97102">
        <w:rPr>
          <w:rFonts w:asciiTheme="minorHAnsi" w:hAnsiTheme="minorHAnsi" w:cs="Arial"/>
          <w:b/>
        </w:rPr>
        <w:t>0</w:t>
      </w:r>
      <w:r>
        <w:rPr>
          <w:rFonts w:asciiTheme="minorHAnsi" w:hAnsiTheme="minorHAnsi" w:cs="Arial"/>
        </w:rPr>
        <w:t xml:space="preserve"> </w:t>
      </w:r>
      <w:r w:rsidR="000D37E4" w:rsidRPr="00DF3C35">
        <w:rPr>
          <w:rFonts w:asciiTheme="minorHAnsi" w:hAnsiTheme="minorHAnsi" w:cs="Arial"/>
        </w:rPr>
        <w:t>Všechna ujednání a podmínky v této Smlouvě se budou vztahovat na právní nástupce Stran a budou je zavazovat, jako by byli v této smlouvě jmenováni a vyjádřeni; a kdekoliv je v této Smlouvě zmínka o některé ze Stran, platí, že zahrnuje a vztahuje se na nástupce takové Strany.</w:t>
      </w:r>
    </w:p>
    <w:p w14:paraId="36D2CDCC" w14:textId="77777777" w:rsidR="001E13A4" w:rsidRDefault="00DF3C35" w:rsidP="005068D3">
      <w:pPr>
        <w:spacing w:after="0" w:line="312" w:lineRule="auto"/>
        <w:jc w:val="both"/>
        <w:rPr>
          <w:rFonts w:asciiTheme="minorHAnsi" w:hAnsiTheme="minorHAnsi" w:cs="Arial"/>
        </w:rPr>
      </w:pPr>
      <w:r w:rsidRPr="002C4741">
        <w:rPr>
          <w:rFonts w:asciiTheme="minorHAnsi" w:hAnsiTheme="minorHAnsi" w:cs="Arial"/>
          <w:b/>
        </w:rPr>
        <w:t>VI</w:t>
      </w:r>
      <w:r>
        <w:rPr>
          <w:rFonts w:asciiTheme="minorHAnsi" w:hAnsiTheme="minorHAnsi" w:cs="Arial"/>
          <w:b/>
        </w:rPr>
        <w:t>I</w:t>
      </w:r>
      <w:r w:rsidRPr="002C4741">
        <w:rPr>
          <w:rFonts w:asciiTheme="minorHAnsi" w:hAnsiTheme="minorHAnsi" w:cs="Arial"/>
          <w:b/>
        </w:rPr>
        <w:t>.</w:t>
      </w:r>
      <w:r w:rsidR="00103E03">
        <w:rPr>
          <w:rFonts w:asciiTheme="minorHAnsi" w:hAnsiTheme="minorHAnsi" w:cs="Arial"/>
          <w:b/>
        </w:rPr>
        <w:t>1</w:t>
      </w:r>
      <w:r w:rsidR="00E97102">
        <w:rPr>
          <w:rFonts w:asciiTheme="minorHAnsi" w:hAnsiTheme="minorHAnsi" w:cs="Arial"/>
          <w:b/>
        </w:rPr>
        <w:t>1</w:t>
      </w:r>
      <w:r>
        <w:rPr>
          <w:rFonts w:asciiTheme="minorHAnsi" w:hAnsiTheme="minorHAnsi" w:cs="Arial"/>
        </w:rPr>
        <w:t xml:space="preserve"> </w:t>
      </w:r>
      <w:r w:rsidR="000D37E4" w:rsidRPr="00DF3C35">
        <w:rPr>
          <w:rFonts w:asciiTheme="minorHAnsi" w:hAnsiTheme="minorHAnsi" w:cs="Arial"/>
        </w:rPr>
        <w:t>Strany prohlašují, že Smlouva odpovídá jejich pravé a svobodné vůli, že nebyla uzavřena v tísni za nápadně nevýhodných podmínek, že jejímu vyhotovení v českém jazyce zcela rozumějí a na důkaz toho ji podepisují.</w:t>
      </w:r>
    </w:p>
    <w:p w14:paraId="502DE8FE" w14:textId="77777777" w:rsidR="005068D3" w:rsidRDefault="005068D3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</w:p>
    <w:p w14:paraId="0C5048F8" w14:textId="77777777" w:rsidR="001E13A4" w:rsidRPr="0080656A" w:rsidRDefault="001E13A4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  <w:r w:rsidRPr="0080656A">
        <w:rPr>
          <w:rFonts w:asciiTheme="minorHAnsi" w:hAnsiTheme="minorHAnsi"/>
        </w:rPr>
        <w:t>Přílohy:</w:t>
      </w:r>
    </w:p>
    <w:p w14:paraId="7F0C0CC2" w14:textId="77777777" w:rsidR="001E13A4" w:rsidRPr="0080656A" w:rsidRDefault="001E13A4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  <w:r w:rsidRPr="0080656A">
        <w:rPr>
          <w:rFonts w:asciiTheme="minorHAnsi" w:hAnsiTheme="minorHAnsi"/>
        </w:rPr>
        <w:t xml:space="preserve">Příloha č. 1 </w:t>
      </w:r>
      <w:r w:rsidR="00BF7CDC" w:rsidRPr="0080656A">
        <w:rPr>
          <w:rFonts w:asciiTheme="minorHAnsi" w:hAnsiTheme="minorHAnsi"/>
        </w:rPr>
        <w:t>- S</w:t>
      </w:r>
      <w:r w:rsidRPr="0080656A">
        <w:rPr>
          <w:rFonts w:asciiTheme="minorHAnsi" w:hAnsiTheme="minorHAnsi"/>
        </w:rPr>
        <w:t xml:space="preserve">pecifikace licencí </w:t>
      </w:r>
    </w:p>
    <w:p w14:paraId="0C52774D" w14:textId="77777777" w:rsidR="002D5562" w:rsidRPr="0080656A" w:rsidRDefault="002D5562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  <w:r w:rsidRPr="0080656A">
        <w:rPr>
          <w:rFonts w:asciiTheme="minorHAnsi" w:hAnsiTheme="minorHAnsi"/>
        </w:rPr>
        <w:t xml:space="preserve">Příloha č. 2 </w:t>
      </w:r>
      <w:r w:rsidR="00BF7CDC" w:rsidRPr="0080656A">
        <w:rPr>
          <w:rFonts w:asciiTheme="minorHAnsi" w:hAnsiTheme="minorHAnsi"/>
        </w:rPr>
        <w:t>- P</w:t>
      </w:r>
      <w:r w:rsidRPr="0080656A">
        <w:rPr>
          <w:rFonts w:asciiTheme="minorHAnsi" w:hAnsiTheme="minorHAnsi"/>
        </w:rPr>
        <w:t xml:space="preserve">oložkový rozpočet </w:t>
      </w:r>
    </w:p>
    <w:p w14:paraId="52B76C29" w14:textId="77777777" w:rsidR="00AD704D" w:rsidRPr="0080656A" w:rsidRDefault="00E97102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  <w:r w:rsidRPr="0080656A">
        <w:rPr>
          <w:rFonts w:asciiTheme="minorHAnsi" w:hAnsiTheme="minorHAnsi"/>
        </w:rPr>
        <w:t xml:space="preserve">Příloha č. </w:t>
      </w:r>
      <w:r>
        <w:rPr>
          <w:rFonts w:asciiTheme="minorHAnsi" w:hAnsiTheme="minorHAnsi"/>
        </w:rPr>
        <w:t>3</w:t>
      </w:r>
      <w:r w:rsidRPr="0080656A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>Pověření zástupce prodávajícího</w:t>
      </w:r>
    </w:p>
    <w:p w14:paraId="61BD3AA8" w14:textId="77777777" w:rsidR="00AD704D" w:rsidRDefault="00AD704D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</w:p>
    <w:p w14:paraId="33803019" w14:textId="77777777" w:rsidR="0052533E" w:rsidRDefault="0052533E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</w:p>
    <w:p w14:paraId="57C20C97" w14:textId="77777777" w:rsidR="0052533E" w:rsidRDefault="0052533E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</w:p>
    <w:p w14:paraId="4A69F112" w14:textId="77777777" w:rsidR="0052533E" w:rsidRDefault="0052533E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</w:p>
    <w:p w14:paraId="5D520ED0" w14:textId="77777777" w:rsidR="00E97102" w:rsidRDefault="00E97102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</w:p>
    <w:p w14:paraId="300F2225" w14:textId="77777777" w:rsidR="00E97102" w:rsidRDefault="00E97102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</w:p>
    <w:p w14:paraId="4F9DC473" w14:textId="77777777" w:rsidR="00E97102" w:rsidRDefault="00E97102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</w:p>
    <w:p w14:paraId="728655E7" w14:textId="77777777" w:rsidR="00E97102" w:rsidRDefault="00E97102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</w:p>
    <w:p w14:paraId="269A6EDD" w14:textId="77777777" w:rsidR="0052533E" w:rsidRDefault="0052533E" w:rsidP="001D6895">
      <w:pPr>
        <w:spacing w:line="240" w:lineRule="atLeast"/>
        <w:rPr>
          <w:rFonts w:cs="Calibri"/>
          <w:spacing w:val="12"/>
        </w:rPr>
      </w:pPr>
    </w:p>
    <w:p w14:paraId="0D9BD627" w14:textId="77777777" w:rsidR="001D6895" w:rsidRPr="00A274F0" w:rsidRDefault="0052533E" w:rsidP="001D6895">
      <w:pPr>
        <w:spacing w:line="240" w:lineRule="atLeast"/>
        <w:rPr>
          <w:rFonts w:cs="Calibri"/>
          <w:spacing w:val="12"/>
        </w:rPr>
      </w:pPr>
      <w:r>
        <w:rPr>
          <w:rFonts w:cs="Calibri"/>
          <w:spacing w:val="12"/>
        </w:rPr>
        <w:t xml:space="preserve">                </w:t>
      </w:r>
      <w:r w:rsidR="001D6895" w:rsidRPr="00A274F0">
        <w:rPr>
          <w:rFonts w:cs="Calibri"/>
          <w:spacing w:val="12"/>
        </w:rPr>
        <w:t>za kupujícího:</w:t>
      </w:r>
      <w:r w:rsidR="001D6895" w:rsidRPr="00A274F0">
        <w:rPr>
          <w:rFonts w:cs="Calibri"/>
          <w:spacing w:val="12"/>
        </w:rPr>
        <w:tab/>
      </w:r>
      <w:r w:rsidR="001D6895" w:rsidRPr="00A274F0">
        <w:rPr>
          <w:rFonts w:cs="Calibri"/>
          <w:spacing w:val="12"/>
        </w:rPr>
        <w:tab/>
      </w:r>
      <w:r w:rsidR="001D6895" w:rsidRPr="00A274F0">
        <w:rPr>
          <w:rFonts w:cs="Calibri"/>
          <w:spacing w:val="12"/>
        </w:rPr>
        <w:tab/>
      </w:r>
      <w:r w:rsidR="001D6895" w:rsidRPr="00A274F0">
        <w:rPr>
          <w:rFonts w:cs="Calibri"/>
          <w:spacing w:val="12"/>
        </w:rPr>
        <w:tab/>
      </w:r>
      <w:r w:rsidR="001D6895" w:rsidRPr="00A274F0">
        <w:rPr>
          <w:rFonts w:cs="Calibri"/>
          <w:spacing w:val="12"/>
        </w:rPr>
        <w:tab/>
      </w:r>
      <w:r w:rsidR="001D6895" w:rsidRPr="00A274F0">
        <w:rPr>
          <w:rFonts w:cs="Calibri"/>
          <w:spacing w:val="12"/>
        </w:rPr>
        <w:tab/>
      </w:r>
      <w:r w:rsidR="001D6895">
        <w:rPr>
          <w:rFonts w:cs="Calibri"/>
          <w:spacing w:val="12"/>
        </w:rPr>
        <w:t xml:space="preserve"> </w:t>
      </w:r>
      <w:r w:rsidR="001D6895" w:rsidRPr="00A274F0">
        <w:rPr>
          <w:rFonts w:cs="Calibri"/>
          <w:spacing w:val="12"/>
        </w:rPr>
        <w:t>za prodávajícího:</w:t>
      </w:r>
    </w:p>
    <w:p w14:paraId="2E733CAF" w14:textId="77777777" w:rsidR="001D6895" w:rsidRPr="0080656A" w:rsidRDefault="001D6895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</w:p>
    <w:p w14:paraId="15EBC6FD" w14:textId="77777777" w:rsidR="00CD57AA" w:rsidRPr="0080656A" w:rsidRDefault="00CD57AA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</w:p>
    <w:p w14:paraId="113DA158" w14:textId="77777777" w:rsidR="00511674" w:rsidRPr="0080656A" w:rsidRDefault="0052533E" w:rsidP="00511674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</w:t>
      </w:r>
      <w:r w:rsidR="000D37E4" w:rsidRPr="0080656A">
        <w:rPr>
          <w:rFonts w:asciiTheme="minorHAnsi" w:hAnsiTheme="minorHAnsi"/>
        </w:rPr>
        <w:t>V </w:t>
      </w:r>
      <w:r>
        <w:rPr>
          <w:rFonts w:asciiTheme="minorHAnsi" w:hAnsiTheme="minorHAnsi"/>
        </w:rPr>
        <w:t>Praze</w:t>
      </w:r>
      <w:r w:rsidR="000D37E4" w:rsidRPr="0080656A">
        <w:rPr>
          <w:rFonts w:asciiTheme="minorHAnsi" w:hAnsiTheme="minorHAnsi"/>
        </w:rPr>
        <w:t xml:space="preserve"> dne</w:t>
      </w:r>
      <w:r w:rsidR="00511674" w:rsidRPr="0080656A">
        <w:rPr>
          <w:rFonts w:asciiTheme="minorHAnsi" w:hAnsiTheme="minorHAnsi"/>
        </w:rPr>
        <w:tab/>
      </w:r>
      <w:r w:rsidR="00AD704D" w:rsidRPr="0080656A">
        <w:rPr>
          <w:rFonts w:asciiTheme="minorHAnsi" w:hAnsiTheme="minorHAnsi"/>
        </w:rPr>
        <w:t xml:space="preserve"> …………………                                            </w:t>
      </w:r>
      <w:r>
        <w:rPr>
          <w:rFonts w:asciiTheme="minorHAnsi" w:hAnsiTheme="minorHAnsi"/>
        </w:rPr>
        <w:t xml:space="preserve">                    </w:t>
      </w:r>
      <w:r w:rsidR="00AD704D" w:rsidRPr="0080656A">
        <w:rPr>
          <w:rFonts w:asciiTheme="minorHAnsi" w:hAnsiTheme="minorHAnsi"/>
        </w:rPr>
        <w:t xml:space="preserve">  </w:t>
      </w:r>
      <w:r w:rsidR="00511674" w:rsidRPr="0080656A">
        <w:rPr>
          <w:rFonts w:asciiTheme="minorHAnsi" w:hAnsiTheme="minorHAnsi"/>
        </w:rPr>
        <w:t>V </w:t>
      </w:r>
      <w:r>
        <w:rPr>
          <w:rFonts w:asciiTheme="minorHAnsi" w:hAnsiTheme="minorHAnsi"/>
        </w:rPr>
        <w:t>Praze</w:t>
      </w:r>
      <w:r w:rsidR="00AD704D" w:rsidRPr="0080656A">
        <w:rPr>
          <w:rFonts w:asciiTheme="minorHAnsi" w:hAnsiTheme="minorHAnsi"/>
        </w:rPr>
        <w:t xml:space="preserve">  </w:t>
      </w:r>
      <w:r w:rsidR="00511674" w:rsidRPr="0080656A">
        <w:rPr>
          <w:rFonts w:asciiTheme="minorHAnsi" w:hAnsiTheme="minorHAnsi"/>
        </w:rPr>
        <w:t xml:space="preserve"> dne ………………… </w:t>
      </w:r>
    </w:p>
    <w:p w14:paraId="046360C0" w14:textId="77777777" w:rsidR="000D37E4" w:rsidRDefault="000D37E4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="Arial" w:hAnsi="Arial"/>
          <w:sz w:val="18"/>
        </w:rPr>
      </w:pPr>
    </w:p>
    <w:p w14:paraId="73834691" w14:textId="77777777" w:rsidR="000D37E4" w:rsidRPr="00B057FC" w:rsidRDefault="000D37E4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="Arial" w:hAnsi="Arial"/>
          <w:sz w:val="18"/>
        </w:rPr>
      </w:pPr>
    </w:p>
    <w:p w14:paraId="0E3717F3" w14:textId="77777777" w:rsidR="000D37E4" w:rsidRPr="00B057FC" w:rsidRDefault="000D37E4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="Arial" w:hAnsi="Arial"/>
          <w:sz w:val="18"/>
        </w:rPr>
      </w:pPr>
      <w:r w:rsidRPr="00B057FC">
        <w:rPr>
          <w:rFonts w:ascii="Arial" w:hAnsi="Arial"/>
          <w:sz w:val="18"/>
        </w:rPr>
        <w:tab/>
        <w:t>…………………………………</w:t>
      </w:r>
      <w:r w:rsidRPr="00B057FC">
        <w:rPr>
          <w:rFonts w:ascii="Arial" w:hAnsi="Arial"/>
          <w:sz w:val="18"/>
        </w:rPr>
        <w:tab/>
      </w:r>
      <w:r w:rsidR="0052533E">
        <w:rPr>
          <w:rFonts w:ascii="Arial" w:hAnsi="Arial"/>
          <w:sz w:val="18"/>
        </w:rPr>
        <w:t xml:space="preserve">                                                      </w:t>
      </w:r>
      <w:r w:rsidRPr="00B057FC">
        <w:rPr>
          <w:rFonts w:ascii="Arial" w:hAnsi="Arial"/>
          <w:sz w:val="18"/>
        </w:rPr>
        <w:t>…………………………………</w:t>
      </w:r>
    </w:p>
    <w:p w14:paraId="729E6EB6" w14:textId="77777777" w:rsidR="000D37E4" w:rsidRPr="00B057FC" w:rsidRDefault="000D37E4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="Arial" w:hAnsi="Arial"/>
          <w:b/>
          <w:sz w:val="18"/>
          <w:szCs w:val="18"/>
        </w:rPr>
      </w:pPr>
      <w:r w:rsidRPr="00B057FC">
        <w:rPr>
          <w:rFonts w:ascii="Arial" w:hAnsi="Arial"/>
          <w:sz w:val="18"/>
        </w:rPr>
        <w:tab/>
      </w:r>
      <w:r w:rsidR="00403A7F">
        <w:rPr>
          <w:rFonts w:ascii="Arial" w:hAnsi="Arial"/>
          <w:b/>
          <w:sz w:val="18"/>
          <w:szCs w:val="18"/>
        </w:rPr>
        <w:t>Národní památkový ústav</w:t>
      </w:r>
      <w:r w:rsidRPr="00B057FC">
        <w:rPr>
          <w:rFonts w:ascii="Arial" w:hAnsi="Arial"/>
          <w:b/>
          <w:sz w:val="18"/>
        </w:rPr>
        <w:tab/>
      </w:r>
      <w:r w:rsidR="00950491">
        <w:rPr>
          <w:rFonts w:ascii="Arial" w:hAnsi="Arial"/>
          <w:b/>
          <w:sz w:val="18"/>
        </w:rPr>
        <w:t xml:space="preserve">                                                     </w:t>
      </w:r>
      <w:r w:rsidR="00950491" w:rsidRPr="00EA11AD">
        <w:rPr>
          <w:rFonts w:asciiTheme="minorHAnsi" w:hAnsiTheme="minorHAnsi" w:cs="Arial"/>
          <w:b/>
          <w:bCs/>
          <w:color w:val="000000"/>
          <w:lang w:eastAsia="cs-CZ"/>
        </w:rPr>
        <w:t>T-Mobile Czech Republic a.s.</w:t>
      </w:r>
    </w:p>
    <w:p w14:paraId="430A271D" w14:textId="77777777" w:rsidR="000D37E4" w:rsidRPr="00B057FC" w:rsidRDefault="000D37E4" w:rsidP="76A3954C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="Arial" w:hAnsi="Arial"/>
          <w:sz w:val="18"/>
          <w:szCs w:val="18"/>
        </w:rPr>
      </w:pPr>
      <w:r w:rsidRPr="00B057FC">
        <w:rPr>
          <w:rFonts w:ascii="Arial" w:hAnsi="Arial"/>
          <w:sz w:val="18"/>
          <w:szCs w:val="18"/>
        </w:rPr>
        <w:tab/>
      </w:r>
      <w:r w:rsidR="00403A7F">
        <w:rPr>
          <w:rFonts w:ascii="Arial" w:hAnsi="Arial"/>
          <w:sz w:val="18"/>
          <w:szCs w:val="18"/>
        </w:rPr>
        <w:t xml:space="preserve">Ing. arch. Naděžda </w:t>
      </w:r>
      <w:proofErr w:type="spellStart"/>
      <w:r w:rsidR="00403A7F">
        <w:rPr>
          <w:rFonts w:ascii="Arial" w:hAnsi="Arial"/>
          <w:sz w:val="18"/>
          <w:szCs w:val="18"/>
        </w:rPr>
        <w:t>Goryczková</w:t>
      </w:r>
      <w:proofErr w:type="spellEnd"/>
      <w:r w:rsidRPr="00B057FC">
        <w:rPr>
          <w:rFonts w:ascii="Arial" w:hAnsi="Arial"/>
          <w:sz w:val="18"/>
          <w:szCs w:val="18"/>
        </w:rPr>
        <w:tab/>
      </w:r>
      <w:r w:rsidR="00950491">
        <w:rPr>
          <w:rFonts w:ascii="Arial" w:hAnsi="Arial"/>
          <w:sz w:val="18"/>
          <w:szCs w:val="18"/>
        </w:rPr>
        <w:t xml:space="preserve">                                                   </w:t>
      </w:r>
      <w:r w:rsidR="00CD57AA" w:rsidRPr="00CD57AA">
        <w:rPr>
          <w:rFonts w:ascii="Arial" w:hAnsi="Arial"/>
          <w:sz w:val="18"/>
          <w:szCs w:val="18"/>
        </w:rPr>
        <w:t xml:space="preserve"> </w:t>
      </w:r>
      <w:r w:rsidR="00950491" w:rsidRPr="00EA11AD">
        <w:rPr>
          <w:rFonts w:asciiTheme="minorHAnsi" w:hAnsiTheme="minorHAnsi" w:cs="Calibri"/>
          <w:color w:val="000000"/>
          <w:lang w:eastAsia="cs-CZ"/>
        </w:rPr>
        <w:t xml:space="preserve">Dagmar </w:t>
      </w:r>
      <w:proofErr w:type="spellStart"/>
      <w:r w:rsidR="00950491" w:rsidRPr="00EA11AD">
        <w:rPr>
          <w:rFonts w:asciiTheme="minorHAnsi" w:hAnsiTheme="minorHAnsi" w:cs="Calibri"/>
          <w:color w:val="000000"/>
          <w:lang w:eastAsia="cs-CZ"/>
        </w:rPr>
        <w:t>Elbastawisi</w:t>
      </w:r>
      <w:proofErr w:type="spellEnd"/>
    </w:p>
    <w:p w14:paraId="778B6C0F" w14:textId="77777777" w:rsidR="000D37E4" w:rsidRDefault="000D37E4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Theme="minorHAnsi" w:hAnsiTheme="minorHAnsi" w:cs="Calibri"/>
          <w:color w:val="000000"/>
          <w:lang w:eastAsia="cs-CZ"/>
        </w:rPr>
      </w:pPr>
      <w:r w:rsidRPr="00B057FC">
        <w:rPr>
          <w:rFonts w:ascii="Arial" w:hAnsi="Arial"/>
          <w:i/>
          <w:sz w:val="18"/>
          <w:szCs w:val="18"/>
        </w:rPr>
        <w:tab/>
      </w:r>
      <w:r w:rsidR="00403A7F" w:rsidRPr="00950491">
        <w:rPr>
          <w:rFonts w:ascii="Arial" w:hAnsi="Arial"/>
          <w:sz w:val="18"/>
          <w:szCs w:val="18"/>
        </w:rPr>
        <w:t>generální ředitelka</w:t>
      </w:r>
      <w:r w:rsidRPr="00B057FC">
        <w:rPr>
          <w:rFonts w:ascii="Arial" w:hAnsi="Arial"/>
          <w:i/>
          <w:sz w:val="18"/>
          <w:szCs w:val="18"/>
        </w:rPr>
        <w:tab/>
      </w:r>
      <w:r w:rsidR="00950491">
        <w:rPr>
          <w:rFonts w:ascii="Arial" w:hAnsi="Arial"/>
          <w:i/>
          <w:sz w:val="18"/>
          <w:szCs w:val="18"/>
        </w:rPr>
        <w:t xml:space="preserve">                                                     </w:t>
      </w:r>
      <w:proofErr w:type="spellStart"/>
      <w:r w:rsidR="00950491" w:rsidRPr="00EA11AD">
        <w:rPr>
          <w:rFonts w:asciiTheme="minorHAnsi" w:hAnsiTheme="minorHAnsi" w:cs="Calibri"/>
          <w:color w:val="000000"/>
          <w:lang w:eastAsia="cs-CZ"/>
        </w:rPr>
        <w:t>Head</w:t>
      </w:r>
      <w:proofErr w:type="spellEnd"/>
      <w:r w:rsidR="00950491" w:rsidRPr="00EA11AD">
        <w:rPr>
          <w:rFonts w:asciiTheme="minorHAnsi" w:hAnsiTheme="minorHAnsi" w:cs="Calibri"/>
          <w:color w:val="000000"/>
          <w:lang w:eastAsia="cs-CZ"/>
        </w:rPr>
        <w:t xml:space="preserve"> </w:t>
      </w:r>
      <w:proofErr w:type="spellStart"/>
      <w:r w:rsidR="00950491" w:rsidRPr="00EA11AD">
        <w:rPr>
          <w:rFonts w:asciiTheme="minorHAnsi" w:hAnsiTheme="minorHAnsi" w:cs="Calibri"/>
          <w:color w:val="000000"/>
          <w:lang w:eastAsia="cs-CZ"/>
        </w:rPr>
        <w:t>of</w:t>
      </w:r>
      <w:proofErr w:type="spellEnd"/>
      <w:r w:rsidR="00950491" w:rsidRPr="00EA11AD">
        <w:rPr>
          <w:rFonts w:asciiTheme="minorHAnsi" w:hAnsiTheme="minorHAnsi" w:cs="Calibri"/>
          <w:color w:val="000000"/>
          <w:lang w:eastAsia="cs-CZ"/>
        </w:rPr>
        <w:t xml:space="preserve"> LCC and MS </w:t>
      </w:r>
      <w:proofErr w:type="spellStart"/>
      <w:r w:rsidR="00950491" w:rsidRPr="00EA11AD">
        <w:rPr>
          <w:rFonts w:asciiTheme="minorHAnsi" w:hAnsiTheme="minorHAnsi" w:cs="Calibri"/>
          <w:color w:val="000000"/>
          <w:lang w:eastAsia="cs-CZ"/>
        </w:rPr>
        <w:t>Consulting</w:t>
      </w:r>
      <w:proofErr w:type="spellEnd"/>
    </w:p>
    <w:p w14:paraId="3ABD6433" w14:textId="77777777" w:rsidR="00950491" w:rsidRPr="00B057FC" w:rsidRDefault="00950491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EA11AD">
        <w:rPr>
          <w:rFonts w:asciiTheme="minorHAnsi" w:hAnsiTheme="minorHAnsi" w:cs="Calibri"/>
          <w:color w:val="000000"/>
          <w:lang w:eastAsia="cs-CZ"/>
        </w:rPr>
        <w:t>na základě pověření</w:t>
      </w:r>
    </w:p>
    <w:p w14:paraId="0EB9CFF9" w14:textId="77777777" w:rsidR="000D37E4" w:rsidRPr="00B057FC" w:rsidRDefault="000D37E4" w:rsidP="00872F65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="Arial" w:hAnsi="Arial"/>
          <w:sz w:val="18"/>
          <w:szCs w:val="18"/>
          <w:lang w:val="en-GB"/>
        </w:rPr>
      </w:pPr>
    </w:p>
    <w:p w14:paraId="096C35F6" w14:textId="77777777" w:rsidR="00BF7CDC" w:rsidRDefault="00BF7CDC" w:rsidP="00872F65">
      <w:pPr>
        <w:spacing w:after="0" w:line="312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</w:p>
    <w:p w14:paraId="175EE22E" w14:textId="77777777" w:rsidR="00BF7CDC" w:rsidRDefault="00BF7C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2E17C0F3" w14:textId="77777777" w:rsidR="00BF7CDC" w:rsidRDefault="00BF7CDC" w:rsidP="00103E03">
      <w:pPr>
        <w:keepNext/>
        <w:tabs>
          <w:tab w:val="center" w:pos="2127"/>
          <w:tab w:val="center" w:pos="6379"/>
        </w:tabs>
        <w:spacing w:after="0" w:line="312" w:lineRule="auto"/>
        <w:ind w:left="-567"/>
        <w:jc w:val="both"/>
        <w:rPr>
          <w:rFonts w:ascii="Arial" w:hAnsi="Arial"/>
          <w:b/>
          <w:sz w:val="20"/>
        </w:rPr>
      </w:pPr>
      <w:r w:rsidRPr="00BF7CDC">
        <w:rPr>
          <w:rFonts w:ascii="Arial" w:hAnsi="Arial"/>
          <w:b/>
          <w:sz w:val="20"/>
        </w:rPr>
        <w:lastRenderedPageBreak/>
        <w:t xml:space="preserve">Příloha č. 1 - Specifikace licencí </w:t>
      </w:r>
    </w:p>
    <w:p w14:paraId="6051F3A1" w14:textId="77777777" w:rsidR="00936A7F" w:rsidRDefault="00936A7F" w:rsidP="00BF7CDC">
      <w:pPr>
        <w:keepNext/>
        <w:tabs>
          <w:tab w:val="center" w:pos="2127"/>
          <w:tab w:val="center" w:pos="6379"/>
        </w:tabs>
        <w:spacing w:after="0" w:line="312" w:lineRule="auto"/>
        <w:jc w:val="both"/>
        <w:rPr>
          <w:rFonts w:ascii="Arial" w:hAnsi="Arial"/>
          <w:b/>
          <w:sz w:val="20"/>
        </w:rPr>
      </w:pPr>
    </w:p>
    <w:tbl>
      <w:tblPr>
        <w:tblW w:w="106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2380"/>
        <w:gridCol w:w="2540"/>
      </w:tblGrid>
      <w:tr w:rsidR="00544E24" w:rsidRPr="00544E24" w14:paraId="7378A802" w14:textId="77777777" w:rsidTr="00103E03">
        <w:trPr>
          <w:trHeight w:val="855"/>
        </w:trPr>
        <w:tc>
          <w:tcPr>
            <w:tcW w:w="56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42FC6106" w14:textId="77777777" w:rsidR="00544E24" w:rsidRPr="00544E24" w:rsidRDefault="00544E24" w:rsidP="00103E0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544E24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cs-CZ"/>
              </w:rPr>
              <w:t>Produkt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6722EE7B" w14:textId="77777777" w:rsidR="00544E24" w:rsidRPr="00544E24" w:rsidRDefault="00544E24" w:rsidP="00544E2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44E2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Part </w:t>
            </w:r>
            <w:proofErr w:type="spellStart"/>
            <w:r w:rsidRPr="00544E2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cs-CZ"/>
              </w:rPr>
              <w:t>Number</w:t>
            </w:r>
            <w:proofErr w:type="spellEnd"/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223D394" w14:textId="77777777" w:rsidR="00544E24" w:rsidRPr="00544E24" w:rsidRDefault="00544E24" w:rsidP="00544E2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544E24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cs-CZ"/>
              </w:rPr>
              <w:t>počet kusů</w:t>
            </w:r>
          </w:p>
        </w:tc>
      </w:tr>
      <w:tr w:rsidR="00544E24" w:rsidRPr="00544E24" w14:paraId="3240E37F" w14:textId="77777777" w:rsidTr="00103E03">
        <w:trPr>
          <w:trHeight w:val="315"/>
        </w:trPr>
        <w:tc>
          <w:tcPr>
            <w:tcW w:w="5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76D24D5C" w14:textId="77777777" w:rsidR="00544E24" w:rsidRPr="00544E24" w:rsidRDefault="00544E24" w:rsidP="00103E03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544E24">
              <w:rPr>
                <w:rFonts w:eastAsia="Times New Roman"/>
                <w:lang w:eastAsia="cs-CZ"/>
              </w:rPr>
              <w:t xml:space="preserve">Microsoft® </w:t>
            </w:r>
            <w:r w:rsidR="00F35573" w:rsidRPr="00F35573">
              <w:rPr>
                <w:rFonts w:eastAsia="Times New Roman"/>
                <w:lang w:eastAsia="cs-CZ"/>
              </w:rPr>
              <w:t>SQL Serve</w:t>
            </w:r>
            <w:r w:rsidR="00E02208">
              <w:rPr>
                <w:rFonts w:eastAsia="Times New Roman"/>
                <w:lang w:eastAsia="cs-CZ"/>
              </w:rPr>
              <w:t xml:space="preserve">r </w:t>
            </w:r>
            <w:proofErr w:type="spellStart"/>
            <w:r w:rsidR="00E02208">
              <w:rPr>
                <w:rFonts w:eastAsia="Times New Roman"/>
                <w:lang w:eastAsia="cs-CZ"/>
              </w:rPr>
              <w:t>Std</w:t>
            </w:r>
            <w:proofErr w:type="spellEnd"/>
            <w:r w:rsidR="00E02208">
              <w:rPr>
                <w:rFonts w:eastAsia="Times New Roman"/>
                <w:lang w:eastAsia="cs-CZ"/>
              </w:rPr>
              <w:t xml:space="preserve"> </w:t>
            </w:r>
            <w:proofErr w:type="spellStart"/>
            <w:r w:rsidR="00E02208">
              <w:rPr>
                <w:rFonts w:eastAsia="Times New Roman"/>
                <w:lang w:eastAsia="cs-CZ"/>
              </w:rPr>
              <w:t>Core</w:t>
            </w:r>
            <w:proofErr w:type="spellEnd"/>
            <w:r w:rsidR="00E02208">
              <w:rPr>
                <w:rFonts w:eastAsia="Times New Roman"/>
                <w:lang w:eastAsia="cs-CZ"/>
              </w:rPr>
              <w:t xml:space="preserve"> 2 </w:t>
            </w:r>
            <w:proofErr w:type="spellStart"/>
            <w:proofErr w:type="gramStart"/>
            <w:r w:rsidR="00E02208">
              <w:rPr>
                <w:rFonts w:eastAsia="Times New Roman"/>
                <w:lang w:eastAsia="cs-CZ"/>
              </w:rPr>
              <w:t>SftSA</w:t>
            </w:r>
            <w:proofErr w:type="spellEnd"/>
            <w:r w:rsidR="00E02208">
              <w:rPr>
                <w:rFonts w:eastAsia="Times New Roman"/>
                <w:lang w:eastAsia="cs-CZ"/>
              </w:rPr>
              <w:t xml:space="preserve"> - AAA</w:t>
            </w:r>
            <w:proofErr w:type="gramEnd"/>
            <w:r w:rsidR="00E02208">
              <w:rPr>
                <w:rFonts w:eastAsia="Times New Roman"/>
                <w:lang w:eastAsia="cs-CZ"/>
              </w:rPr>
              <w:t xml:space="preserve">-03753 3Y </w:t>
            </w:r>
            <w:r w:rsidR="00F35573" w:rsidRPr="00F35573">
              <w:rPr>
                <w:rFonts w:eastAsia="Times New Roman"/>
                <w:lang w:eastAsia="cs-CZ"/>
              </w:rPr>
              <w:t>(platnost 01.08.2023-01.08.2026)</w:t>
            </w:r>
          </w:p>
        </w:tc>
        <w:tc>
          <w:tcPr>
            <w:tcW w:w="23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EEAD57" w14:textId="77777777" w:rsidR="00544E24" w:rsidRPr="00544E24" w:rsidRDefault="00F35573" w:rsidP="00544E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35573">
              <w:rPr>
                <w:rFonts w:eastAsia="Times New Roman"/>
                <w:color w:val="000000"/>
                <w:lang w:eastAsia="cs-CZ"/>
              </w:rPr>
              <w:t>AAA-03753</w:t>
            </w:r>
          </w:p>
        </w:tc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7CEA99" w14:textId="77777777" w:rsidR="00544E24" w:rsidRPr="00544E24" w:rsidRDefault="00544E24" w:rsidP="00544E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544E24">
              <w:rPr>
                <w:rFonts w:eastAsia="Times New Roman"/>
                <w:color w:val="000000"/>
                <w:lang w:eastAsia="cs-CZ"/>
              </w:rPr>
              <w:t>4</w:t>
            </w:r>
          </w:p>
        </w:tc>
      </w:tr>
    </w:tbl>
    <w:p w14:paraId="7E6458F9" w14:textId="77777777" w:rsidR="0048321F" w:rsidRDefault="0048321F" w:rsidP="00B832A8">
      <w:pPr>
        <w:spacing w:after="0" w:line="240" w:lineRule="auto"/>
        <w:ind w:left="-567"/>
        <w:rPr>
          <w:rFonts w:ascii="Arial" w:hAnsi="Arial" w:cs="Arial"/>
          <w:b/>
          <w:sz w:val="18"/>
          <w:szCs w:val="18"/>
        </w:rPr>
      </w:pPr>
    </w:p>
    <w:p w14:paraId="6AB6407D" w14:textId="77777777" w:rsidR="0041280E" w:rsidRDefault="0041280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CD4FB4F" w14:textId="77777777" w:rsidR="0041280E" w:rsidRDefault="0041280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1BA0839" w14:textId="77777777" w:rsidR="00103E03" w:rsidRDefault="00103E0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8DA5CBC" w14:textId="77777777" w:rsidR="00103E03" w:rsidRDefault="00103E03" w:rsidP="0052533E">
      <w:pPr>
        <w:spacing w:after="0" w:line="240" w:lineRule="auto"/>
        <w:ind w:left="-567"/>
        <w:rPr>
          <w:rFonts w:ascii="Arial" w:hAnsi="Arial" w:cs="Arial"/>
          <w:b/>
          <w:sz w:val="18"/>
          <w:szCs w:val="18"/>
        </w:rPr>
      </w:pPr>
    </w:p>
    <w:p w14:paraId="0C244C9A" w14:textId="77777777" w:rsidR="00103E03" w:rsidRDefault="00103E0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79B5B2D" w14:textId="77777777" w:rsidR="00103E03" w:rsidRDefault="00103E0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E05C622" w14:textId="77777777" w:rsidR="0041280E" w:rsidRDefault="0041280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E8ED8B2" w14:textId="77777777" w:rsidR="0052533E" w:rsidRDefault="0041280E" w:rsidP="0052533E">
      <w:pPr>
        <w:spacing w:after="0" w:line="240" w:lineRule="auto"/>
        <w:ind w:left="-567"/>
        <w:rPr>
          <w:rFonts w:ascii="Arial" w:hAnsi="Arial" w:cs="Arial"/>
          <w:b/>
          <w:sz w:val="18"/>
          <w:szCs w:val="18"/>
        </w:rPr>
      </w:pPr>
      <w:r w:rsidRPr="001860DF">
        <w:rPr>
          <w:rFonts w:ascii="Arial" w:hAnsi="Arial"/>
          <w:b/>
          <w:sz w:val="20"/>
        </w:rPr>
        <w:t xml:space="preserve">Příloha č. </w:t>
      </w:r>
      <w:r>
        <w:rPr>
          <w:rFonts w:ascii="Arial" w:hAnsi="Arial"/>
          <w:b/>
          <w:sz w:val="20"/>
        </w:rPr>
        <w:t>2</w:t>
      </w:r>
      <w:r w:rsidRPr="001860DF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 w:rsidRPr="001860DF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Položkový rozpočet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591C1667" w14:textId="77777777" w:rsidR="0052533E" w:rsidRDefault="0052533E" w:rsidP="0052533E">
      <w:pPr>
        <w:spacing w:after="0" w:line="240" w:lineRule="auto"/>
        <w:ind w:left="-567"/>
        <w:rPr>
          <w:rFonts w:ascii="Arial" w:hAnsi="Arial" w:cs="Arial"/>
          <w:b/>
          <w:sz w:val="18"/>
          <w:szCs w:val="18"/>
        </w:rPr>
      </w:pPr>
    </w:p>
    <w:tbl>
      <w:tblPr>
        <w:tblW w:w="11070" w:type="dxa"/>
        <w:tblInd w:w="-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873"/>
        <w:gridCol w:w="1380"/>
        <w:gridCol w:w="1700"/>
        <w:gridCol w:w="1940"/>
        <w:gridCol w:w="1977"/>
      </w:tblGrid>
      <w:tr w:rsidR="0052533E" w:rsidRPr="0052533E" w14:paraId="48B19048" w14:textId="77777777" w:rsidTr="0052533E">
        <w:trPr>
          <w:trHeight w:val="288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14:paraId="25946348" w14:textId="77777777" w:rsidR="0052533E" w:rsidRPr="0052533E" w:rsidRDefault="0052533E" w:rsidP="0052533E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lang w:eastAsia="cs-CZ"/>
              </w:rPr>
            </w:pPr>
            <w:r w:rsidRPr="0052533E">
              <w:rPr>
                <w:rFonts w:eastAsia="Times New Roman" w:cs="Arial"/>
                <w:b/>
                <w:bCs/>
                <w:color w:val="FFFFFF"/>
                <w:lang w:eastAsia="cs-CZ"/>
              </w:rPr>
              <w:t>Název položky</w:t>
            </w:r>
          </w:p>
        </w:tc>
      </w:tr>
      <w:tr w:rsidR="0052533E" w:rsidRPr="0052533E" w14:paraId="08151454" w14:textId="77777777" w:rsidTr="0052533E">
        <w:trPr>
          <w:trHeight w:val="82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F8ECCD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A15BBA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Jednotka [počet licencí]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48AD95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Cena za jednotku v Kč bez DPH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38241E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Cena za jednotku v Kč vč.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ECE5775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FE0511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Cena celkem včetně DPH</w:t>
            </w:r>
          </w:p>
        </w:tc>
      </w:tr>
      <w:tr w:rsidR="0052533E" w:rsidRPr="0052533E" w14:paraId="744E2D56" w14:textId="77777777" w:rsidTr="0052533E">
        <w:trPr>
          <w:trHeight w:val="8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8201" w14:textId="77777777" w:rsidR="0052533E" w:rsidRPr="0052533E" w:rsidRDefault="0052533E" w:rsidP="0052533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 xml:space="preserve">SQL Server </w:t>
            </w:r>
            <w:proofErr w:type="spellStart"/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Std</w:t>
            </w:r>
            <w:proofErr w:type="spellEnd"/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Core</w:t>
            </w:r>
            <w:proofErr w:type="spellEnd"/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 xml:space="preserve"> 2 </w:t>
            </w:r>
            <w:proofErr w:type="spellStart"/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SftSA</w:t>
            </w:r>
            <w:proofErr w:type="spellEnd"/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 xml:space="preserve"> - AAA-</w:t>
            </w:r>
            <w:proofErr w:type="gramStart"/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03753  (</w:t>
            </w:r>
            <w:proofErr w:type="gramEnd"/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platnost 01.08.2023-01.08.2026)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2FA4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D960CD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 xml:space="preserve">   49 714,00 Kč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511F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 xml:space="preserve">         60 153,94 Kč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BD206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198 856,00 Kč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5201F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sz w:val="20"/>
                <w:szCs w:val="20"/>
                <w:lang w:eastAsia="cs-CZ"/>
              </w:rPr>
              <w:t>240 615,76 Kč</w:t>
            </w:r>
          </w:p>
        </w:tc>
      </w:tr>
      <w:tr w:rsidR="0052533E" w:rsidRPr="0052533E" w14:paraId="4E41E0E7" w14:textId="77777777" w:rsidTr="0052533E">
        <w:trPr>
          <w:trHeight w:val="414"/>
        </w:trPr>
        <w:tc>
          <w:tcPr>
            <w:tcW w:w="71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62E218B" w14:textId="77777777" w:rsidR="0052533E" w:rsidRPr="0052533E" w:rsidRDefault="0052533E" w:rsidP="0052533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Celková </w:t>
            </w:r>
            <w:proofErr w:type="gramStart"/>
            <w:r w:rsidRPr="0052533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cena  bez</w:t>
            </w:r>
            <w:proofErr w:type="gramEnd"/>
            <w:r w:rsidRPr="0052533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14:paraId="62C9C183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198 856,00 Kč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14:paraId="7111ADB5" w14:textId="77777777" w:rsidR="0052533E" w:rsidRPr="0052533E" w:rsidRDefault="0052533E" w:rsidP="0052533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2533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240 615,76 Kč</w:t>
            </w:r>
          </w:p>
        </w:tc>
      </w:tr>
      <w:tr w:rsidR="0052533E" w:rsidRPr="0052533E" w14:paraId="302EE0A6" w14:textId="77777777" w:rsidTr="0052533E">
        <w:trPr>
          <w:trHeight w:val="264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DEA57" w14:textId="77777777" w:rsidR="0052533E" w:rsidRPr="0052533E" w:rsidRDefault="0052533E" w:rsidP="00525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53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3DF13" w14:textId="77777777" w:rsidR="0052533E" w:rsidRPr="0052533E" w:rsidRDefault="0052533E" w:rsidP="00525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53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1C314" w14:textId="77777777" w:rsidR="0052533E" w:rsidRPr="0052533E" w:rsidRDefault="0052533E" w:rsidP="00525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53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5B4AD" w14:textId="77777777" w:rsidR="0052533E" w:rsidRPr="0052533E" w:rsidRDefault="0052533E" w:rsidP="00525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53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12597" w14:textId="77777777" w:rsidR="0052533E" w:rsidRPr="0052533E" w:rsidRDefault="0052533E" w:rsidP="00525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53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BFC67" w14:textId="77777777" w:rsidR="0052533E" w:rsidRPr="0052533E" w:rsidRDefault="0052533E" w:rsidP="00525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53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116D02FE" w14:textId="77777777" w:rsidR="0052533E" w:rsidRPr="00E603B9" w:rsidRDefault="0052533E" w:rsidP="0052533E">
      <w:pPr>
        <w:spacing w:after="0" w:line="240" w:lineRule="auto"/>
        <w:ind w:left="-567"/>
        <w:rPr>
          <w:rFonts w:ascii="Arial" w:hAnsi="Arial" w:cs="Arial"/>
          <w:b/>
          <w:sz w:val="18"/>
          <w:szCs w:val="18"/>
        </w:rPr>
      </w:pPr>
    </w:p>
    <w:sectPr w:rsidR="0052533E" w:rsidRPr="00E603B9" w:rsidSect="005068D3">
      <w:footerReference w:type="default" r:id="rId9"/>
      <w:headerReference w:type="first" r:id="rId10"/>
      <w:pgSz w:w="11906" w:h="16838"/>
      <w:pgMar w:top="1417" w:right="1417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D8395" w14:textId="77777777" w:rsidR="00DB6114" w:rsidRDefault="00DB6114" w:rsidP="001D6EDE">
      <w:pPr>
        <w:spacing w:after="0" w:line="240" w:lineRule="auto"/>
      </w:pPr>
      <w:r>
        <w:separator/>
      </w:r>
    </w:p>
  </w:endnote>
  <w:endnote w:type="continuationSeparator" w:id="0">
    <w:p w14:paraId="6EE15A3D" w14:textId="77777777" w:rsidR="00DB6114" w:rsidRDefault="00DB6114" w:rsidP="001D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1D57" w14:textId="77777777" w:rsidR="000D37E4" w:rsidRPr="00755AF2" w:rsidRDefault="000C0257" w:rsidP="00755AF2">
    <w:pPr>
      <w:pStyle w:val="Zpat"/>
      <w:jc w:val="right"/>
      <w:rPr>
        <w:rFonts w:ascii="Arial" w:hAnsi="Arial" w:cs="Arial"/>
        <w:sz w:val="18"/>
        <w:szCs w:val="18"/>
      </w:rPr>
    </w:pPr>
    <w:r w:rsidRPr="001D6EDE">
      <w:rPr>
        <w:rFonts w:ascii="Arial" w:hAnsi="Arial" w:cs="Arial"/>
        <w:sz w:val="18"/>
        <w:szCs w:val="18"/>
      </w:rPr>
      <w:fldChar w:fldCharType="begin"/>
    </w:r>
    <w:r w:rsidR="000D37E4" w:rsidRPr="001D6EDE">
      <w:rPr>
        <w:rFonts w:ascii="Arial" w:hAnsi="Arial" w:cs="Arial"/>
        <w:sz w:val="18"/>
        <w:szCs w:val="18"/>
      </w:rPr>
      <w:instrText xml:space="preserve"> PAGE   \* MERGEFORMAT </w:instrText>
    </w:r>
    <w:r w:rsidRPr="001D6EDE">
      <w:rPr>
        <w:rFonts w:ascii="Arial" w:hAnsi="Arial" w:cs="Arial"/>
        <w:sz w:val="18"/>
        <w:szCs w:val="18"/>
      </w:rPr>
      <w:fldChar w:fldCharType="separate"/>
    </w:r>
    <w:r w:rsidR="00950491">
      <w:rPr>
        <w:rFonts w:ascii="Arial" w:hAnsi="Arial" w:cs="Arial"/>
        <w:noProof/>
        <w:sz w:val="18"/>
        <w:szCs w:val="18"/>
      </w:rPr>
      <w:t>2</w:t>
    </w:r>
    <w:r w:rsidRPr="001D6ED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94DC1" w14:textId="77777777" w:rsidR="00DB6114" w:rsidRDefault="00DB6114" w:rsidP="001D6EDE">
      <w:pPr>
        <w:spacing w:after="0" w:line="240" w:lineRule="auto"/>
      </w:pPr>
      <w:r>
        <w:separator/>
      </w:r>
    </w:p>
  </w:footnote>
  <w:footnote w:type="continuationSeparator" w:id="0">
    <w:p w14:paraId="5C545BBA" w14:textId="77777777" w:rsidR="00DB6114" w:rsidRDefault="00DB6114" w:rsidP="001D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18CBA" w14:textId="77777777" w:rsidR="005068D3" w:rsidRDefault="005068D3" w:rsidP="005068D3">
    <w:pPr>
      <w:spacing w:before="97"/>
      <w:ind w:right="774"/>
      <w:jc w:val="right"/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1B0DDEB" wp14:editId="593E76C2">
          <wp:simplePos x="0" y="0"/>
          <wp:positionH relativeFrom="page">
            <wp:posOffset>904240</wp:posOffset>
          </wp:positionH>
          <wp:positionV relativeFrom="paragraph">
            <wp:posOffset>61595</wp:posOffset>
          </wp:positionV>
          <wp:extent cx="1781810" cy="474980"/>
          <wp:effectExtent l="19050" t="0" r="889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>
      <w:rPr>
        <w:rFonts w:cs="Calibri"/>
        <w:sz w:val="18"/>
        <w:szCs w:val="18"/>
      </w:rPr>
      <w:t>ev</w:t>
    </w:r>
    <w:r>
      <w:rPr>
        <w:rFonts w:cs="Calibri"/>
        <w:spacing w:val="1"/>
        <w:sz w:val="18"/>
        <w:szCs w:val="18"/>
      </w:rPr>
      <w:t>.</w:t>
    </w:r>
    <w:r>
      <w:rPr>
        <w:rFonts w:cs="Calibri"/>
        <w:spacing w:val="-1"/>
        <w:sz w:val="18"/>
        <w:szCs w:val="18"/>
      </w:rPr>
      <w:t>č</w:t>
    </w:r>
    <w:proofErr w:type="spellEnd"/>
    <w:r>
      <w:rPr>
        <w:rFonts w:cs="Calibri"/>
        <w:sz w:val="18"/>
        <w:szCs w:val="18"/>
      </w:rPr>
      <w:t>.:</w:t>
    </w:r>
    <w:r>
      <w:rPr>
        <w:rFonts w:cs="Calibri"/>
        <w:spacing w:val="-2"/>
        <w:sz w:val="18"/>
        <w:szCs w:val="18"/>
      </w:rPr>
      <w:t xml:space="preserve"> </w:t>
    </w:r>
    <w:r>
      <w:rPr>
        <w:rFonts w:cs="Calibri"/>
        <w:w w:val="99"/>
        <w:sz w:val="18"/>
        <w:szCs w:val="18"/>
      </w:rPr>
      <w:t>1</w:t>
    </w:r>
    <w:r w:rsidR="00496626">
      <w:rPr>
        <w:rFonts w:cs="Calibri"/>
        <w:w w:val="99"/>
        <w:sz w:val="18"/>
        <w:szCs w:val="18"/>
      </w:rPr>
      <w:t>41</w:t>
    </w:r>
    <w:r>
      <w:rPr>
        <w:rFonts w:cs="Calibri"/>
        <w:w w:val="99"/>
        <w:sz w:val="18"/>
        <w:szCs w:val="18"/>
      </w:rPr>
      <w:t>/310/2023</w:t>
    </w:r>
  </w:p>
  <w:p w14:paraId="17E0AB97" w14:textId="77777777" w:rsidR="005068D3" w:rsidRDefault="005068D3" w:rsidP="005068D3">
    <w:pPr>
      <w:spacing w:before="16" w:line="216" w:lineRule="exact"/>
      <w:ind w:right="678"/>
      <w:jc w:val="right"/>
      <w:rPr>
        <w:rFonts w:cs="Calibri"/>
        <w:sz w:val="18"/>
        <w:szCs w:val="18"/>
      </w:rPr>
    </w:pPr>
    <w:r>
      <w:rPr>
        <w:rFonts w:cs="Calibri"/>
        <w:sz w:val="18"/>
        <w:szCs w:val="18"/>
      </w:rPr>
      <w:t>č.j.:</w:t>
    </w:r>
    <w:r>
      <w:rPr>
        <w:rFonts w:cs="Calibri"/>
        <w:spacing w:val="40"/>
        <w:sz w:val="18"/>
        <w:szCs w:val="18"/>
      </w:rPr>
      <w:t xml:space="preserve"> </w:t>
    </w:r>
    <w:r>
      <w:rPr>
        <w:rFonts w:cs="Calibri"/>
        <w:w w:val="99"/>
        <w:sz w:val="18"/>
        <w:szCs w:val="18"/>
      </w:rPr>
      <w:t>310/</w:t>
    </w:r>
    <w:r w:rsidR="004D2B8F">
      <w:rPr>
        <w:rFonts w:cs="Calibri"/>
        <w:w w:val="99"/>
        <w:sz w:val="18"/>
        <w:szCs w:val="18"/>
      </w:rPr>
      <w:t>6</w:t>
    </w:r>
    <w:r w:rsidR="0099337B">
      <w:rPr>
        <w:rFonts w:cs="Calibri"/>
        <w:w w:val="99"/>
        <w:sz w:val="18"/>
        <w:szCs w:val="18"/>
      </w:rPr>
      <w:t>2</w:t>
    </w:r>
    <w:r w:rsidR="004D2B8F">
      <w:rPr>
        <w:rFonts w:cs="Calibri"/>
        <w:w w:val="99"/>
        <w:sz w:val="18"/>
        <w:szCs w:val="18"/>
      </w:rPr>
      <w:t>88</w:t>
    </w:r>
    <w:r w:rsidR="00496626">
      <w:rPr>
        <w:rFonts w:cs="Calibri"/>
        <w:w w:val="99"/>
        <w:sz w:val="18"/>
        <w:szCs w:val="18"/>
      </w:rPr>
      <w:t>0</w:t>
    </w:r>
    <w:r>
      <w:rPr>
        <w:rFonts w:cs="Calibri"/>
        <w:w w:val="99"/>
        <w:sz w:val="18"/>
        <w:szCs w:val="18"/>
      </w:rPr>
      <w:t>/2023</w:t>
    </w:r>
  </w:p>
  <w:p w14:paraId="2123889D" w14:textId="77777777" w:rsidR="005068D3" w:rsidRDefault="005068D3" w:rsidP="005068D3">
    <w:pPr>
      <w:spacing w:before="3" w:line="190" w:lineRule="exac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68C3B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i/>
        <w:sz w:val="18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/>
        <w:i/>
        <w:sz w:val="18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b/>
        <w:i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1504E0"/>
    <w:multiLevelType w:val="hybridMultilevel"/>
    <w:tmpl w:val="7734A8B8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" w15:restartNumberingAfterBreak="0">
    <w:nsid w:val="1D4B74F2"/>
    <w:multiLevelType w:val="hybridMultilevel"/>
    <w:tmpl w:val="7734A8B8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 w15:restartNumberingAfterBreak="0">
    <w:nsid w:val="219E665A"/>
    <w:multiLevelType w:val="multilevel"/>
    <w:tmpl w:val="5F9086FC"/>
    <w:lvl w:ilvl="0">
      <w:start w:val="1"/>
      <w:numFmt w:val="upperRoman"/>
      <w:lvlText w:val="%1."/>
      <w:lvlJc w:val="center"/>
      <w:pPr>
        <w:ind w:left="454" w:hanging="166"/>
      </w:pPr>
      <w:rPr>
        <w:rFonts w:ascii="Arial" w:hAnsi="Arial" w:cs="Times New Roman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ind w:left="454" w:hanging="454"/>
      </w:pPr>
      <w:rPr>
        <w:b/>
        <w:i w:val="0"/>
        <w:sz w:val="18"/>
      </w:rPr>
    </w:lvl>
    <w:lvl w:ilvl="2">
      <w:start w:val="1"/>
      <w:numFmt w:val="decimal"/>
      <w:isLgl/>
      <w:lvlText w:val="%1.%2.%3"/>
      <w:lvlJc w:val="left"/>
      <w:pPr>
        <w:ind w:left="794" w:hanging="510"/>
      </w:pPr>
      <w:rPr>
        <w:rFonts w:ascii="Arial" w:hAnsi="Arial" w:cs="Times New Roman" w:hint="default"/>
        <w:b/>
        <w:i w:val="0"/>
        <w:sz w:val="18"/>
      </w:rPr>
    </w:lvl>
    <w:lvl w:ilvl="3">
      <w:start w:val="1"/>
      <w:numFmt w:val="lowerLetter"/>
      <w:lvlText w:val="%4)"/>
      <w:lvlJc w:val="left"/>
      <w:pPr>
        <w:ind w:left="1021" w:hanging="454"/>
      </w:pPr>
      <w:rPr>
        <w:rFonts w:ascii="Arial" w:hAnsi="Arial" w:cs="Times New Roman" w:hint="default"/>
        <w:b/>
        <w:i w:val="0"/>
        <w:sz w:val="18"/>
      </w:rPr>
    </w:lvl>
    <w:lvl w:ilvl="4">
      <w:start w:val="1"/>
      <w:numFmt w:val="bullet"/>
      <w:lvlText w:val=""/>
      <w:lvlJc w:val="left"/>
      <w:pPr>
        <w:ind w:left="1304" w:hanging="22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041" w:hanging="45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22D44B0B"/>
    <w:multiLevelType w:val="hybridMultilevel"/>
    <w:tmpl w:val="36B2A3F8"/>
    <w:lvl w:ilvl="0" w:tplc="43FEC19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D3007C"/>
    <w:multiLevelType w:val="hybridMultilevel"/>
    <w:tmpl w:val="65A011B2"/>
    <w:lvl w:ilvl="0" w:tplc="04050017">
      <w:start w:val="1"/>
      <w:numFmt w:val="lowerLetter"/>
      <w:lvlText w:val="%1)"/>
      <w:lvlJc w:val="left"/>
      <w:pPr>
        <w:ind w:left="141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6" w15:restartNumberingAfterBreak="0">
    <w:nsid w:val="3C4440A2"/>
    <w:multiLevelType w:val="hybridMultilevel"/>
    <w:tmpl w:val="9FA036D6"/>
    <w:lvl w:ilvl="0" w:tplc="EDC89A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B3216"/>
    <w:multiLevelType w:val="hybridMultilevel"/>
    <w:tmpl w:val="65A011B2"/>
    <w:lvl w:ilvl="0" w:tplc="04050017">
      <w:start w:val="1"/>
      <w:numFmt w:val="lowerLetter"/>
      <w:lvlText w:val="%1)"/>
      <w:lvlJc w:val="left"/>
      <w:pPr>
        <w:ind w:left="141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8" w15:restartNumberingAfterBreak="0">
    <w:nsid w:val="4B76224C"/>
    <w:multiLevelType w:val="multilevel"/>
    <w:tmpl w:val="5F9086FC"/>
    <w:lvl w:ilvl="0">
      <w:start w:val="1"/>
      <w:numFmt w:val="upperRoman"/>
      <w:lvlText w:val="%1."/>
      <w:lvlJc w:val="center"/>
      <w:pPr>
        <w:ind w:left="454" w:hanging="166"/>
      </w:pPr>
      <w:rPr>
        <w:rFonts w:ascii="Arial" w:hAnsi="Arial" w:cs="Times New Roman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ind w:left="454" w:hanging="454"/>
      </w:pPr>
      <w:rPr>
        <w:b/>
        <w:i w:val="0"/>
        <w:sz w:val="18"/>
      </w:rPr>
    </w:lvl>
    <w:lvl w:ilvl="2">
      <w:start w:val="1"/>
      <w:numFmt w:val="decimal"/>
      <w:isLgl/>
      <w:lvlText w:val="%1.%2.%3"/>
      <w:lvlJc w:val="left"/>
      <w:pPr>
        <w:ind w:left="794" w:hanging="510"/>
      </w:pPr>
      <w:rPr>
        <w:rFonts w:ascii="Arial" w:hAnsi="Arial" w:cs="Times New Roman" w:hint="default"/>
        <w:b/>
        <w:i w:val="0"/>
        <w:sz w:val="18"/>
      </w:rPr>
    </w:lvl>
    <w:lvl w:ilvl="3">
      <w:start w:val="1"/>
      <w:numFmt w:val="lowerLetter"/>
      <w:lvlText w:val="%4)"/>
      <w:lvlJc w:val="left"/>
      <w:pPr>
        <w:ind w:left="1021" w:hanging="454"/>
      </w:pPr>
      <w:rPr>
        <w:rFonts w:ascii="Arial" w:hAnsi="Arial" w:cs="Times New Roman" w:hint="default"/>
        <w:b/>
        <w:i w:val="0"/>
        <w:sz w:val="18"/>
      </w:rPr>
    </w:lvl>
    <w:lvl w:ilvl="4">
      <w:start w:val="1"/>
      <w:numFmt w:val="bullet"/>
      <w:lvlText w:val=""/>
      <w:lvlJc w:val="left"/>
      <w:pPr>
        <w:ind w:left="1304" w:hanging="22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041" w:hanging="45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5DDB67EE"/>
    <w:multiLevelType w:val="multilevel"/>
    <w:tmpl w:val="F4B20F68"/>
    <w:lvl w:ilvl="0">
      <w:start w:val="1"/>
      <w:numFmt w:val="upperRoman"/>
      <w:lvlText w:val="%1."/>
      <w:lvlJc w:val="center"/>
      <w:pPr>
        <w:ind w:left="454" w:hanging="166"/>
      </w:pPr>
      <w:rPr>
        <w:rFonts w:ascii="Arial" w:hAnsi="Arial" w:cs="Times New Roman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ind w:left="454" w:hanging="454"/>
      </w:pPr>
      <w:rPr>
        <w:b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94" w:hanging="510"/>
      </w:pPr>
      <w:rPr>
        <w:rFonts w:ascii="Arial" w:hAnsi="Arial" w:cs="Times New Roman" w:hint="default"/>
        <w:b/>
        <w:i w:val="0"/>
        <w:sz w:val="18"/>
      </w:rPr>
    </w:lvl>
    <w:lvl w:ilvl="3">
      <w:start w:val="1"/>
      <w:numFmt w:val="lowerLetter"/>
      <w:lvlText w:val="%4)"/>
      <w:lvlJc w:val="left"/>
      <w:pPr>
        <w:ind w:left="1021" w:hanging="454"/>
      </w:pPr>
      <w:rPr>
        <w:rFonts w:ascii="Arial" w:hAnsi="Arial" w:cs="Times New Roman" w:hint="default"/>
        <w:b/>
        <w:i w:val="0"/>
        <w:sz w:val="18"/>
      </w:rPr>
    </w:lvl>
    <w:lvl w:ilvl="4">
      <w:start w:val="1"/>
      <w:numFmt w:val="bullet"/>
      <w:lvlText w:val=""/>
      <w:lvlJc w:val="left"/>
      <w:pPr>
        <w:ind w:left="1304" w:hanging="22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041" w:hanging="45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630C1E0A"/>
    <w:multiLevelType w:val="multilevel"/>
    <w:tmpl w:val="8D52F966"/>
    <w:name w:val="Smlouva22222"/>
    <w:lvl w:ilvl="0">
      <w:start w:val="1"/>
      <w:numFmt w:val="decimal"/>
      <w:pStyle w:val="SmlouvaNadpis1"/>
      <w:suff w:val="space"/>
      <w:lvlText w:val="%1."/>
      <w:lvlJc w:val="left"/>
      <w:pPr>
        <w:ind w:left="851"/>
      </w:pPr>
      <w:rPr>
        <w:rFonts w:cs="Times New Roman" w:hint="default"/>
      </w:rPr>
    </w:lvl>
    <w:lvl w:ilvl="1">
      <w:start w:val="1"/>
      <w:numFmt w:val="decimal"/>
      <w:pStyle w:val="SmlouvaNadpis2"/>
      <w:lvlText w:val="%1.%2.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lowerLetter"/>
      <w:pStyle w:val="SmlouvaNadpis3"/>
      <w:lvlText w:val="%3)"/>
      <w:lvlJc w:val="left"/>
      <w:pPr>
        <w:tabs>
          <w:tab w:val="num" w:pos="5039"/>
        </w:tabs>
        <w:ind w:left="467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cs="Times New Roman" w:hint="default"/>
      </w:rPr>
    </w:lvl>
    <w:lvl w:ilvl="6">
      <w:start w:val="1"/>
      <w:numFmt w:val="decimal"/>
      <w:pStyle w:val="Norm"/>
      <w:lvlText w:val="%7"/>
      <w:lvlJc w:val="left"/>
      <w:pPr>
        <w:tabs>
          <w:tab w:val="num" w:pos="36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cs="Times New Roman" w:hint="default"/>
      </w:rPr>
    </w:lvl>
  </w:abstractNum>
  <w:abstractNum w:abstractNumId="11" w15:restartNumberingAfterBreak="0">
    <w:nsid w:val="638A6609"/>
    <w:multiLevelType w:val="multilevel"/>
    <w:tmpl w:val="5F9086FC"/>
    <w:lvl w:ilvl="0">
      <w:start w:val="1"/>
      <w:numFmt w:val="upperRoman"/>
      <w:lvlText w:val="%1."/>
      <w:lvlJc w:val="center"/>
      <w:pPr>
        <w:ind w:left="454" w:hanging="166"/>
      </w:pPr>
      <w:rPr>
        <w:rFonts w:ascii="Arial" w:hAnsi="Arial" w:cs="Times New Roman" w:hint="default"/>
        <w:b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Arial" w:hAnsi="Arial" w:cs="Times New Roman" w:hint="default"/>
        <w:b/>
        <w:i w:val="0"/>
        <w:sz w:val="18"/>
      </w:rPr>
    </w:lvl>
    <w:lvl w:ilvl="2">
      <w:start w:val="1"/>
      <w:numFmt w:val="decimal"/>
      <w:isLgl/>
      <w:lvlText w:val="%1.%2.%3"/>
      <w:lvlJc w:val="left"/>
      <w:pPr>
        <w:ind w:left="794" w:hanging="510"/>
      </w:pPr>
      <w:rPr>
        <w:rFonts w:ascii="Arial" w:hAnsi="Arial" w:cs="Times New Roman" w:hint="default"/>
        <w:b/>
        <w:i w:val="0"/>
        <w:sz w:val="18"/>
      </w:rPr>
    </w:lvl>
    <w:lvl w:ilvl="3">
      <w:start w:val="1"/>
      <w:numFmt w:val="lowerLetter"/>
      <w:lvlText w:val="%4)"/>
      <w:lvlJc w:val="left"/>
      <w:pPr>
        <w:ind w:left="1021" w:hanging="454"/>
      </w:pPr>
      <w:rPr>
        <w:rFonts w:ascii="Arial" w:hAnsi="Arial" w:cs="Times New Roman" w:hint="default"/>
        <w:b/>
        <w:i w:val="0"/>
        <w:sz w:val="18"/>
      </w:rPr>
    </w:lvl>
    <w:lvl w:ilvl="4">
      <w:start w:val="1"/>
      <w:numFmt w:val="bullet"/>
      <w:lvlText w:val=""/>
      <w:lvlJc w:val="left"/>
      <w:pPr>
        <w:ind w:left="1304" w:hanging="22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041" w:hanging="45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64BE27EE"/>
    <w:multiLevelType w:val="multilevel"/>
    <w:tmpl w:val="2AA08A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AC25309"/>
    <w:multiLevelType w:val="hybridMultilevel"/>
    <w:tmpl w:val="80D2732E"/>
    <w:lvl w:ilvl="0" w:tplc="0908BE5E">
      <w:start w:val="1"/>
      <w:numFmt w:val="lowerRoman"/>
      <w:pStyle w:val="mskodrka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02417"/>
    <w:multiLevelType w:val="multilevel"/>
    <w:tmpl w:val="46EAE13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74327239"/>
    <w:multiLevelType w:val="multilevel"/>
    <w:tmpl w:val="1128A112"/>
    <w:lvl w:ilvl="0">
      <w:start w:val="1"/>
      <w:numFmt w:val="upperRoman"/>
      <w:pStyle w:val="Nadpis2"/>
      <w:suff w:val="nothing"/>
      <w:lvlText w:val="Článek %1."/>
      <w:lvlJc w:val="left"/>
      <w:rPr>
        <w:rFonts w:cs="Times New Roman" w:hint="default"/>
      </w:rPr>
    </w:lvl>
    <w:lvl w:ilvl="1">
      <w:start w:val="1"/>
      <w:numFmt w:val="decimal"/>
      <w:pStyle w:val="slovanodstavec"/>
      <w:isLgl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3.1.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5033EE5"/>
    <w:multiLevelType w:val="multilevel"/>
    <w:tmpl w:val="BB56488E"/>
    <w:lvl w:ilvl="0">
      <w:start w:val="4"/>
      <w:numFmt w:val="upperRoman"/>
      <w:lvlText w:val="%1."/>
      <w:lvlJc w:val="center"/>
      <w:pPr>
        <w:ind w:left="454" w:hanging="166"/>
      </w:pPr>
      <w:rPr>
        <w:rFonts w:ascii="Arial" w:hAnsi="Arial" w:cs="Times New Roman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/>
        <w:i w:val="0"/>
        <w:sz w:val="18"/>
      </w:rPr>
    </w:lvl>
    <w:lvl w:ilvl="2">
      <w:start w:val="1"/>
      <w:numFmt w:val="decimal"/>
      <w:isLgl/>
      <w:lvlText w:val="%1.%2.%3"/>
      <w:lvlJc w:val="left"/>
      <w:pPr>
        <w:ind w:left="794" w:hanging="510"/>
      </w:pPr>
      <w:rPr>
        <w:rFonts w:ascii="Arial" w:hAnsi="Arial" w:cs="Times New Roman" w:hint="default"/>
        <w:b/>
        <w:i w:val="0"/>
        <w:sz w:val="18"/>
      </w:rPr>
    </w:lvl>
    <w:lvl w:ilvl="3">
      <w:start w:val="1"/>
      <w:numFmt w:val="lowerLetter"/>
      <w:lvlText w:val="%4)"/>
      <w:lvlJc w:val="left"/>
      <w:pPr>
        <w:ind w:left="1021" w:hanging="454"/>
      </w:pPr>
      <w:rPr>
        <w:rFonts w:ascii="Arial" w:hAnsi="Arial" w:cs="Times New Roman" w:hint="default"/>
        <w:b/>
        <w:i w:val="0"/>
        <w:sz w:val="18"/>
      </w:rPr>
    </w:lvl>
    <w:lvl w:ilvl="4">
      <w:start w:val="1"/>
      <w:numFmt w:val="bullet"/>
      <w:lvlText w:val=""/>
      <w:lvlJc w:val="left"/>
      <w:pPr>
        <w:ind w:left="1304" w:hanging="22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041" w:hanging="45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75337C89"/>
    <w:multiLevelType w:val="multilevel"/>
    <w:tmpl w:val="B31843B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8" w15:restartNumberingAfterBreak="0">
    <w:nsid w:val="7C9705A5"/>
    <w:multiLevelType w:val="multilevel"/>
    <w:tmpl w:val="BB56488E"/>
    <w:lvl w:ilvl="0">
      <w:start w:val="4"/>
      <w:numFmt w:val="upperRoman"/>
      <w:lvlText w:val="%1."/>
      <w:lvlJc w:val="center"/>
      <w:pPr>
        <w:ind w:left="454" w:hanging="166"/>
      </w:pPr>
      <w:rPr>
        <w:rFonts w:ascii="Arial" w:hAnsi="Arial" w:cs="Times New Roman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/>
        <w:i w:val="0"/>
        <w:sz w:val="18"/>
      </w:rPr>
    </w:lvl>
    <w:lvl w:ilvl="2">
      <w:start w:val="1"/>
      <w:numFmt w:val="decimal"/>
      <w:isLgl/>
      <w:lvlText w:val="%1.%2.%3"/>
      <w:lvlJc w:val="left"/>
      <w:pPr>
        <w:ind w:left="794" w:hanging="510"/>
      </w:pPr>
      <w:rPr>
        <w:rFonts w:ascii="Arial" w:hAnsi="Arial" w:cs="Times New Roman" w:hint="default"/>
        <w:b/>
        <w:i w:val="0"/>
        <w:sz w:val="18"/>
      </w:rPr>
    </w:lvl>
    <w:lvl w:ilvl="3">
      <w:start w:val="1"/>
      <w:numFmt w:val="lowerLetter"/>
      <w:lvlText w:val="%4)"/>
      <w:lvlJc w:val="left"/>
      <w:pPr>
        <w:ind w:left="1021" w:hanging="454"/>
      </w:pPr>
      <w:rPr>
        <w:rFonts w:ascii="Arial" w:hAnsi="Arial" w:cs="Times New Roman" w:hint="default"/>
        <w:b/>
        <w:i w:val="0"/>
        <w:sz w:val="18"/>
      </w:rPr>
    </w:lvl>
    <w:lvl w:ilvl="4">
      <w:start w:val="1"/>
      <w:numFmt w:val="bullet"/>
      <w:lvlText w:val=""/>
      <w:lvlJc w:val="left"/>
      <w:pPr>
        <w:ind w:left="1304" w:hanging="22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041" w:hanging="45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7DCA0D3C"/>
    <w:multiLevelType w:val="multilevel"/>
    <w:tmpl w:val="B798CA00"/>
    <w:lvl w:ilvl="0">
      <w:start w:val="3"/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15"/>
  </w:num>
  <w:num w:numId="7">
    <w:abstractNumId w:val="13"/>
  </w:num>
  <w:num w:numId="8">
    <w:abstractNumId w:val="13"/>
    <w:lvlOverride w:ilvl="0">
      <w:startOverride w:val="1"/>
    </w:lvlOverride>
  </w:num>
  <w:num w:numId="9">
    <w:abstractNumId w:val="19"/>
  </w:num>
  <w:num w:numId="10">
    <w:abstractNumId w:val="17"/>
  </w:num>
  <w:num w:numId="11">
    <w:abstractNumId w:val="14"/>
  </w:num>
  <w:num w:numId="12">
    <w:abstractNumId w:val="10"/>
  </w:num>
  <w:num w:numId="13">
    <w:abstractNumId w:val="12"/>
  </w:num>
  <w:num w:numId="14">
    <w:abstractNumId w:val="9"/>
  </w:num>
  <w:num w:numId="15">
    <w:abstractNumId w:val="0"/>
  </w:num>
  <w:num w:numId="16">
    <w:abstractNumId w:val="11"/>
  </w:num>
  <w:num w:numId="17">
    <w:abstractNumId w:val="8"/>
  </w:num>
  <w:num w:numId="18">
    <w:abstractNumId w:val="16"/>
  </w:num>
  <w:num w:numId="19">
    <w:abstractNumId w:val="6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0B"/>
    <w:rsid w:val="000048C5"/>
    <w:rsid w:val="00006C08"/>
    <w:rsid w:val="00020296"/>
    <w:rsid w:val="00026E43"/>
    <w:rsid w:val="00027AD9"/>
    <w:rsid w:val="000332EB"/>
    <w:rsid w:val="000439F5"/>
    <w:rsid w:val="00082E88"/>
    <w:rsid w:val="0008796C"/>
    <w:rsid w:val="00096EDE"/>
    <w:rsid w:val="000972C0"/>
    <w:rsid w:val="000A40F6"/>
    <w:rsid w:val="000A4266"/>
    <w:rsid w:val="000B4C85"/>
    <w:rsid w:val="000B70E4"/>
    <w:rsid w:val="000C0257"/>
    <w:rsid w:val="000C526A"/>
    <w:rsid w:val="000D37E4"/>
    <w:rsid w:val="000E0EFD"/>
    <w:rsid w:val="00103E03"/>
    <w:rsid w:val="00115CB8"/>
    <w:rsid w:val="00130BDA"/>
    <w:rsid w:val="00135465"/>
    <w:rsid w:val="00137C52"/>
    <w:rsid w:val="00140AA5"/>
    <w:rsid w:val="001530C7"/>
    <w:rsid w:val="00163EBF"/>
    <w:rsid w:val="00180281"/>
    <w:rsid w:val="001B65BE"/>
    <w:rsid w:val="001C3DD4"/>
    <w:rsid w:val="001D6895"/>
    <w:rsid w:val="001D6EDE"/>
    <w:rsid w:val="001D7E9E"/>
    <w:rsid w:val="001E13A4"/>
    <w:rsid w:val="001F2F63"/>
    <w:rsid w:val="001F6AD4"/>
    <w:rsid w:val="002154C1"/>
    <w:rsid w:val="00217BB9"/>
    <w:rsid w:val="00226406"/>
    <w:rsid w:val="00231B86"/>
    <w:rsid w:val="002365DC"/>
    <w:rsid w:val="00242690"/>
    <w:rsid w:val="00250DCB"/>
    <w:rsid w:val="002546F8"/>
    <w:rsid w:val="00272FF6"/>
    <w:rsid w:val="0028635D"/>
    <w:rsid w:val="002B3471"/>
    <w:rsid w:val="002C0365"/>
    <w:rsid w:val="002C4741"/>
    <w:rsid w:val="002D0CA0"/>
    <w:rsid w:val="002D5562"/>
    <w:rsid w:val="002E4CE4"/>
    <w:rsid w:val="002E704A"/>
    <w:rsid w:val="002F4759"/>
    <w:rsid w:val="00307A90"/>
    <w:rsid w:val="00346F4A"/>
    <w:rsid w:val="00366145"/>
    <w:rsid w:val="00366193"/>
    <w:rsid w:val="00386E49"/>
    <w:rsid w:val="00387197"/>
    <w:rsid w:val="003A2295"/>
    <w:rsid w:val="003A6697"/>
    <w:rsid w:val="003B7CE5"/>
    <w:rsid w:val="003C0AAF"/>
    <w:rsid w:val="003C1848"/>
    <w:rsid w:val="003D1B61"/>
    <w:rsid w:val="003D3C4D"/>
    <w:rsid w:val="003E0260"/>
    <w:rsid w:val="003E5727"/>
    <w:rsid w:val="003F7D75"/>
    <w:rsid w:val="00403A7F"/>
    <w:rsid w:val="00404A02"/>
    <w:rsid w:val="0041280E"/>
    <w:rsid w:val="00426DB8"/>
    <w:rsid w:val="00441186"/>
    <w:rsid w:val="00442C01"/>
    <w:rsid w:val="00444F2E"/>
    <w:rsid w:val="004521D5"/>
    <w:rsid w:val="00463D87"/>
    <w:rsid w:val="004727CA"/>
    <w:rsid w:val="0048321F"/>
    <w:rsid w:val="00484E80"/>
    <w:rsid w:val="00496626"/>
    <w:rsid w:val="004A3AEE"/>
    <w:rsid w:val="004C0B60"/>
    <w:rsid w:val="004D04E5"/>
    <w:rsid w:val="004D2B8F"/>
    <w:rsid w:val="004E4041"/>
    <w:rsid w:val="004F4307"/>
    <w:rsid w:val="004F610A"/>
    <w:rsid w:val="005033B6"/>
    <w:rsid w:val="005037D9"/>
    <w:rsid w:val="005068D3"/>
    <w:rsid w:val="00511674"/>
    <w:rsid w:val="00516DF2"/>
    <w:rsid w:val="0052533E"/>
    <w:rsid w:val="0052559E"/>
    <w:rsid w:val="00544E24"/>
    <w:rsid w:val="005730A2"/>
    <w:rsid w:val="00583C11"/>
    <w:rsid w:val="00590CC5"/>
    <w:rsid w:val="00590D7D"/>
    <w:rsid w:val="00595C36"/>
    <w:rsid w:val="00595FF6"/>
    <w:rsid w:val="005B47AA"/>
    <w:rsid w:val="005F0844"/>
    <w:rsid w:val="00601022"/>
    <w:rsid w:val="006101FD"/>
    <w:rsid w:val="00611953"/>
    <w:rsid w:val="0062584A"/>
    <w:rsid w:val="00634797"/>
    <w:rsid w:val="00634FC2"/>
    <w:rsid w:val="00635765"/>
    <w:rsid w:val="006479CD"/>
    <w:rsid w:val="00664402"/>
    <w:rsid w:val="00676227"/>
    <w:rsid w:val="0068409D"/>
    <w:rsid w:val="006A50B3"/>
    <w:rsid w:val="006B4D23"/>
    <w:rsid w:val="006F0BFA"/>
    <w:rsid w:val="006F474E"/>
    <w:rsid w:val="006F73E2"/>
    <w:rsid w:val="006F792B"/>
    <w:rsid w:val="00711D8B"/>
    <w:rsid w:val="00714D4C"/>
    <w:rsid w:val="00722E1E"/>
    <w:rsid w:val="00723ACB"/>
    <w:rsid w:val="00724588"/>
    <w:rsid w:val="007278F9"/>
    <w:rsid w:val="00747586"/>
    <w:rsid w:val="00755AF2"/>
    <w:rsid w:val="007568DF"/>
    <w:rsid w:val="00756B9A"/>
    <w:rsid w:val="00762E4E"/>
    <w:rsid w:val="00765E3F"/>
    <w:rsid w:val="00767933"/>
    <w:rsid w:val="00771458"/>
    <w:rsid w:val="00772F8C"/>
    <w:rsid w:val="00773698"/>
    <w:rsid w:val="00774E44"/>
    <w:rsid w:val="007760DA"/>
    <w:rsid w:val="007C1C91"/>
    <w:rsid w:val="007D15FA"/>
    <w:rsid w:val="007F4BEA"/>
    <w:rsid w:val="007F6122"/>
    <w:rsid w:val="00804968"/>
    <w:rsid w:val="0080656A"/>
    <w:rsid w:val="00807A5B"/>
    <w:rsid w:val="008102C0"/>
    <w:rsid w:val="008155D3"/>
    <w:rsid w:val="008248D7"/>
    <w:rsid w:val="008351A7"/>
    <w:rsid w:val="00837A22"/>
    <w:rsid w:val="00872F65"/>
    <w:rsid w:val="0087686D"/>
    <w:rsid w:val="00876CB6"/>
    <w:rsid w:val="008A7820"/>
    <w:rsid w:val="008B0FDE"/>
    <w:rsid w:val="008B1CD7"/>
    <w:rsid w:val="008B421A"/>
    <w:rsid w:val="008B7197"/>
    <w:rsid w:val="008C0369"/>
    <w:rsid w:val="008D6F41"/>
    <w:rsid w:val="008F1DD0"/>
    <w:rsid w:val="0092022A"/>
    <w:rsid w:val="0092640A"/>
    <w:rsid w:val="00927A7B"/>
    <w:rsid w:val="00936A7F"/>
    <w:rsid w:val="00942DB8"/>
    <w:rsid w:val="00942E1A"/>
    <w:rsid w:val="0094407E"/>
    <w:rsid w:val="00950491"/>
    <w:rsid w:val="009574D2"/>
    <w:rsid w:val="0096549A"/>
    <w:rsid w:val="00977B7E"/>
    <w:rsid w:val="00983477"/>
    <w:rsid w:val="00992C4C"/>
    <w:rsid w:val="0099337B"/>
    <w:rsid w:val="009939F2"/>
    <w:rsid w:val="009A5BBC"/>
    <w:rsid w:val="009C7B6A"/>
    <w:rsid w:val="009D5195"/>
    <w:rsid w:val="009D6CF5"/>
    <w:rsid w:val="009E43D3"/>
    <w:rsid w:val="009E79FD"/>
    <w:rsid w:val="009F2E88"/>
    <w:rsid w:val="009F3086"/>
    <w:rsid w:val="009F50B8"/>
    <w:rsid w:val="00A12E3D"/>
    <w:rsid w:val="00A430AB"/>
    <w:rsid w:val="00A52D25"/>
    <w:rsid w:val="00A60AAF"/>
    <w:rsid w:val="00A61EAF"/>
    <w:rsid w:val="00AB1805"/>
    <w:rsid w:val="00AC6EB3"/>
    <w:rsid w:val="00AD704D"/>
    <w:rsid w:val="00AD77A5"/>
    <w:rsid w:val="00AE17C8"/>
    <w:rsid w:val="00AF7B66"/>
    <w:rsid w:val="00B051E3"/>
    <w:rsid w:val="00B0575F"/>
    <w:rsid w:val="00B057FC"/>
    <w:rsid w:val="00B11AF8"/>
    <w:rsid w:val="00B347B4"/>
    <w:rsid w:val="00B351E7"/>
    <w:rsid w:val="00B40D3B"/>
    <w:rsid w:val="00B42282"/>
    <w:rsid w:val="00B60A68"/>
    <w:rsid w:val="00B832A8"/>
    <w:rsid w:val="00B84A0A"/>
    <w:rsid w:val="00B90F62"/>
    <w:rsid w:val="00BA1158"/>
    <w:rsid w:val="00BB3682"/>
    <w:rsid w:val="00BC012A"/>
    <w:rsid w:val="00BC1A44"/>
    <w:rsid w:val="00BD6235"/>
    <w:rsid w:val="00BD7462"/>
    <w:rsid w:val="00BE3B31"/>
    <w:rsid w:val="00BF44F9"/>
    <w:rsid w:val="00BF6A0B"/>
    <w:rsid w:val="00BF7CDC"/>
    <w:rsid w:val="00C2252E"/>
    <w:rsid w:val="00C25675"/>
    <w:rsid w:val="00C25D1E"/>
    <w:rsid w:val="00C2638D"/>
    <w:rsid w:val="00C332E7"/>
    <w:rsid w:val="00C45D3F"/>
    <w:rsid w:val="00C52E0B"/>
    <w:rsid w:val="00C564B7"/>
    <w:rsid w:val="00C6013D"/>
    <w:rsid w:val="00C71F90"/>
    <w:rsid w:val="00C837B5"/>
    <w:rsid w:val="00C91129"/>
    <w:rsid w:val="00C94CB1"/>
    <w:rsid w:val="00C95466"/>
    <w:rsid w:val="00CA0691"/>
    <w:rsid w:val="00CA21AA"/>
    <w:rsid w:val="00CA58A5"/>
    <w:rsid w:val="00CA59BC"/>
    <w:rsid w:val="00CA76CA"/>
    <w:rsid w:val="00CB1E12"/>
    <w:rsid w:val="00CB576F"/>
    <w:rsid w:val="00CC13B0"/>
    <w:rsid w:val="00CD57AA"/>
    <w:rsid w:val="00CE0311"/>
    <w:rsid w:val="00CF3C3E"/>
    <w:rsid w:val="00CF5467"/>
    <w:rsid w:val="00D255F4"/>
    <w:rsid w:val="00D258DE"/>
    <w:rsid w:val="00D611D6"/>
    <w:rsid w:val="00D74638"/>
    <w:rsid w:val="00D761C1"/>
    <w:rsid w:val="00D85AB6"/>
    <w:rsid w:val="00D9562A"/>
    <w:rsid w:val="00D96210"/>
    <w:rsid w:val="00DA2B13"/>
    <w:rsid w:val="00DB2DFA"/>
    <w:rsid w:val="00DB6114"/>
    <w:rsid w:val="00DD2AD6"/>
    <w:rsid w:val="00DD37E7"/>
    <w:rsid w:val="00DD4175"/>
    <w:rsid w:val="00DD46E5"/>
    <w:rsid w:val="00DE7484"/>
    <w:rsid w:val="00DF1507"/>
    <w:rsid w:val="00DF1EDC"/>
    <w:rsid w:val="00DF3C35"/>
    <w:rsid w:val="00DF3F11"/>
    <w:rsid w:val="00DF4129"/>
    <w:rsid w:val="00E02208"/>
    <w:rsid w:val="00E17459"/>
    <w:rsid w:val="00E35D35"/>
    <w:rsid w:val="00E4436C"/>
    <w:rsid w:val="00E539B8"/>
    <w:rsid w:val="00E562B7"/>
    <w:rsid w:val="00E603B9"/>
    <w:rsid w:val="00E60B93"/>
    <w:rsid w:val="00E930B1"/>
    <w:rsid w:val="00E97102"/>
    <w:rsid w:val="00EA11AD"/>
    <w:rsid w:val="00EB6402"/>
    <w:rsid w:val="00EC4124"/>
    <w:rsid w:val="00ED0073"/>
    <w:rsid w:val="00EE3C37"/>
    <w:rsid w:val="00EE506B"/>
    <w:rsid w:val="00EF2722"/>
    <w:rsid w:val="00EF7C3F"/>
    <w:rsid w:val="00F01A6A"/>
    <w:rsid w:val="00F05538"/>
    <w:rsid w:val="00F15864"/>
    <w:rsid w:val="00F21CE1"/>
    <w:rsid w:val="00F32276"/>
    <w:rsid w:val="00F35573"/>
    <w:rsid w:val="00F379C2"/>
    <w:rsid w:val="00F413A6"/>
    <w:rsid w:val="00F5540F"/>
    <w:rsid w:val="00F57FB1"/>
    <w:rsid w:val="00F94B0B"/>
    <w:rsid w:val="00F95945"/>
    <w:rsid w:val="00FA1B19"/>
    <w:rsid w:val="00FB5D6F"/>
    <w:rsid w:val="00FF1395"/>
    <w:rsid w:val="00FF1CBB"/>
    <w:rsid w:val="76A39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78D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6C08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slovanodstavec"/>
    <w:link w:val="Nadpis2Char"/>
    <w:uiPriority w:val="99"/>
    <w:qFormat/>
    <w:rsid w:val="00250DCB"/>
    <w:pPr>
      <w:keepNext/>
      <w:numPr>
        <w:numId w:val="6"/>
      </w:numPr>
      <w:spacing w:before="480" w:after="240" w:line="336" w:lineRule="auto"/>
      <w:jc w:val="center"/>
      <w:outlineLvl w:val="1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250DCB"/>
    <w:rPr>
      <w:rFonts w:ascii="Arial" w:hAnsi="Arial" w:cs="Times New Roman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1D6E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1D6EDE"/>
    <w:rPr>
      <w:rFonts w:cs="Times New Roman"/>
      <w:sz w:val="22"/>
      <w:lang w:eastAsia="en-US"/>
    </w:rPr>
  </w:style>
  <w:style w:type="paragraph" w:styleId="Zpat">
    <w:name w:val="footer"/>
    <w:basedOn w:val="Normln"/>
    <w:link w:val="ZpatChar"/>
    <w:uiPriority w:val="99"/>
    <w:rsid w:val="001D6E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D6EDE"/>
    <w:rPr>
      <w:rFonts w:cs="Times New Roman"/>
      <w:sz w:val="22"/>
      <w:lang w:eastAsia="en-US"/>
    </w:rPr>
  </w:style>
  <w:style w:type="paragraph" w:customStyle="1" w:styleId="slovanodstavec">
    <w:name w:val="Číslovaný odstavec"/>
    <w:basedOn w:val="Normln"/>
    <w:uiPriority w:val="99"/>
    <w:rsid w:val="00250DCB"/>
    <w:pPr>
      <w:numPr>
        <w:ilvl w:val="1"/>
        <w:numId w:val="6"/>
      </w:numPr>
      <w:spacing w:before="240" w:after="240" w:line="336" w:lineRule="auto"/>
      <w:jc w:val="both"/>
    </w:pPr>
    <w:rPr>
      <w:rFonts w:ascii="Arial" w:hAnsi="Arial"/>
      <w:sz w:val="18"/>
    </w:rPr>
  </w:style>
  <w:style w:type="paragraph" w:customStyle="1" w:styleId="mskodrka">
    <w:name w:val="Římská odrážka"/>
    <w:basedOn w:val="Normln"/>
    <w:uiPriority w:val="99"/>
    <w:rsid w:val="00250DCB"/>
    <w:pPr>
      <w:numPr>
        <w:numId w:val="7"/>
      </w:numPr>
      <w:spacing w:before="240" w:after="240" w:line="336" w:lineRule="auto"/>
      <w:ind w:left="1134" w:hanging="567"/>
      <w:jc w:val="both"/>
    </w:pPr>
    <w:rPr>
      <w:rFonts w:ascii="Arial" w:hAnsi="Arial"/>
      <w:sz w:val="18"/>
    </w:rPr>
  </w:style>
  <w:style w:type="paragraph" w:customStyle="1" w:styleId="Norm">
    <w:name w:val="Norm#"/>
    <w:basedOn w:val="Normln"/>
    <w:uiPriority w:val="99"/>
    <w:rsid w:val="00D85AB6"/>
    <w:pPr>
      <w:numPr>
        <w:ilvl w:val="6"/>
        <w:numId w:val="12"/>
      </w:numPr>
      <w:tabs>
        <w:tab w:val="left" w:pos="1276"/>
        <w:tab w:val="left" w:leader="dot" w:pos="7371"/>
      </w:tabs>
      <w:spacing w:after="120" w:line="240" w:lineRule="auto"/>
    </w:pPr>
    <w:rPr>
      <w:rFonts w:ascii="Tahoma" w:eastAsia="Times New Roman" w:hAnsi="Tahoma" w:cs="Tahoma"/>
      <w:sz w:val="24"/>
      <w:szCs w:val="20"/>
    </w:rPr>
  </w:style>
  <w:style w:type="paragraph" w:customStyle="1" w:styleId="SmlouvaNadpis1">
    <w:name w:val="SmlouvaNadpis1"/>
    <w:basedOn w:val="Normln"/>
    <w:next w:val="SmlouvaNadpis2"/>
    <w:uiPriority w:val="99"/>
    <w:rsid w:val="00D85AB6"/>
    <w:pPr>
      <w:keepNext/>
      <w:numPr>
        <w:numId w:val="12"/>
      </w:numPr>
      <w:spacing w:before="480" w:after="240" w:line="240" w:lineRule="auto"/>
    </w:pPr>
    <w:rPr>
      <w:rFonts w:ascii="Tahoma" w:eastAsia="Times New Roman" w:hAnsi="Tahoma" w:cs="Tahoma"/>
      <w:b/>
      <w:bCs/>
      <w:caps/>
      <w:sz w:val="28"/>
      <w:szCs w:val="20"/>
    </w:rPr>
  </w:style>
  <w:style w:type="paragraph" w:customStyle="1" w:styleId="SmlouvaNadpis2">
    <w:name w:val="SmlouvaNadpis2"/>
    <w:basedOn w:val="SmlouvaNadpis1"/>
    <w:uiPriority w:val="99"/>
    <w:rsid w:val="00D85AB6"/>
    <w:pPr>
      <w:keepNext w:val="0"/>
      <w:numPr>
        <w:ilvl w:val="1"/>
      </w:numPr>
      <w:spacing w:before="120" w:after="120"/>
      <w:ind w:left="0"/>
    </w:pPr>
    <w:rPr>
      <w:b w:val="0"/>
      <w:bCs w:val="0"/>
      <w:caps w:val="0"/>
      <w:sz w:val="24"/>
    </w:rPr>
  </w:style>
  <w:style w:type="paragraph" w:customStyle="1" w:styleId="SmlouvaNadpis3">
    <w:name w:val="SmlouvaNadpis3"/>
    <w:basedOn w:val="SmlouvaNadpis2"/>
    <w:uiPriority w:val="99"/>
    <w:rsid w:val="00D85AB6"/>
    <w:pPr>
      <w:numPr>
        <w:ilvl w:val="2"/>
      </w:numPr>
      <w:tabs>
        <w:tab w:val="left" w:leader="dot" w:pos="6804"/>
      </w:tabs>
    </w:pPr>
  </w:style>
  <w:style w:type="paragraph" w:styleId="Textbubliny">
    <w:name w:val="Balloon Text"/>
    <w:basedOn w:val="Normln"/>
    <w:link w:val="TextbublinyChar"/>
    <w:uiPriority w:val="99"/>
    <w:semiHidden/>
    <w:rsid w:val="00C45D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45D3F"/>
    <w:rPr>
      <w:rFonts w:ascii="Tahoma" w:hAnsi="Tahoma" w:cs="Times New Roman"/>
      <w:sz w:val="16"/>
      <w:lang w:eastAsia="en-US"/>
    </w:rPr>
  </w:style>
  <w:style w:type="paragraph" w:styleId="Odstavecseseznamem">
    <w:name w:val="List Paragraph"/>
    <w:basedOn w:val="Normln"/>
    <w:uiPriority w:val="99"/>
    <w:qFormat/>
    <w:rsid w:val="003B7CE5"/>
    <w:pPr>
      <w:ind w:left="720"/>
      <w:contextualSpacing/>
    </w:pPr>
  </w:style>
  <w:style w:type="paragraph" w:customStyle="1" w:styleId="ListParagraph1">
    <w:name w:val="List Paragraph1"/>
    <w:uiPriority w:val="99"/>
    <w:rsid w:val="00E539B8"/>
    <w:pPr>
      <w:widowControl w:val="0"/>
      <w:suppressAutoHyphens/>
      <w:ind w:left="720"/>
    </w:pPr>
    <w:rPr>
      <w:rFonts w:ascii="Times New Roman" w:eastAsia="Times New Roman" w:hAnsi="Times New Roman"/>
      <w:kern w:val="1"/>
      <w:lang w:eastAsia="ar-SA"/>
    </w:rPr>
  </w:style>
  <w:style w:type="character" w:styleId="Odkaznakoment">
    <w:name w:val="annotation reference"/>
    <w:uiPriority w:val="99"/>
    <w:semiHidden/>
    <w:rsid w:val="00442C0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2C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42C01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2C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42C01"/>
    <w:rPr>
      <w:rFonts w:cs="Times New Roman"/>
      <w:b/>
      <w:bCs/>
      <w:lang w:eastAsia="en-US"/>
    </w:rPr>
  </w:style>
  <w:style w:type="paragraph" w:styleId="Revize">
    <w:name w:val="Revision"/>
    <w:hidden/>
    <w:uiPriority w:val="99"/>
    <w:semiHidden/>
    <w:rsid w:val="00442C01"/>
    <w:rPr>
      <w:sz w:val="22"/>
      <w:szCs w:val="22"/>
      <w:lang w:eastAsia="en-US"/>
    </w:rPr>
  </w:style>
  <w:style w:type="character" w:styleId="Hypertextovodkaz">
    <w:name w:val="Hyperlink"/>
    <w:uiPriority w:val="99"/>
    <w:rsid w:val="00130BDA"/>
    <w:rPr>
      <w:rFonts w:cs="Times New Roman"/>
      <w:color w:val="0563C1"/>
      <w:u w:val="single"/>
    </w:rPr>
  </w:style>
  <w:style w:type="character" w:customStyle="1" w:styleId="Zkladntext">
    <w:name w:val="Základní text_"/>
    <w:basedOn w:val="Standardnpsmoodstavce"/>
    <w:link w:val="Zkladntext2"/>
    <w:rsid w:val="001E13A4"/>
    <w:rPr>
      <w:rFonts w:cs="Calibri"/>
      <w:b/>
      <w:bCs/>
      <w:shd w:val="clear" w:color="auto" w:fill="FFFFFF"/>
    </w:rPr>
  </w:style>
  <w:style w:type="character" w:customStyle="1" w:styleId="Zkladntext20">
    <w:name w:val="Základní text (2)_"/>
    <w:basedOn w:val="Standardnpsmoodstavce"/>
    <w:link w:val="Zkladntext21"/>
    <w:rsid w:val="001E13A4"/>
    <w:rPr>
      <w:rFonts w:ascii="Franklin Gothic Heavy" w:eastAsia="Franklin Gothic Heavy" w:hAnsi="Franklin Gothic Heavy" w:cs="Franklin Gothic Heavy"/>
      <w:b/>
      <w:bCs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1E13A4"/>
    <w:pPr>
      <w:widowControl w:val="0"/>
      <w:shd w:val="clear" w:color="auto" w:fill="FFFFFF"/>
      <w:spacing w:before="120" w:after="0" w:line="298" w:lineRule="exact"/>
      <w:ind w:hanging="560"/>
      <w:jc w:val="both"/>
    </w:pPr>
    <w:rPr>
      <w:rFonts w:cs="Calibri"/>
      <w:b/>
      <w:bCs/>
      <w:sz w:val="20"/>
      <w:szCs w:val="20"/>
      <w:lang w:eastAsia="cs-CZ"/>
    </w:rPr>
  </w:style>
  <w:style w:type="paragraph" w:customStyle="1" w:styleId="Zkladntext21">
    <w:name w:val="Základní text (2)"/>
    <w:basedOn w:val="Normln"/>
    <w:link w:val="Zkladntext20"/>
    <w:rsid w:val="001E13A4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0"/>
      <w:szCs w:val="20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2D5562"/>
    <w:rPr>
      <w:color w:val="605E5C"/>
      <w:shd w:val="clear" w:color="auto" w:fill="E1DFDD"/>
    </w:rPr>
  </w:style>
  <w:style w:type="paragraph" w:customStyle="1" w:styleId="HLAVICKA">
    <w:name w:val="HLAVICKA"/>
    <w:basedOn w:val="Normln"/>
    <w:rsid w:val="00E4436C"/>
    <w:pPr>
      <w:tabs>
        <w:tab w:val="left" w:pos="284"/>
        <w:tab w:val="left" w:pos="1134"/>
      </w:tabs>
      <w:suppressAutoHyphens/>
      <w:overflowPunct w:val="0"/>
      <w:autoSpaceDE w:val="0"/>
      <w:spacing w:after="6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Vlastntextsmlouvy">
    <w:name w:val="Vlastní text smlouvy"/>
    <w:link w:val="VlastntextsmlouvyChar"/>
    <w:rsid w:val="00E4436C"/>
    <w:pPr>
      <w:widowControl w:val="0"/>
      <w:spacing w:before="120" w:after="120"/>
      <w:jc w:val="both"/>
    </w:pPr>
    <w:rPr>
      <w:rFonts w:ascii="Arial" w:eastAsia="Times New Roman" w:hAnsi="Arial"/>
      <w:sz w:val="24"/>
    </w:rPr>
  </w:style>
  <w:style w:type="paragraph" w:customStyle="1" w:styleId="bodytextu">
    <w:name w:val="body textu"/>
    <w:rsid w:val="00E4436C"/>
    <w:rPr>
      <w:rFonts w:ascii="Arial" w:eastAsia="Times New Roman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E4436C"/>
    <w:rPr>
      <w:rFonts w:ascii="Arial" w:eastAsia="Times New Roman" w:hAnsi="Arial"/>
      <w:sz w:val="24"/>
    </w:rPr>
  </w:style>
  <w:style w:type="paragraph" w:customStyle="1" w:styleId="Default">
    <w:name w:val="Default"/>
    <w:rsid w:val="00EA1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3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3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3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-mobile.cz/ochrana-udaju/zasady-ochrany-osobnich-udaj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2001</Words>
  <Characters>11812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2023-07-25T11:47:00Z</dcterms:created>
  <dcterms:modified xsi:type="dcterms:W3CDTF">2023-07-25T11:48:00Z</dcterms:modified>
</cp:coreProperties>
</file>