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8D" w:rsidRDefault="0021588D">
      <w:pPr>
        <w:pStyle w:val="Zkladntext"/>
        <w:spacing w:before="8"/>
        <w:jc w:val="left"/>
        <w:rPr>
          <w:rFonts w:ascii="Times New Roman"/>
          <w:sz w:val="10"/>
        </w:rPr>
      </w:pPr>
      <w:bookmarkStart w:id="0" w:name="_GoBack"/>
      <w:bookmarkEnd w:id="0"/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21588D" w:rsidRDefault="003B3C21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>Smlouva o účasti na řešení dílčího projektu Národního centra biotechnologií ve veterinární medicíně NaCeBiVet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88D" w:rsidRDefault="00247D52">
      <w:pPr>
        <w:spacing w:before="90"/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:rsidR="0021588D" w:rsidRDefault="0021588D">
      <w:pPr>
        <w:pStyle w:val="Zkladntext"/>
        <w:jc w:val="left"/>
        <w:rPr>
          <w:sz w:val="18"/>
        </w:rPr>
      </w:pPr>
    </w:p>
    <w:p w:rsidR="0021588D" w:rsidRDefault="0021588D">
      <w:pPr>
        <w:pStyle w:val="Zkladntext"/>
        <w:spacing w:before="6"/>
        <w:jc w:val="left"/>
        <w:rPr>
          <w:sz w:val="17"/>
        </w:rPr>
      </w:pPr>
    </w:p>
    <w:p w:rsidR="000144AD" w:rsidRDefault="00753CF9" w:rsidP="000144AD">
      <w:pPr>
        <w:pStyle w:val="Nadpis1"/>
        <w:ind w:left="215"/>
        <w:jc w:val="left"/>
      </w:pPr>
      <w:r w:rsidRPr="00465998">
        <w:t xml:space="preserve">Řešitel </w:t>
      </w:r>
      <w:r w:rsidR="00A570ED" w:rsidRPr="00465998">
        <w:t>Dílčího projektu</w:t>
      </w:r>
      <w:r w:rsidR="006541C7" w:rsidRPr="00465998">
        <w:t>:</w:t>
      </w:r>
      <w:r w:rsidR="000144AD" w:rsidRPr="000144AD">
        <w:t xml:space="preserve"> </w:t>
      </w:r>
      <w:r w:rsidR="000144AD">
        <w:t>Výzkumný ústav veterinárního lékařství, v. v. i.</w:t>
      </w:r>
    </w:p>
    <w:p w:rsidR="000144AD" w:rsidRDefault="000144AD" w:rsidP="000144AD">
      <w:pPr>
        <w:pStyle w:val="Zkladntext"/>
        <w:tabs>
          <w:tab w:val="left" w:pos="1917"/>
        </w:tabs>
        <w:spacing w:before="120"/>
        <w:ind w:left="643"/>
        <w:jc w:val="left"/>
      </w:pPr>
      <w:r>
        <w:t>Sídlem:</w:t>
      </w:r>
      <w:r>
        <w:tab/>
      </w:r>
      <w:r>
        <w:tab/>
        <w:t>Hudcova 296/70, 621 00 Brno</w:t>
      </w:r>
    </w:p>
    <w:p w:rsidR="000144AD" w:rsidRDefault="000144AD" w:rsidP="000144AD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>
        <w:tab/>
      </w:r>
      <w:r>
        <w:tab/>
        <w:t>00027162</w:t>
      </w:r>
    </w:p>
    <w:p w:rsidR="000144AD" w:rsidRDefault="000144AD" w:rsidP="000144AD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>
        <w:tab/>
      </w:r>
      <w:r>
        <w:tab/>
        <w:t>CZ00027162</w:t>
      </w:r>
    </w:p>
    <w:p w:rsidR="000144AD" w:rsidRDefault="000144AD" w:rsidP="000144AD">
      <w:pPr>
        <w:pStyle w:val="Zkladntext"/>
        <w:spacing w:before="1"/>
        <w:ind w:left="642" w:right="2965"/>
        <w:jc w:val="left"/>
      </w:pPr>
      <w:r>
        <w:t>Zastoupená:</w:t>
      </w:r>
      <w:r>
        <w:tab/>
        <w:t>MVDr. Martin Faldyna, Ph.D., ředitel</w:t>
      </w:r>
    </w:p>
    <w:p w:rsidR="0021588D" w:rsidRPr="000144AD" w:rsidRDefault="00247D52" w:rsidP="000144AD">
      <w:pPr>
        <w:pStyle w:val="Zkladntext"/>
        <w:spacing w:before="1"/>
        <w:ind w:left="642" w:right="2965"/>
        <w:jc w:val="left"/>
      </w:pPr>
      <w:r w:rsidRPr="00465998">
        <w:t xml:space="preserve">dále též jako </w:t>
      </w:r>
      <w:r w:rsidRPr="00465998">
        <w:rPr>
          <w:b/>
        </w:rPr>
        <w:t>„</w:t>
      </w:r>
      <w:r w:rsidR="00753CF9" w:rsidRPr="00465998">
        <w:rPr>
          <w:b/>
        </w:rPr>
        <w:t>řešitel DP</w:t>
      </w:r>
      <w:r w:rsidRPr="00465998">
        <w:rPr>
          <w:b/>
        </w:rPr>
        <w:t>“</w:t>
      </w:r>
    </w:p>
    <w:p w:rsidR="0021588D" w:rsidRPr="000144AD" w:rsidRDefault="0021588D">
      <w:pPr>
        <w:pStyle w:val="Zkladntext"/>
        <w:spacing w:before="10"/>
        <w:jc w:val="left"/>
        <w:rPr>
          <w:bCs/>
          <w:szCs w:val="16"/>
        </w:rPr>
      </w:pPr>
    </w:p>
    <w:p w:rsidR="0021588D" w:rsidRPr="000144AD" w:rsidRDefault="00247D52">
      <w:pPr>
        <w:pStyle w:val="Zkladntext"/>
        <w:spacing w:before="1"/>
        <w:ind w:left="215"/>
        <w:jc w:val="left"/>
        <w:rPr>
          <w:b/>
          <w:bCs/>
        </w:rPr>
      </w:pPr>
      <w:r w:rsidRPr="000144AD">
        <w:rPr>
          <w:b/>
          <w:bCs/>
        </w:rPr>
        <w:t>a</w:t>
      </w:r>
    </w:p>
    <w:p w:rsidR="000144AD" w:rsidRDefault="000144AD" w:rsidP="000144AD">
      <w:pPr>
        <w:pStyle w:val="Zkladntext"/>
        <w:spacing w:before="1"/>
        <w:jc w:val="left"/>
      </w:pPr>
    </w:p>
    <w:p w:rsidR="000144AD" w:rsidRDefault="00022E2A" w:rsidP="000144AD">
      <w:pPr>
        <w:pStyle w:val="Nadpis1"/>
        <w:spacing w:before="117"/>
        <w:ind w:left="215"/>
        <w:jc w:val="left"/>
      </w:pPr>
      <w:r>
        <w:t>Další ú</w:t>
      </w:r>
      <w:r w:rsidR="00815D45">
        <w:t>častník</w:t>
      </w:r>
      <w:r w:rsidR="00042DAC">
        <w:t xml:space="preserve"> 1</w:t>
      </w:r>
      <w:r w:rsidR="000144AD">
        <w:t>: Bonagro, a.s.</w:t>
      </w:r>
    </w:p>
    <w:p w:rsidR="000144AD" w:rsidRDefault="000144AD" w:rsidP="000144AD">
      <w:pPr>
        <w:pStyle w:val="Zkladntext"/>
        <w:tabs>
          <w:tab w:val="left" w:pos="1916"/>
        </w:tabs>
        <w:spacing w:before="120"/>
        <w:ind w:left="643"/>
        <w:jc w:val="left"/>
      </w:pPr>
      <w:r>
        <w:t>Sídlem:</w:t>
      </w:r>
      <w:r>
        <w:tab/>
      </w:r>
      <w:r>
        <w:tab/>
        <w:t>Jiříkovická 340, 664 08 Blažovice</w:t>
      </w:r>
    </w:p>
    <w:p w:rsidR="000144AD" w:rsidRDefault="000144AD" w:rsidP="000144AD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>
        <w:tab/>
      </w:r>
      <w:r>
        <w:tab/>
        <w:t>49976524</w:t>
      </w:r>
    </w:p>
    <w:p w:rsidR="000144AD" w:rsidRDefault="000144AD" w:rsidP="000144AD">
      <w:pPr>
        <w:pStyle w:val="Zkladntext"/>
        <w:tabs>
          <w:tab w:val="left" w:pos="1916"/>
        </w:tabs>
        <w:ind w:left="639"/>
        <w:jc w:val="left"/>
      </w:pPr>
      <w:r>
        <w:t>DIČ:</w:t>
      </w:r>
      <w:r>
        <w:tab/>
      </w:r>
      <w:r>
        <w:tab/>
        <w:t>CZ49976524</w:t>
      </w:r>
    </w:p>
    <w:p w:rsidR="000144AD" w:rsidRDefault="000144AD" w:rsidP="000144AD">
      <w:pPr>
        <w:ind w:left="2160" w:right="4107" w:hanging="1521"/>
      </w:pPr>
      <w:r>
        <w:t>Zastoupená:</w:t>
      </w:r>
      <w:r>
        <w:tab/>
        <w:t>Ing. Roman Zvěřina, předseda představenstva</w:t>
      </w:r>
    </w:p>
    <w:p w:rsidR="0021588D" w:rsidRDefault="00247D52" w:rsidP="000144AD">
      <w:pPr>
        <w:ind w:left="2160" w:right="4107" w:hanging="1521"/>
        <w:rPr>
          <w:b/>
        </w:rPr>
      </w:pPr>
      <w:r>
        <w:t xml:space="preserve">dále též jako </w:t>
      </w:r>
      <w:r>
        <w:rPr>
          <w:b/>
        </w:rPr>
        <w:t>„další účastník 1“</w:t>
      </w:r>
    </w:p>
    <w:p w:rsidR="000144AD" w:rsidRPr="00BF08C5" w:rsidRDefault="000144AD" w:rsidP="00BF08C5">
      <w:pPr>
        <w:pStyle w:val="Zkladntext"/>
        <w:spacing w:before="10"/>
        <w:jc w:val="left"/>
        <w:rPr>
          <w:bCs/>
          <w:szCs w:val="16"/>
        </w:rPr>
      </w:pPr>
    </w:p>
    <w:p w:rsidR="0021588D" w:rsidRPr="00BF08C5" w:rsidRDefault="00247D52" w:rsidP="00BF08C5">
      <w:pPr>
        <w:pStyle w:val="Zkladntext"/>
        <w:spacing w:before="10"/>
        <w:ind w:firstLine="214"/>
        <w:jc w:val="left"/>
        <w:rPr>
          <w:b/>
          <w:szCs w:val="16"/>
        </w:rPr>
      </w:pPr>
      <w:r w:rsidRPr="00BF08C5">
        <w:rPr>
          <w:b/>
          <w:szCs w:val="16"/>
        </w:rPr>
        <w:t>a</w:t>
      </w:r>
    </w:p>
    <w:p w:rsidR="000144AD" w:rsidRPr="00BF08C5" w:rsidRDefault="000144AD" w:rsidP="00BF08C5">
      <w:pPr>
        <w:pStyle w:val="Zkladntext"/>
        <w:spacing w:before="10"/>
        <w:jc w:val="left"/>
        <w:rPr>
          <w:bCs/>
          <w:szCs w:val="16"/>
        </w:rPr>
      </w:pPr>
    </w:p>
    <w:p w:rsidR="000144AD" w:rsidRPr="00022E2A" w:rsidRDefault="00022E2A" w:rsidP="000144AD">
      <w:pPr>
        <w:spacing w:before="120"/>
        <w:ind w:left="214"/>
        <w:rPr>
          <w:b/>
        </w:rPr>
      </w:pPr>
      <w:r w:rsidRPr="00022E2A">
        <w:rPr>
          <w:b/>
        </w:rPr>
        <w:t>Další ú</w:t>
      </w:r>
      <w:r w:rsidR="00815D45" w:rsidRPr="00022E2A">
        <w:rPr>
          <w:b/>
        </w:rPr>
        <w:t>častník</w:t>
      </w:r>
      <w:r w:rsidR="00042DAC" w:rsidRPr="00022E2A">
        <w:rPr>
          <w:b/>
        </w:rPr>
        <w:t xml:space="preserve"> 2</w:t>
      </w:r>
      <w:r w:rsidR="000144AD">
        <w:rPr>
          <w:b/>
        </w:rPr>
        <w:t>: Natural spol, s r. o.</w:t>
      </w:r>
    </w:p>
    <w:p w:rsidR="000144AD" w:rsidRDefault="000144AD" w:rsidP="000144AD">
      <w:pPr>
        <w:pStyle w:val="Zkladntext"/>
        <w:tabs>
          <w:tab w:val="left" w:pos="1916"/>
        </w:tabs>
        <w:spacing w:before="121"/>
        <w:ind w:left="639"/>
      </w:pPr>
      <w:r>
        <w:t>Sídlem:</w:t>
      </w:r>
      <w:r>
        <w:tab/>
      </w:r>
      <w:r>
        <w:tab/>
        <w:t>Rubešova 83/10, Vinohrady, 120 00 Praha 2</w:t>
      </w:r>
    </w:p>
    <w:p w:rsidR="000144AD" w:rsidRDefault="000144AD" w:rsidP="000144AD">
      <w:pPr>
        <w:pStyle w:val="Zkladntext"/>
        <w:tabs>
          <w:tab w:val="left" w:pos="1916"/>
        </w:tabs>
        <w:ind w:left="639"/>
        <w:jc w:val="left"/>
      </w:pPr>
      <w:r>
        <w:t>IČ:</w:t>
      </w:r>
      <w:r>
        <w:tab/>
      </w:r>
      <w:r>
        <w:tab/>
        <w:t>416 93 639</w:t>
      </w:r>
    </w:p>
    <w:p w:rsidR="000144AD" w:rsidRDefault="000144AD" w:rsidP="000144AD">
      <w:pPr>
        <w:pStyle w:val="Zkladntext"/>
        <w:tabs>
          <w:tab w:val="left" w:pos="1916"/>
        </w:tabs>
        <w:ind w:left="639"/>
        <w:jc w:val="left"/>
      </w:pPr>
      <w:r>
        <w:t>DIČ:</w:t>
      </w:r>
      <w:r>
        <w:tab/>
      </w:r>
      <w:r>
        <w:tab/>
      </w:r>
      <w:r w:rsidRPr="0081159D">
        <w:t>CZ41693639</w:t>
      </w:r>
    </w:p>
    <w:p w:rsidR="000144AD" w:rsidRDefault="000144AD" w:rsidP="00DB26C8">
      <w:pPr>
        <w:ind w:left="639" w:right="4107"/>
      </w:pPr>
      <w:r>
        <w:t>Zastoupená:</w:t>
      </w:r>
      <w:r>
        <w:tab/>
        <w:t>Ing. Hana Štráfeldová, jednatelé</w:t>
      </w:r>
    </w:p>
    <w:p w:rsidR="0021588D" w:rsidRPr="000144AD" w:rsidRDefault="00247D52" w:rsidP="000144AD">
      <w:pPr>
        <w:ind w:left="2160" w:right="4107" w:hanging="1521"/>
      </w:pPr>
      <w:r>
        <w:t xml:space="preserve">dále též jako </w:t>
      </w:r>
      <w:r>
        <w:rPr>
          <w:b/>
        </w:rPr>
        <w:t>„další účastník 2“</w:t>
      </w:r>
    </w:p>
    <w:p w:rsidR="0021588D" w:rsidRPr="000144AD" w:rsidRDefault="0021588D">
      <w:pPr>
        <w:pStyle w:val="Zkladntext"/>
        <w:spacing w:before="9"/>
        <w:jc w:val="left"/>
        <w:rPr>
          <w:bCs/>
          <w:sz w:val="19"/>
        </w:rPr>
      </w:pPr>
    </w:p>
    <w:p w:rsidR="0021588D" w:rsidRDefault="00247D52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:rsidR="00AB03D6" w:rsidRDefault="00AB03D6" w:rsidP="000144AD"/>
    <w:p w:rsidR="0021588D" w:rsidRDefault="00247D52">
      <w:pPr>
        <w:pStyle w:val="Nadpis1"/>
        <w:spacing w:before="120"/>
        <w:ind w:right="4547"/>
      </w:pPr>
      <w:bookmarkStart w:id="1" w:name="I._Předmět_smlouvy"/>
      <w:bookmarkEnd w:id="1"/>
      <w:r>
        <w:t>I.</w:t>
      </w:r>
    </w:p>
    <w:p w:rsidR="0021588D" w:rsidRDefault="00247D52">
      <w:pPr>
        <w:spacing w:before="1"/>
        <w:ind w:left="3943"/>
        <w:jc w:val="both"/>
        <w:rPr>
          <w:b/>
        </w:rPr>
      </w:pPr>
      <w:r>
        <w:rPr>
          <w:b/>
        </w:rPr>
        <w:t>Předmět smlouvy</w:t>
      </w:r>
    </w:p>
    <w:p w:rsidR="0021588D" w:rsidRDefault="00247D52" w:rsidP="00AB03D6">
      <w:pPr>
        <w:pStyle w:val="Odstavecseseznamem"/>
        <w:numPr>
          <w:ilvl w:val="0"/>
          <w:numId w:val="10"/>
        </w:numPr>
        <w:tabs>
          <w:tab w:val="left" w:pos="935"/>
        </w:tabs>
        <w:spacing w:before="120"/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>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:rsidR="0021588D" w:rsidRDefault="00247D52" w:rsidP="00AB03D6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:rsidR="0021588D" w:rsidRDefault="00247D52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:rsidR="000144AD" w:rsidRDefault="000144AD" w:rsidP="000144AD">
      <w:pPr>
        <w:pStyle w:val="Nadpis1"/>
        <w:tabs>
          <w:tab w:val="left" w:pos="1916"/>
        </w:tabs>
        <w:ind w:left="935"/>
        <w:jc w:val="left"/>
      </w:pPr>
      <w:r>
        <w:lastRenderedPageBreak/>
        <w:t>Název:</w:t>
      </w:r>
      <w:r>
        <w:tab/>
      </w:r>
      <w:bookmarkStart w:id="2" w:name="_Hlk137645241"/>
      <w:r w:rsidRPr="009924C2">
        <w:t>Optimalizace metody transvaginální sonografické aspirace oocytů a intrafolikulárního transferu oocytů u skotu.</w:t>
      </w:r>
      <w:bookmarkEnd w:id="2"/>
    </w:p>
    <w:p w:rsidR="000144AD" w:rsidRDefault="000144AD" w:rsidP="000144AD">
      <w:pPr>
        <w:pStyle w:val="Nadpis1"/>
        <w:tabs>
          <w:tab w:val="left" w:pos="1916"/>
        </w:tabs>
        <w:ind w:left="935"/>
        <w:jc w:val="left"/>
        <w:rPr>
          <w:b w:val="0"/>
        </w:rPr>
      </w:pPr>
      <w:r>
        <w:t>Reg. č.:</w:t>
      </w:r>
      <w:r>
        <w:rPr>
          <w:spacing w:val="39"/>
        </w:rPr>
        <w:tab/>
      </w:r>
      <w:r w:rsidRPr="009924C2">
        <w:t>TN02000017</w:t>
      </w:r>
    </w:p>
    <w:p w:rsidR="0021588D" w:rsidRPr="00465998" w:rsidRDefault="00247D52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“.</w:t>
      </w:r>
    </w:p>
    <w:p w:rsidR="0021588D" w:rsidRDefault="00247D52" w:rsidP="00CF6131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 w:rsidRPr="00465998"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6541C7" w:rsidRPr="00465998">
        <w:t xml:space="preserve">4. 4. 2023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:rsidR="0021588D" w:rsidRDefault="00247D52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:rsidR="0021588D" w:rsidRPr="000144AD" w:rsidRDefault="0021588D">
      <w:pPr>
        <w:pStyle w:val="Zkladntext"/>
        <w:spacing w:before="9"/>
        <w:jc w:val="left"/>
        <w:rPr>
          <w:szCs w:val="16"/>
        </w:rPr>
      </w:pPr>
    </w:p>
    <w:p w:rsidR="0021588D" w:rsidRDefault="00247D52">
      <w:pPr>
        <w:pStyle w:val="Nadpis1"/>
        <w:ind w:right="4547"/>
      </w:pPr>
      <w:bookmarkStart w:id="3" w:name="II._Řešení_dílčího_projektu"/>
      <w:bookmarkEnd w:id="3"/>
      <w:r>
        <w:t>II.</w:t>
      </w:r>
    </w:p>
    <w:p w:rsidR="0021588D" w:rsidRDefault="00247D52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:rsidR="0021588D" w:rsidRPr="00465998" w:rsidRDefault="00247D52">
      <w:pPr>
        <w:pStyle w:val="Odstavecseseznamem"/>
        <w:numPr>
          <w:ilvl w:val="0"/>
          <w:numId w:val="9"/>
        </w:numPr>
        <w:tabs>
          <w:tab w:val="left" w:pos="937"/>
        </w:tabs>
        <w:spacing w:before="121"/>
        <w:ind w:right="0"/>
        <w:jc w:val="both"/>
      </w:pPr>
      <w:r w:rsidRPr="00465998">
        <w:t>Řešení dílčího projektu je rozloženo do období od</w:t>
      </w:r>
      <w:r w:rsidR="000144AD">
        <w:t xml:space="preserve"> </w:t>
      </w:r>
      <w:r w:rsidR="000144AD" w:rsidRPr="000144AD">
        <w:rPr>
          <w:b/>
          <w:bCs/>
        </w:rPr>
        <w:t>1. 5. 2023 – 31. 12. 2028.</w:t>
      </w:r>
    </w:p>
    <w:p w:rsidR="000144AD" w:rsidRDefault="000144AD" w:rsidP="000144AD">
      <w:pPr>
        <w:pStyle w:val="Odstavecseseznamem"/>
        <w:numPr>
          <w:ilvl w:val="0"/>
          <w:numId w:val="9"/>
        </w:numPr>
        <w:tabs>
          <w:tab w:val="left" w:pos="937"/>
        </w:tabs>
        <w:spacing w:before="121"/>
        <w:ind w:right="0"/>
        <w:jc w:val="both"/>
      </w:pPr>
      <w:r>
        <w:t xml:space="preserve">Předmětem řešení dílčího projektu: </w:t>
      </w:r>
      <w:r w:rsidRPr="00A1498F">
        <w:t>je snaha reagovat na potřebu intenzivního šlechtění skotu za účelem zvýšení výkonnosti mléčných i masných plemen.</w:t>
      </w:r>
    </w:p>
    <w:p w:rsidR="000144AD" w:rsidRPr="00A1498F" w:rsidRDefault="000144AD" w:rsidP="000144AD">
      <w:pPr>
        <w:pStyle w:val="Odstavecseseznamem"/>
        <w:numPr>
          <w:ilvl w:val="0"/>
          <w:numId w:val="9"/>
        </w:numPr>
        <w:tabs>
          <w:tab w:val="left" w:pos="937"/>
        </w:tabs>
        <w:spacing w:before="121"/>
        <w:ind w:right="0"/>
        <w:jc w:val="both"/>
      </w:pPr>
      <w:r>
        <w:t>Cílem dílčího projektu je: propracovat aktuální metody asistované reprodukce s cílem rozšířit jejich aplikaci do chovatelské praxe.</w:t>
      </w:r>
    </w:p>
    <w:p w:rsidR="000144AD" w:rsidRDefault="000144AD" w:rsidP="000144AD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>
        <w:t>Předpokládané výsledky dílčího</w:t>
      </w:r>
      <w:r>
        <w:rPr>
          <w:spacing w:val="-3"/>
        </w:rPr>
        <w:t xml:space="preserve"> </w:t>
      </w:r>
      <w:r>
        <w:t>projektu:</w:t>
      </w:r>
    </w:p>
    <w:p w:rsidR="000144AD" w:rsidRPr="004753EE" w:rsidRDefault="000144AD" w:rsidP="000144AD">
      <w:pPr>
        <w:pStyle w:val="Odstavecseseznamem"/>
        <w:tabs>
          <w:tab w:val="left" w:pos="937"/>
        </w:tabs>
        <w:ind w:right="210" w:firstLine="0"/>
        <w:jc w:val="left"/>
        <w:rPr>
          <w:b/>
          <w:bCs/>
          <w:i/>
          <w:iCs/>
        </w:rPr>
      </w:pPr>
      <w:r w:rsidRPr="004753EE">
        <w:rPr>
          <w:b/>
          <w:bCs/>
          <w:i/>
          <w:iCs/>
        </w:rPr>
        <w:tab/>
        <w:t>Užitný vzor: Instrument k provádění aspirace oocytů u skotu</w:t>
      </w:r>
    </w:p>
    <w:p w:rsidR="000144AD" w:rsidRPr="004753EE" w:rsidRDefault="000144AD" w:rsidP="000144AD">
      <w:pPr>
        <w:pStyle w:val="Odstavecseseznamem"/>
        <w:tabs>
          <w:tab w:val="left" w:pos="937"/>
        </w:tabs>
        <w:ind w:right="210" w:firstLine="0"/>
        <w:jc w:val="left"/>
        <w:rPr>
          <w:b/>
          <w:bCs/>
          <w:i/>
          <w:iCs/>
        </w:rPr>
      </w:pPr>
      <w:r w:rsidRPr="004753EE">
        <w:rPr>
          <w:b/>
          <w:bCs/>
          <w:i/>
          <w:iCs/>
        </w:rPr>
        <w:tab/>
        <w:t>Užitný vzor: Instrument k aspiraci ovariálních folikulů opakovaným výplachem</w:t>
      </w:r>
    </w:p>
    <w:p w:rsidR="000144AD" w:rsidRPr="004753EE" w:rsidRDefault="000144AD" w:rsidP="000144AD">
      <w:pPr>
        <w:pStyle w:val="Odstavecseseznamem"/>
        <w:tabs>
          <w:tab w:val="left" w:pos="937"/>
        </w:tabs>
        <w:ind w:right="210" w:firstLine="0"/>
        <w:jc w:val="left"/>
        <w:rPr>
          <w:b/>
          <w:bCs/>
          <w:i/>
          <w:iCs/>
        </w:rPr>
      </w:pPr>
      <w:r w:rsidRPr="004753EE">
        <w:rPr>
          <w:b/>
          <w:bCs/>
          <w:i/>
          <w:iCs/>
        </w:rPr>
        <w:t>Certifikovaná metodika: Metodika intrafolikulárního transferu oocytů u skotu</w:t>
      </w:r>
    </w:p>
    <w:p w:rsidR="000144AD" w:rsidRDefault="000144AD" w:rsidP="000144AD">
      <w:pPr>
        <w:pStyle w:val="Odstavecseseznamem"/>
        <w:tabs>
          <w:tab w:val="left" w:pos="937"/>
        </w:tabs>
        <w:ind w:right="210" w:firstLine="0"/>
        <w:jc w:val="left"/>
      </w:pPr>
      <w:r w:rsidRPr="004753EE">
        <w:rPr>
          <w:b/>
          <w:bCs/>
          <w:i/>
          <w:iCs/>
        </w:rPr>
        <w:t>Certifikovaná metodika: Metodika transvaginální aspirace oocytů u peripubertálních jalovic</w:t>
      </w:r>
      <w:r>
        <w:t>.</w:t>
      </w:r>
    </w:p>
    <w:p w:rsidR="0021588D" w:rsidRPr="00465998" w:rsidRDefault="00247D52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  <w:jc w:val="both"/>
      </w:pPr>
      <w:r w:rsidRPr="00465998">
        <w:t xml:space="preserve">Zodpovědnost za řešení dílčího projektu nese a celkovou koordinaci a řízení prací provádí </w:t>
      </w:r>
      <w:r w:rsidR="00753CF9" w:rsidRPr="00465998">
        <w:t>řešitel DP</w:t>
      </w:r>
      <w:r w:rsidRPr="00465998">
        <w:t>, na řešení se podílí další účastníci. Všichni společně tvoří projektový</w:t>
      </w:r>
      <w:r w:rsidRPr="00465998">
        <w:rPr>
          <w:spacing w:val="-8"/>
        </w:rPr>
        <w:t xml:space="preserve"> </w:t>
      </w:r>
      <w:r w:rsidRPr="00465998">
        <w:t>tým.</w:t>
      </w:r>
    </w:p>
    <w:p w:rsidR="0021588D" w:rsidRPr="00465998" w:rsidRDefault="00753CF9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:rsidR="0021588D" w:rsidRDefault="00A14D46" w:rsidP="00A62D79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spacing w:before="1"/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:rsidR="0021588D" w:rsidRPr="000144AD" w:rsidRDefault="0021588D">
      <w:pPr>
        <w:pStyle w:val="Zkladntext"/>
        <w:spacing w:before="6"/>
        <w:jc w:val="left"/>
        <w:rPr>
          <w:szCs w:val="28"/>
        </w:rPr>
      </w:pPr>
    </w:p>
    <w:p w:rsidR="0021588D" w:rsidRDefault="00247D52">
      <w:pPr>
        <w:pStyle w:val="Nadpis1"/>
        <w:ind w:left="4547" w:right="4544"/>
      </w:pPr>
      <w:bookmarkStart w:id="4" w:name="III._Věcná_náplň_spolupráce_příjemce_a_d"/>
      <w:bookmarkEnd w:id="4"/>
      <w:r>
        <w:t>III.</w:t>
      </w:r>
    </w:p>
    <w:p w:rsidR="0021588D" w:rsidRDefault="00247D52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:rsidR="0021588D" w:rsidRDefault="00247D52" w:rsidP="00AC42C7">
      <w:pPr>
        <w:pStyle w:val="Odstavecseseznamem"/>
        <w:numPr>
          <w:ilvl w:val="0"/>
          <w:numId w:val="8"/>
        </w:numPr>
        <w:tabs>
          <w:tab w:val="left" w:pos="937"/>
        </w:tabs>
        <w:spacing w:before="120"/>
        <w:ind w:right="210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:rsidR="0021588D" w:rsidRPr="00FA0888" w:rsidRDefault="00247D52" w:rsidP="00AC42C7">
      <w:pPr>
        <w:pStyle w:val="Odstavecseseznamem"/>
        <w:numPr>
          <w:ilvl w:val="0"/>
          <w:numId w:val="8"/>
        </w:numPr>
        <w:tabs>
          <w:tab w:val="left" w:pos="937"/>
        </w:tabs>
        <w:spacing w:before="1"/>
        <w:ind w:right="214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:rsidR="0021588D" w:rsidRDefault="00247D52" w:rsidP="00AC42C7">
      <w:pPr>
        <w:pStyle w:val="Odstavecseseznamem"/>
        <w:numPr>
          <w:ilvl w:val="0"/>
          <w:numId w:val="8"/>
        </w:numPr>
        <w:tabs>
          <w:tab w:val="left" w:pos="938"/>
        </w:tabs>
        <w:spacing w:before="123"/>
        <w:ind w:right="209"/>
        <w:jc w:val="both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AC42C7">
        <w:rPr>
          <w:spacing w:val="-7"/>
        </w:rPr>
        <w:t xml:space="preserve"> </w:t>
      </w:r>
      <w:r w:rsidRPr="00FA0888">
        <w:t>ze</w:t>
      </w:r>
      <w:r w:rsidRPr="00AC42C7">
        <w:rPr>
          <w:spacing w:val="-6"/>
        </w:rPr>
        <w:t xml:space="preserve"> </w:t>
      </w:r>
      <w:r w:rsidRPr="00FA0888">
        <w:t>Smlouvy</w:t>
      </w:r>
      <w:r w:rsidRPr="00AC42C7">
        <w:rPr>
          <w:spacing w:val="-5"/>
        </w:rPr>
        <w:t xml:space="preserve"> </w:t>
      </w:r>
      <w:r w:rsidR="00AC42C7" w:rsidRPr="00AC42C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</w:t>
      </w:r>
      <w:r w:rsidRPr="00FA0888">
        <w:lastRenderedPageBreak/>
        <w:t xml:space="preserve">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AC42C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rozpočtové kázně dalšími účastníky.</w:t>
      </w:r>
    </w:p>
    <w:p w:rsidR="0021588D" w:rsidRPr="000144AD" w:rsidRDefault="0021588D">
      <w:pPr>
        <w:pStyle w:val="Zkladntext"/>
        <w:spacing w:before="8"/>
        <w:jc w:val="left"/>
        <w:rPr>
          <w:szCs w:val="28"/>
        </w:rPr>
      </w:pPr>
    </w:p>
    <w:p w:rsidR="0021588D" w:rsidRDefault="00247D52">
      <w:pPr>
        <w:pStyle w:val="Nadpis1"/>
        <w:ind w:left="4547" w:right="4547"/>
      </w:pPr>
      <w:bookmarkStart w:id="5" w:name="IV._Finanční_zajištění_dílčího_projektu"/>
      <w:bookmarkEnd w:id="5"/>
      <w:r>
        <w:t>IV.</w:t>
      </w:r>
    </w:p>
    <w:p w:rsidR="0021588D" w:rsidRDefault="00247D52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7"/>
        </w:tabs>
        <w:spacing w:before="118"/>
        <w:ind w:right="210"/>
        <w:jc w:val="both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:rsidR="00093F9B" w:rsidRPr="00465998" w:rsidRDefault="00093F9B" w:rsidP="00093F9B">
      <w:pPr>
        <w:pStyle w:val="Odstavecseseznamem"/>
        <w:numPr>
          <w:ilvl w:val="0"/>
          <w:numId w:val="7"/>
        </w:numPr>
        <w:jc w:val="both"/>
      </w:pPr>
      <w:r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:rsidR="00A570ED" w:rsidRPr="00465998" w:rsidRDefault="00A570ED" w:rsidP="00A14D46">
      <w:pPr>
        <w:pStyle w:val="Odstavecseseznamem"/>
        <w:numPr>
          <w:ilvl w:val="0"/>
          <w:numId w:val="7"/>
        </w:numPr>
        <w:tabs>
          <w:tab w:val="left" w:pos="937"/>
        </w:tabs>
        <w:jc w:val="both"/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A14D46" w:rsidRPr="00465998">
        <w:t>VII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6"/>
        </w:tabs>
        <w:spacing w:before="1" w:line="237" w:lineRule="auto"/>
        <w:ind w:left="935" w:right="215" w:hanging="360"/>
        <w:jc w:val="both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:rsidR="00092953" w:rsidRPr="009C5426" w:rsidRDefault="00092953" w:rsidP="00092953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bookmarkStart w:id="6" w:name="_Hlk135385844"/>
      <w:bookmarkStart w:id="7" w:name="_Hlk135386751"/>
      <w:bookmarkStart w:id="8" w:name="_Hlk135389193"/>
      <w:bookmarkStart w:id="9" w:name="_Hlk135389647"/>
      <w:r w:rsidRPr="009C5426">
        <w:t xml:space="preserve">Tabulka celkových uznaných nákladů na daný dílčí projekt v jednotlivých letech tvoří přílohu č. 1 této Smlouvy. </w:t>
      </w:r>
    </w:p>
    <w:p w:rsidR="00092953" w:rsidRPr="009C5426" w:rsidRDefault="00092953" w:rsidP="00092953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9C5426">
        <w:t>Maximální povolená intenzita podpory pro jednotlivé účastníky DP je v souladu s tabulkou níže:</w:t>
      </w:r>
    </w:p>
    <w:bookmarkEnd w:id="6"/>
    <w:p w:rsidR="00092953" w:rsidRPr="009C5426" w:rsidRDefault="00092953" w:rsidP="00092953">
      <w:pPr>
        <w:tabs>
          <w:tab w:val="left" w:pos="936"/>
        </w:tabs>
        <w:ind w:right="215"/>
        <w:jc w:val="both"/>
      </w:pPr>
    </w:p>
    <w:p w:rsidR="00092953" w:rsidRPr="00841B32" w:rsidRDefault="00092953" w:rsidP="00092953">
      <w:pPr>
        <w:pStyle w:val="Titulek"/>
        <w:keepNext/>
        <w:jc w:val="center"/>
        <w:rPr>
          <w:color w:val="auto"/>
        </w:rPr>
      </w:pPr>
      <w:r w:rsidRPr="009C5426">
        <w:rPr>
          <w:color w:val="auto"/>
        </w:rPr>
        <w:t xml:space="preserve">Tabulka </w:t>
      </w:r>
      <w:r w:rsidRPr="009C5426">
        <w:rPr>
          <w:color w:val="auto"/>
        </w:rPr>
        <w:fldChar w:fldCharType="begin"/>
      </w:r>
      <w:r w:rsidRPr="009C5426">
        <w:rPr>
          <w:color w:val="auto"/>
        </w:rPr>
        <w:instrText xml:space="preserve"> SEQ Tabulka \* ARABIC </w:instrText>
      </w:r>
      <w:r w:rsidRPr="009C5426">
        <w:rPr>
          <w:color w:val="auto"/>
        </w:rPr>
        <w:fldChar w:fldCharType="separate"/>
      </w:r>
      <w:r w:rsidRPr="009C5426">
        <w:rPr>
          <w:noProof/>
          <w:color w:val="auto"/>
        </w:rPr>
        <w:t>1</w:t>
      </w:r>
      <w:r w:rsidRPr="009C5426">
        <w:rPr>
          <w:color w:val="auto"/>
        </w:rPr>
        <w:fldChar w:fldCharType="end"/>
      </w:r>
      <w:r w:rsidRPr="009C5426">
        <w:rPr>
          <w:color w:val="auto"/>
        </w:rPr>
        <w:tab/>
        <w:t xml:space="preserve"> Maximální intenzita podpory dle typu uchazeče</w:t>
      </w:r>
    </w:p>
    <w:bookmarkEnd w:id="7"/>
    <w:p w:rsidR="00092953" w:rsidRPr="00465998" w:rsidRDefault="00092953" w:rsidP="00092953">
      <w:pPr>
        <w:tabs>
          <w:tab w:val="left" w:pos="936"/>
        </w:tabs>
        <w:ind w:right="215"/>
        <w:jc w:val="center"/>
      </w:pPr>
      <w:r w:rsidRPr="009C5426">
        <w:rPr>
          <w:noProof/>
          <w:lang w:bidi="ar-SA"/>
        </w:rPr>
        <w:drawing>
          <wp:inline distT="0" distB="0" distL="0" distR="0" wp14:anchorId="2BAB4248" wp14:editId="641A9ED1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  <w:bookmarkEnd w:id="9"/>
    </w:p>
    <w:p w:rsidR="0021588D" w:rsidRPr="000144AD" w:rsidRDefault="0021588D">
      <w:pPr>
        <w:pStyle w:val="Zkladntext"/>
        <w:spacing w:before="12"/>
        <w:jc w:val="left"/>
        <w:rPr>
          <w:szCs w:val="16"/>
        </w:rPr>
      </w:pPr>
    </w:p>
    <w:p w:rsidR="0021588D" w:rsidRPr="00465998" w:rsidRDefault="00247D52">
      <w:pPr>
        <w:pStyle w:val="Nadpis1"/>
        <w:ind w:left="4544" w:right="4547"/>
      </w:pPr>
      <w:bookmarkStart w:id="10" w:name="V._Podmínky_použití_účelových_finančních"/>
      <w:bookmarkEnd w:id="10"/>
      <w:r w:rsidRPr="00465998">
        <w:t>V.</w:t>
      </w:r>
    </w:p>
    <w:p w:rsidR="0021588D" w:rsidRPr="00465998" w:rsidRDefault="00247D52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:rsidR="0021588D" w:rsidRDefault="00247D52" w:rsidP="00D75BC1">
      <w:pPr>
        <w:pStyle w:val="Odstavecseseznamem"/>
        <w:numPr>
          <w:ilvl w:val="0"/>
          <w:numId w:val="6"/>
        </w:numPr>
        <w:tabs>
          <w:tab w:val="left" w:pos="936"/>
        </w:tabs>
        <w:spacing w:before="120"/>
        <w:jc w:val="both"/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:rsidR="0021588D" w:rsidRDefault="00247D52" w:rsidP="00D75BC1">
      <w:pPr>
        <w:pStyle w:val="Odstavecseseznamem"/>
        <w:numPr>
          <w:ilvl w:val="0"/>
          <w:numId w:val="6"/>
        </w:numPr>
        <w:tabs>
          <w:tab w:val="left" w:pos="936"/>
        </w:tabs>
        <w:spacing w:before="1"/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lastRenderedPageBreak/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:rsidR="0021588D" w:rsidRDefault="006541C7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:rsidR="0021588D" w:rsidRDefault="00247D52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:rsidR="0021588D" w:rsidRDefault="00247D52" w:rsidP="000144AD">
      <w:pPr>
        <w:pStyle w:val="Odstavecseseznamem"/>
        <w:numPr>
          <w:ilvl w:val="1"/>
          <w:numId w:val="6"/>
        </w:numPr>
        <w:tabs>
          <w:tab w:val="left" w:pos="1656"/>
        </w:tabs>
        <w:spacing w:before="117"/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  <w:r w:rsidR="000144AD">
        <w:t xml:space="preserve"> </w:t>
      </w:r>
      <w:r>
        <w:t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lastRenderedPageBreak/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:rsidR="000144AD" w:rsidRDefault="000144AD" w:rsidP="000144AD">
      <w:pPr>
        <w:tabs>
          <w:tab w:val="left" w:pos="1656"/>
        </w:tabs>
        <w:ind w:right="214"/>
      </w:pPr>
    </w:p>
    <w:p w:rsidR="0021588D" w:rsidRDefault="00247D52">
      <w:pPr>
        <w:pStyle w:val="Nadpis1"/>
        <w:spacing w:before="123"/>
        <w:ind w:right="4547"/>
      </w:pPr>
      <w:bookmarkStart w:id="11" w:name="VI._Práva_k_hmotnému_majetku"/>
      <w:bookmarkEnd w:id="11"/>
      <w:r>
        <w:t>VI.</w:t>
      </w:r>
    </w:p>
    <w:p w:rsidR="0021588D" w:rsidRDefault="00247D52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:rsidR="0021588D" w:rsidRDefault="00247D52" w:rsidP="00DE27D5">
      <w:pPr>
        <w:pStyle w:val="Odstavecseseznamem"/>
        <w:numPr>
          <w:ilvl w:val="0"/>
          <w:numId w:val="5"/>
        </w:numPr>
        <w:tabs>
          <w:tab w:val="left" w:pos="937"/>
        </w:tabs>
        <w:spacing w:before="120"/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:rsidR="000144AD" w:rsidRDefault="00247D52" w:rsidP="00DE27D5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t>Smluvní strany se zavazují zpřístupnit si vzájemně zařízení potřebná k řešení dílčího projektu, a to: informace o nástrojích a procesech používaných bezpečnostním týmem a jejich dokumentaci.</w:t>
      </w:r>
    </w:p>
    <w:p w:rsidR="000144AD" w:rsidRDefault="000144AD"/>
    <w:p w:rsidR="0021588D" w:rsidRDefault="00247D52">
      <w:pPr>
        <w:pStyle w:val="Nadpis1"/>
        <w:ind w:left="4547" w:right="4545"/>
      </w:pPr>
      <w:bookmarkStart w:id="12" w:name="VII._Ochrana_duševního_vlastnictví"/>
      <w:bookmarkEnd w:id="12"/>
      <w:r>
        <w:t>VII.</w:t>
      </w:r>
    </w:p>
    <w:p w:rsidR="0021588D" w:rsidRDefault="00247D52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:rsidR="0021588D" w:rsidRDefault="00247D52" w:rsidP="00DE27D5">
      <w:pPr>
        <w:pStyle w:val="Odstavecseseznamem"/>
        <w:numPr>
          <w:ilvl w:val="0"/>
          <w:numId w:val="4"/>
        </w:numPr>
        <w:tabs>
          <w:tab w:val="left" w:pos="996"/>
        </w:tabs>
        <w:spacing w:before="121"/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:rsidR="0021588D" w:rsidRDefault="00247D52" w:rsidP="00DE27D5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:rsidR="000144AD" w:rsidRDefault="00753CF9" w:rsidP="000144AD">
      <w:pPr>
        <w:pStyle w:val="Odstavecseseznamem"/>
        <w:numPr>
          <w:ilvl w:val="1"/>
          <w:numId w:val="4"/>
        </w:numPr>
        <w:tabs>
          <w:tab w:val="left" w:pos="1656"/>
        </w:tabs>
        <w:ind w:right="445"/>
      </w:pPr>
      <w:r>
        <w:t>Řešitel DP</w:t>
      </w:r>
      <w:r w:rsidR="00247D52">
        <w:t xml:space="preserve">: know-how </w:t>
      </w:r>
      <w:r w:rsidR="000144AD">
        <w:t>v oblasti klinické a laboratorní části všech metod asistované reprodukce.</w:t>
      </w:r>
    </w:p>
    <w:p w:rsidR="000144AD" w:rsidRDefault="000144AD" w:rsidP="000144AD">
      <w:pPr>
        <w:pStyle w:val="Odstavecseseznamem"/>
        <w:numPr>
          <w:ilvl w:val="1"/>
          <w:numId w:val="4"/>
        </w:numPr>
        <w:tabs>
          <w:tab w:val="left" w:pos="1656"/>
        </w:tabs>
        <w:ind w:right="1560" w:hanging="361"/>
      </w:pPr>
      <w:r>
        <w:t>Další účastník 1: know-how v oblasti intenzivního chovu dojeného skotu, praktická aplikace základních metod asistované reprodukce.</w:t>
      </w:r>
    </w:p>
    <w:p w:rsidR="000144AD" w:rsidRDefault="000144AD" w:rsidP="000144AD">
      <w:pPr>
        <w:pStyle w:val="Odstavecseseznamem"/>
        <w:numPr>
          <w:ilvl w:val="1"/>
          <w:numId w:val="4"/>
        </w:numPr>
        <w:tabs>
          <w:tab w:val="left" w:pos="1655"/>
          <w:tab w:val="left" w:pos="1656"/>
        </w:tabs>
        <w:ind w:right="750"/>
      </w:pPr>
      <w:r>
        <w:t>Další účastník 2: know-how v specifické oblasti šlechtění skotu, produkce inseminačních dávek, speciální poradenství pro chovatele.</w:t>
      </w:r>
    </w:p>
    <w:p w:rsidR="0021588D" w:rsidRPr="000144AD" w:rsidRDefault="0021588D" w:rsidP="000144AD">
      <w:pPr>
        <w:tabs>
          <w:tab w:val="left" w:pos="1656"/>
        </w:tabs>
        <w:ind w:right="445"/>
        <w:rPr>
          <w:szCs w:val="16"/>
        </w:rPr>
      </w:pPr>
    </w:p>
    <w:p w:rsidR="0021588D" w:rsidRDefault="00247D52">
      <w:pPr>
        <w:pStyle w:val="Nadpis1"/>
        <w:ind w:left="4547" w:right="4547"/>
      </w:pPr>
      <w:bookmarkStart w:id="13" w:name="VIII._Práva_k_výsledkům_a_využití_výsled"/>
      <w:bookmarkEnd w:id="13"/>
      <w:r>
        <w:t>VIII.</w:t>
      </w:r>
    </w:p>
    <w:p w:rsidR="0021588D" w:rsidRDefault="00247D52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:rsidR="0021588D" w:rsidRDefault="007C56CA" w:rsidP="007C56CA">
      <w:pPr>
        <w:pStyle w:val="Odstavecseseznamem"/>
        <w:numPr>
          <w:ilvl w:val="0"/>
          <w:numId w:val="3"/>
        </w:numPr>
        <w:tabs>
          <w:tab w:val="left" w:pos="996"/>
        </w:tabs>
        <w:spacing w:before="120"/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:rsidR="0021588D" w:rsidRDefault="00247D52" w:rsidP="00DE27D5">
      <w:pPr>
        <w:pStyle w:val="Odstavecseseznamem"/>
        <w:numPr>
          <w:ilvl w:val="0"/>
          <w:numId w:val="3"/>
        </w:numPr>
        <w:tabs>
          <w:tab w:val="left" w:pos="996"/>
        </w:tabs>
        <w:spacing w:before="1"/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:rsidR="000144AD" w:rsidRDefault="00247D52" w:rsidP="000144AD">
      <w:pPr>
        <w:pStyle w:val="Odstavecseseznamem"/>
        <w:numPr>
          <w:ilvl w:val="0"/>
          <w:numId w:val="3"/>
        </w:numPr>
        <w:tabs>
          <w:tab w:val="left" w:pos="996"/>
        </w:tabs>
        <w:spacing w:before="123"/>
        <w:ind w:left="996" w:right="210"/>
        <w:jc w:val="both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</w:t>
      </w:r>
      <w:r w:rsidR="002C0763">
        <w:t>-</w:t>
      </w:r>
      <w:r>
        <w:t>licen</w:t>
      </w:r>
      <w:r w:rsidR="002C0763">
        <w:t>čn</w:t>
      </w:r>
      <w:r>
        <w:t xml:space="preserve">ích smluv a postoupení práv </w:t>
      </w:r>
      <w:r>
        <w:lastRenderedPageBreak/>
        <w:t>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 w:rsidRPr="000144AD">
        <w:rPr>
          <w:spacing w:val="32"/>
        </w:rPr>
        <w:t xml:space="preserve"> </w:t>
      </w:r>
      <w:r>
        <w:t>z</w:t>
      </w:r>
      <w:r w:rsidRPr="000144AD">
        <w:rPr>
          <w:spacing w:val="-2"/>
        </w:rPr>
        <w:t xml:space="preserve"> </w:t>
      </w:r>
      <w:r>
        <w:t>duševního</w:t>
      </w:r>
      <w:r w:rsidRPr="000144AD">
        <w:rPr>
          <w:spacing w:val="31"/>
        </w:rPr>
        <w:t xml:space="preserve"> </w:t>
      </w:r>
      <w:r>
        <w:t>vlastnictví,</w:t>
      </w:r>
      <w:r w:rsidRPr="000144AD">
        <w:rPr>
          <w:spacing w:val="32"/>
        </w:rPr>
        <w:t xml:space="preserve"> </w:t>
      </w:r>
      <w:r>
        <w:t>částečně</w:t>
      </w:r>
      <w:r w:rsidRPr="000144AD">
        <w:rPr>
          <w:spacing w:val="33"/>
        </w:rPr>
        <w:t xml:space="preserve"> </w:t>
      </w:r>
      <w:r>
        <w:t>nebo</w:t>
      </w:r>
      <w:r w:rsidRPr="000144AD">
        <w:rPr>
          <w:spacing w:val="31"/>
        </w:rPr>
        <w:t xml:space="preserve"> </w:t>
      </w:r>
      <w:r>
        <w:t>v</w:t>
      </w:r>
      <w:r w:rsidRPr="000144AD">
        <w:rPr>
          <w:spacing w:val="-2"/>
        </w:rPr>
        <w:t xml:space="preserve"> </w:t>
      </w:r>
      <w:r>
        <w:t>plném</w:t>
      </w:r>
      <w:r w:rsidRPr="000144AD">
        <w:rPr>
          <w:spacing w:val="31"/>
        </w:rPr>
        <w:t xml:space="preserve"> </w:t>
      </w:r>
      <w:r>
        <w:t>rozsahu</w:t>
      </w:r>
      <w:r w:rsidRPr="000144AD">
        <w:rPr>
          <w:spacing w:val="30"/>
        </w:rPr>
        <w:t xml:space="preserve"> </w:t>
      </w:r>
      <w:r>
        <w:t>na</w:t>
      </w:r>
      <w:r w:rsidRPr="000144AD">
        <w:rPr>
          <w:spacing w:val="32"/>
        </w:rPr>
        <w:t xml:space="preserve"> </w:t>
      </w:r>
      <w:r>
        <w:t>tyto</w:t>
      </w:r>
      <w:r w:rsidRPr="000144AD">
        <w:rPr>
          <w:spacing w:val="33"/>
        </w:rPr>
        <w:t xml:space="preserve"> </w:t>
      </w:r>
      <w:r>
        <w:t>další</w:t>
      </w:r>
      <w:r w:rsidRPr="000144AD">
        <w:rPr>
          <w:spacing w:val="32"/>
        </w:rPr>
        <w:t xml:space="preserve"> </w:t>
      </w:r>
      <w:r>
        <w:t>smluvní</w:t>
      </w:r>
      <w:r w:rsidRPr="000144AD">
        <w:rPr>
          <w:spacing w:val="32"/>
        </w:rPr>
        <w:t xml:space="preserve"> </w:t>
      </w:r>
      <w:r>
        <w:t>strany.</w:t>
      </w:r>
    </w:p>
    <w:p w:rsidR="0021588D" w:rsidRDefault="00247D52" w:rsidP="000144AD">
      <w:pPr>
        <w:pStyle w:val="Odstavecseseznamem"/>
        <w:numPr>
          <w:ilvl w:val="0"/>
          <w:numId w:val="3"/>
        </w:numPr>
        <w:tabs>
          <w:tab w:val="left" w:pos="996"/>
        </w:tabs>
        <w:spacing w:before="123"/>
        <w:ind w:left="996" w:right="210"/>
        <w:jc w:val="both"/>
      </w:pPr>
      <w:r>
        <w:t>Smluvní strany se výslovně dohodly, že chráněné nové duševní vlastnictví nebo vykonavatelé nového duševního vlastnictví můžou postoupit/podlicencovat na další smluvní stranu oprávnění</w:t>
      </w:r>
      <w:r w:rsidRPr="000144AD">
        <w:rPr>
          <w:spacing w:val="-4"/>
        </w:rPr>
        <w:t xml:space="preserve"> </w:t>
      </w:r>
      <w:r>
        <w:t>k</w:t>
      </w:r>
      <w:r w:rsidRPr="000144AD">
        <w:rPr>
          <w:spacing w:val="-3"/>
        </w:rPr>
        <w:t xml:space="preserve"> </w:t>
      </w:r>
      <w:r>
        <w:t>výkonu</w:t>
      </w:r>
      <w:r w:rsidRPr="000144AD">
        <w:rPr>
          <w:spacing w:val="-5"/>
        </w:rPr>
        <w:t xml:space="preserve"> </w:t>
      </w:r>
      <w:r>
        <w:t>užít</w:t>
      </w:r>
      <w:r w:rsidRPr="000144AD">
        <w:rPr>
          <w:spacing w:val="-3"/>
        </w:rPr>
        <w:t xml:space="preserve"> </w:t>
      </w:r>
      <w:r>
        <w:t>nové</w:t>
      </w:r>
      <w:r w:rsidRPr="000144AD">
        <w:rPr>
          <w:spacing w:val="-4"/>
        </w:rPr>
        <w:t xml:space="preserve"> </w:t>
      </w:r>
      <w:r>
        <w:t>duševní</w:t>
      </w:r>
      <w:r w:rsidRPr="000144AD">
        <w:rPr>
          <w:spacing w:val="-4"/>
        </w:rPr>
        <w:t xml:space="preserve"> </w:t>
      </w:r>
      <w:r>
        <w:t>vlastnictví</w:t>
      </w:r>
      <w:r w:rsidRPr="000144AD">
        <w:rPr>
          <w:spacing w:val="-4"/>
        </w:rPr>
        <w:t xml:space="preserve"> </w:t>
      </w:r>
      <w:r>
        <w:t>pro</w:t>
      </w:r>
      <w:r w:rsidRPr="000144AD">
        <w:rPr>
          <w:spacing w:val="-2"/>
        </w:rPr>
        <w:t xml:space="preserve"> </w:t>
      </w:r>
      <w:r>
        <w:t>výzkumné</w:t>
      </w:r>
      <w:r w:rsidRPr="000144AD">
        <w:rPr>
          <w:spacing w:val="-4"/>
        </w:rPr>
        <w:t xml:space="preserve"> </w:t>
      </w:r>
      <w:r>
        <w:t>a</w:t>
      </w:r>
      <w:r w:rsidRPr="000144AD">
        <w:rPr>
          <w:spacing w:val="-6"/>
        </w:rPr>
        <w:t xml:space="preserve"> </w:t>
      </w:r>
      <w:r>
        <w:t>vzdělávací</w:t>
      </w:r>
      <w:r w:rsidRPr="000144AD">
        <w:rPr>
          <w:spacing w:val="-5"/>
        </w:rPr>
        <w:t xml:space="preserve"> </w:t>
      </w:r>
      <w:r>
        <w:t>účely</w:t>
      </w:r>
      <w:r w:rsidRPr="000144AD">
        <w:rPr>
          <w:spacing w:val="-5"/>
        </w:rPr>
        <w:t xml:space="preserve"> </w:t>
      </w:r>
      <w:r>
        <w:t>bezúplatně způsobem, který neohrozí jeho</w:t>
      </w:r>
      <w:r w:rsidRPr="000144AD">
        <w:rPr>
          <w:spacing w:val="-3"/>
        </w:rPr>
        <w:t xml:space="preserve"> </w:t>
      </w:r>
      <w:r>
        <w:t>ochranu.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6"/>
        </w:tabs>
        <w:spacing w:before="1" w:line="237" w:lineRule="auto"/>
        <w:jc w:val="both"/>
      </w:pPr>
      <w:r>
        <w:t xml:space="preserve">Všechny smluvní strany prohlašují, že jsou si vědomy závazku vyplývajícího z čl. IV </w:t>
      </w:r>
      <w:r w:rsidR="002C0763">
        <w:t>bod</w:t>
      </w:r>
      <w:r>
        <w:t xml:space="preserve"> </w:t>
      </w:r>
      <w:r w:rsidR="002C0763">
        <w:t>3</w:t>
      </w:r>
      <w:r>
        <w:t>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6"/>
        </w:tabs>
        <w:spacing w:before="2"/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2"/>
        <w:jc w:val="both"/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3" w:line="237" w:lineRule="auto"/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1"/>
        <w:ind w:right="213" w:hanging="360"/>
        <w:jc w:val="both"/>
      </w:pPr>
      <w:r>
        <w:t>rozsah stupně důvěrnosti údajů a způsob nakládání s nimi podle zvláštních právních předpisů,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spacing w:before="1"/>
        <w:ind w:right="0"/>
        <w:jc w:val="both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  <w:jc w:val="both"/>
      </w:pPr>
      <w:r>
        <w:t>datum nabytí a ukončení účinnosti smlouvy.</w:t>
      </w:r>
    </w:p>
    <w:p w:rsidR="0021588D" w:rsidRDefault="0021588D">
      <w:pPr>
        <w:pStyle w:val="Zkladntext"/>
        <w:spacing w:before="8"/>
        <w:jc w:val="left"/>
        <w:rPr>
          <w:sz w:val="19"/>
        </w:rPr>
      </w:pPr>
    </w:p>
    <w:p w:rsidR="0021588D" w:rsidRDefault="00247D52">
      <w:pPr>
        <w:pStyle w:val="Nadpis1"/>
        <w:ind w:right="4547"/>
      </w:pPr>
      <w:r>
        <w:t>IX.</w:t>
      </w:r>
    </w:p>
    <w:p w:rsidR="0021588D" w:rsidRDefault="00247D52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7"/>
        </w:tabs>
        <w:spacing w:before="121"/>
        <w:ind w:right="212"/>
        <w:jc w:val="both"/>
      </w:pPr>
      <w:r>
        <w:t xml:space="preserve">Pokud další účastník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:rsidR="000144AD" w:rsidRDefault="000144AD" w:rsidP="000144AD">
      <w:pPr>
        <w:tabs>
          <w:tab w:val="left" w:pos="996"/>
        </w:tabs>
        <w:jc w:val="both"/>
      </w:pPr>
    </w:p>
    <w:p w:rsidR="0021588D" w:rsidRDefault="00247D52">
      <w:pPr>
        <w:pStyle w:val="Nadpis1"/>
        <w:spacing w:before="117"/>
        <w:ind w:right="4547"/>
      </w:pPr>
      <w:bookmarkStart w:id="14" w:name="X._Závěrečná_ustanovení"/>
      <w:bookmarkEnd w:id="14"/>
      <w:r>
        <w:t>X.</w:t>
      </w:r>
    </w:p>
    <w:p w:rsidR="0021588D" w:rsidRDefault="00247D52">
      <w:pPr>
        <w:ind w:left="3748"/>
        <w:rPr>
          <w:b/>
        </w:rPr>
      </w:pPr>
      <w:r>
        <w:rPr>
          <w:b/>
        </w:rPr>
        <w:t>Závěrečná ustanovení</w:t>
      </w:r>
    </w:p>
    <w:p w:rsidR="0021588D" w:rsidRDefault="00247D52" w:rsidP="001E0735">
      <w:pPr>
        <w:pStyle w:val="Odstavecseseznamem"/>
        <w:numPr>
          <w:ilvl w:val="0"/>
          <w:numId w:val="1"/>
        </w:numPr>
        <w:tabs>
          <w:tab w:val="left" w:pos="996"/>
        </w:tabs>
        <w:spacing w:before="123"/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</w:t>
      </w:r>
      <w:r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:rsidR="0021588D" w:rsidRPr="00092953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vztahuje povinnost jejího uveř</w:t>
      </w:r>
      <w:r w:rsidRPr="00092953">
        <w:t>ejnění dle zákona č. 340/2015 Sb. o registru smluv, v platném znění. Uveřejnění smlouvy zajišťuje</w:t>
      </w:r>
      <w:r w:rsidRPr="00092953">
        <w:rPr>
          <w:spacing w:val="-2"/>
        </w:rPr>
        <w:t xml:space="preserve"> </w:t>
      </w:r>
      <w:r w:rsidR="00753CF9" w:rsidRPr="00092953">
        <w:t>Řešitel DP</w:t>
      </w:r>
      <w:r w:rsidRPr="00092953">
        <w:t>.</w:t>
      </w:r>
    </w:p>
    <w:p w:rsidR="0021588D" w:rsidRPr="00092953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092953">
        <w:t>Smlouva je vyhotovena v šesti (6) stejnopisech s platností originálu, z nichž každá smluvní strana obdrží dva (2)</w:t>
      </w:r>
      <w:r w:rsidRPr="00092953">
        <w:rPr>
          <w:spacing w:val="-1"/>
        </w:rPr>
        <w:t xml:space="preserve"> </w:t>
      </w:r>
      <w:r w:rsidRPr="00092953">
        <w:t>stejnopisy.</w:t>
      </w:r>
    </w:p>
    <w:p w:rsidR="007C56CA" w:rsidRPr="00092953" w:rsidRDefault="007C56CA" w:rsidP="007C56CA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 w:rsidRPr="00092953">
        <w:t>Pokud bude smlouva podepsaná elektronicky, každá smluvní strana obdrží 1 originál.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092953">
        <w:t>Tato smlouva obsahuje úplné ujednání o předmětu smlouvy a všech náležitostech, které strany měly a chtěly ve smlouvě ujednat,</w:t>
      </w:r>
      <w:r>
        <w:t xml:space="preserve">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:rsidR="00092953" w:rsidRDefault="00092953">
      <w:r>
        <w:br w:type="page"/>
      </w:r>
    </w:p>
    <w:p w:rsidR="00092953" w:rsidRDefault="00092953" w:rsidP="00092953">
      <w:pPr>
        <w:ind w:left="3748"/>
      </w:pPr>
      <w:bookmarkStart w:id="15" w:name="_Hlk135397437"/>
      <w:bookmarkStart w:id="16" w:name="_Hlk135385938"/>
      <w:r w:rsidRPr="00841B32">
        <w:rPr>
          <w:b/>
        </w:rPr>
        <w:lastRenderedPageBreak/>
        <w:t>Přílohy</w:t>
      </w:r>
      <w:r>
        <w:t>:</w:t>
      </w:r>
    </w:p>
    <w:p w:rsidR="00092953" w:rsidRDefault="00092953" w:rsidP="00092953">
      <w:pPr>
        <w:pStyle w:val="Zkladntext"/>
        <w:jc w:val="left"/>
      </w:pPr>
    </w:p>
    <w:p w:rsidR="00092953" w:rsidRDefault="00092953" w:rsidP="00092953">
      <w:pPr>
        <w:pStyle w:val="Zkladntext"/>
        <w:jc w:val="left"/>
      </w:pPr>
      <w:r w:rsidRPr="009C5426">
        <w:t>Příloha č. 1</w:t>
      </w:r>
      <w:r w:rsidRPr="009C5426">
        <w:tab/>
        <w:t>Celkové uznané náklady dílčího projektu</w:t>
      </w:r>
    </w:p>
    <w:bookmarkEnd w:id="15"/>
    <w:bookmarkEnd w:id="16"/>
    <w:p w:rsidR="0021588D" w:rsidRDefault="0021588D">
      <w:pPr>
        <w:pStyle w:val="Zkladntext"/>
        <w:jc w:val="left"/>
      </w:pPr>
    </w:p>
    <w:p w:rsidR="001C0E48" w:rsidRDefault="001C0E48">
      <w:pPr>
        <w:pStyle w:val="Zkladntext"/>
        <w:jc w:val="left"/>
      </w:pPr>
    </w:p>
    <w:p w:rsidR="001C0E48" w:rsidRDefault="001C0E48" w:rsidP="001C0E48">
      <w:pPr>
        <w:pStyle w:val="Zkladntext"/>
        <w:jc w:val="left"/>
        <w:rPr>
          <w:szCs w:val="16"/>
        </w:rPr>
      </w:pPr>
      <w:r>
        <w:rPr>
          <w:szCs w:val="16"/>
        </w:rPr>
        <w:t>MVDr. Martin Faldyna, Ph.D.</w:t>
      </w:r>
    </w:p>
    <w:p w:rsidR="001C0E48" w:rsidRDefault="001C0E48" w:rsidP="001C0E48">
      <w:pPr>
        <w:pStyle w:val="Zkladntext"/>
        <w:jc w:val="left"/>
        <w:rPr>
          <w:szCs w:val="16"/>
        </w:rPr>
      </w:pPr>
      <w:r>
        <w:rPr>
          <w:szCs w:val="16"/>
        </w:rPr>
        <w:t>Ředitel</w:t>
      </w:r>
    </w:p>
    <w:p w:rsidR="001C0E48" w:rsidRDefault="001C0E48" w:rsidP="001C0E48">
      <w:pPr>
        <w:pStyle w:val="Zkladntext"/>
        <w:jc w:val="left"/>
        <w:rPr>
          <w:szCs w:val="16"/>
        </w:rPr>
      </w:pPr>
      <w:r>
        <w:rPr>
          <w:szCs w:val="16"/>
        </w:rPr>
        <w:t xml:space="preserve">Za </w:t>
      </w:r>
      <w:r w:rsidRPr="00106069">
        <w:rPr>
          <w:b/>
          <w:bCs/>
          <w:szCs w:val="16"/>
        </w:rPr>
        <w:t>řešitele DP</w:t>
      </w:r>
    </w:p>
    <w:p w:rsidR="001C0E48" w:rsidRDefault="001C0E48" w:rsidP="001C0E48">
      <w:pPr>
        <w:pStyle w:val="Zkladntext"/>
        <w:jc w:val="left"/>
        <w:rPr>
          <w:szCs w:val="16"/>
        </w:rPr>
      </w:pPr>
    </w:p>
    <w:p w:rsidR="001C0E48" w:rsidRDefault="001C0E48" w:rsidP="001C0E48">
      <w:pPr>
        <w:pStyle w:val="Zkladntext"/>
        <w:jc w:val="left"/>
        <w:rPr>
          <w:szCs w:val="16"/>
        </w:rPr>
      </w:pPr>
    </w:p>
    <w:p w:rsidR="001C0E48" w:rsidRDefault="001C0E48" w:rsidP="001C0E48">
      <w:pPr>
        <w:pStyle w:val="Zkladntext"/>
        <w:jc w:val="left"/>
        <w:rPr>
          <w:szCs w:val="16"/>
        </w:rPr>
      </w:pPr>
    </w:p>
    <w:p w:rsidR="001C0E48" w:rsidRDefault="001C0E48">
      <w:pPr>
        <w:pStyle w:val="Zkladntext"/>
        <w:jc w:val="left"/>
      </w:pPr>
    </w:p>
    <w:p w:rsidR="001C0E48" w:rsidRDefault="001C0E48">
      <w:pPr>
        <w:pStyle w:val="Zkladntext"/>
        <w:jc w:val="left"/>
      </w:pPr>
    </w:p>
    <w:p w:rsidR="001C0E48" w:rsidRDefault="001C0E48">
      <w:pPr>
        <w:pStyle w:val="Zkladntext"/>
        <w:jc w:val="left"/>
      </w:pPr>
    </w:p>
    <w:p w:rsidR="001C0E48" w:rsidRDefault="001C0E48">
      <w:pPr>
        <w:pStyle w:val="Zkladntext"/>
        <w:jc w:val="left"/>
      </w:pPr>
    </w:p>
    <w:p w:rsidR="001C0E48" w:rsidRDefault="001C0E48">
      <w:pPr>
        <w:pStyle w:val="Zkladntext"/>
        <w:jc w:val="left"/>
      </w:pPr>
    </w:p>
    <w:p w:rsidR="001C0E48" w:rsidRDefault="001C0E48">
      <w:pPr>
        <w:pStyle w:val="Zkladntext"/>
        <w:jc w:val="left"/>
      </w:pPr>
    </w:p>
    <w:p w:rsidR="00092953" w:rsidRDefault="00092953">
      <w:pPr>
        <w:pStyle w:val="Zkladntext"/>
        <w:jc w:val="left"/>
      </w:pPr>
    </w:p>
    <w:p w:rsidR="001C0E48" w:rsidRDefault="001C0E48" w:rsidP="001C0E48">
      <w:pPr>
        <w:ind w:right="7010"/>
        <w:sectPr w:rsidR="001C0E48">
          <w:headerReference w:type="default" r:id="rId8"/>
          <w:footerReference w:type="default" r:id="rId9"/>
          <w:pgSz w:w="11900" w:h="16850"/>
          <w:pgMar w:top="1660" w:right="1200" w:bottom="880" w:left="1200" w:header="296" w:footer="693" w:gutter="0"/>
          <w:cols w:space="708"/>
        </w:sectPr>
      </w:pPr>
    </w:p>
    <w:p w:rsidR="0021588D" w:rsidRDefault="00092953">
      <w:pPr>
        <w:ind w:left="215" w:right="7010"/>
      </w:pPr>
      <w:r>
        <w:lastRenderedPageBreak/>
        <w:t>Příloha č. 1</w:t>
      </w:r>
    </w:p>
    <w:p w:rsidR="00092953" w:rsidRDefault="00092953">
      <w:pPr>
        <w:ind w:left="215" w:right="7010"/>
      </w:pPr>
    </w:p>
    <w:p w:rsidR="00092953" w:rsidRDefault="00092953">
      <w:pPr>
        <w:ind w:left="215" w:right="7010"/>
      </w:pPr>
    </w:p>
    <w:p w:rsidR="00092953" w:rsidRDefault="00092953">
      <w:pPr>
        <w:ind w:left="215" w:right="7010"/>
      </w:pPr>
      <w:r>
        <w:object w:dxaOrig="13775" w:dyaOrig="2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5pt;height:138.75pt" o:ole="" o:bordertopcolor="this" o:borderleftcolor="this" o:borderbottomcolor="this" o:borderrightcolor="this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51775216" r:id="rId11"/>
        </w:object>
      </w:r>
    </w:p>
    <w:sectPr w:rsidR="00092953" w:rsidSect="00092953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61" w:rsidRDefault="00D81E61">
      <w:r>
        <w:separator/>
      </w:r>
    </w:p>
  </w:endnote>
  <w:endnote w:type="continuationSeparator" w:id="0">
    <w:p w:rsidR="00D81E61" w:rsidRDefault="00D8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206C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206C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61" w:rsidRDefault="00D81E61">
      <w:r>
        <w:separator/>
      </w:r>
    </w:p>
  </w:footnote>
  <w:footnote w:type="continuationSeparator" w:id="0">
    <w:p w:rsidR="00D81E61" w:rsidRDefault="00D8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1370207597" name="Obrázek 1370207597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1458048117" name="Obrázek 1458048117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144AD"/>
    <w:rsid w:val="00022E2A"/>
    <w:rsid w:val="00042DAC"/>
    <w:rsid w:val="00076ED0"/>
    <w:rsid w:val="00092953"/>
    <w:rsid w:val="00093F9B"/>
    <w:rsid w:val="000E71FC"/>
    <w:rsid w:val="00106069"/>
    <w:rsid w:val="00116AEB"/>
    <w:rsid w:val="001636B5"/>
    <w:rsid w:val="00172582"/>
    <w:rsid w:val="001C0E48"/>
    <w:rsid w:val="0021588D"/>
    <w:rsid w:val="002425AD"/>
    <w:rsid w:val="00247D52"/>
    <w:rsid w:val="00272927"/>
    <w:rsid w:val="00296839"/>
    <w:rsid w:val="002C0763"/>
    <w:rsid w:val="002E0144"/>
    <w:rsid w:val="002F6F8C"/>
    <w:rsid w:val="00364753"/>
    <w:rsid w:val="003A39FC"/>
    <w:rsid w:val="003B3C21"/>
    <w:rsid w:val="00465998"/>
    <w:rsid w:val="004A77EA"/>
    <w:rsid w:val="004C0056"/>
    <w:rsid w:val="005237DB"/>
    <w:rsid w:val="005E7F29"/>
    <w:rsid w:val="006541C7"/>
    <w:rsid w:val="00670737"/>
    <w:rsid w:val="00720573"/>
    <w:rsid w:val="00753CF9"/>
    <w:rsid w:val="00764511"/>
    <w:rsid w:val="0077096D"/>
    <w:rsid w:val="007C56CA"/>
    <w:rsid w:val="00815D45"/>
    <w:rsid w:val="0086031A"/>
    <w:rsid w:val="008925F4"/>
    <w:rsid w:val="008B3598"/>
    <w:rsid w:val="009C1028"/>
    <w:rsid w:val="00A07F31"/>
    <w:rsid w:val="00A14D46"/>
    <w:rsid w:val="00A469D9"/>
    <w:rsid w:val="00A570ED"/>
    <w:rsid w:val="00A60CA4"/>
    <w:rsid w:val="00A66584"/>
    <w:rsid w:val="00AB03D6"/>
    <w:rsid w:val="00AB0D7C"/>
    <w:rsid w:val="00AC42C7"/>
    <w:rsid w:val="00B71021"/>
    <w:rsid w:val="00B9641E"/>
    <w:rsid w:val="00BF08C5"/>
    <w:rsid w:val="00C00133"/>
    <w:rsid w:val="00C54B4D"/>
    <w:rsid w:val="00C7206C"/>
    <w:rsid w:val="00CC3B2C"/>
    <w:rsid w:val="00D109AE"/>
    <w:rsid w:val="00D75BC1"/>
    <w:rsid w:val="00D81E61"/>
    <w:rsid w:val="00DA57C3"/>
    <w:rsid w:val="00DA6786"/>
    <w:rsid w:val="00DB26C8"/>
    <w:rsid w:val="00DE27D5"/>
    <w:rsid w:val="00E032A6"/>
    <w:rsid w:val="00E11774"/>
    <w:rsid w:val="00EE4BC2"/>
    <w:rsid w:val="00F03921"/>
    <w:rsid w:val="00FA0888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92953"/>
    <w:pPr>
      <w:spacing w:after="200"/>
    </w:pPr>
    <w:rPr>
      <w:i/>
      <w:iCs/>
      <w:color w:val="1F497D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C0E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Excel.xls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2953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2023-07-25T05:27:00Z</dcterms:created>
  <dcterms:modified xsi:type="dcterms:W3CDTF">2023-07-25T05:27:00Z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