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3D49CC79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0D2222">
        <w:rPr>
          <w:rFonts w:ascii="Arial" w:hAnsi="Arial"/>
          <w:spacing w:val="0"/>
          <w:kern w:val="0"/>
          <w:sz w:val="24"/>
          <w:szCs w:val="24"/>
        </w:rPr>
        <w:t>3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AB63AD6" w14:textId="3469038D" w:rsidR="000D2222" w:rsidRDefault="000D2222" w:rsidP="000D2222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>Sdružení CČS + MTL</w:t>
      </w:r>
    </w:p>
    <w:p w14:paraId="7BFBFA22" w14:textId="77777777" w:rsidR="000D2222" w:rsidRPr="001C54EA" w:rsidRDefault="000D2222" w:rsidP="000D2222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1C54EA">
        <w:rPr>
          <w:rFonts w:ascii="Arial" w:eastAsia="Calibri" w:hAnsi="Arial" w:cs="Arial"/>
          <w:b/>
          <w:bCs/>
          <w:sz w:val="20"/>
          <w:szCs w:val="22"/>
        </w:rPr>
        <w:t>CÍSAŘ, ČEŠKA, SMUTNÝ s.r.o., advokátní kancelář</w:t>
      </w:r>
    </w:p>
    <w:p w14:paraId="0CB7D4C1" w14:textId="77777777" w:rsidR="000D2222" w:rsidRPr="00DA665B" w:rsidRDefault="000D2222" w:rsidP="000D2222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0369A0E5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064E2E30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004E955F" w14:textId="2A93BFD9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616CD" w:rsidRPr="00E2117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1C51E3F" w14:textId="77777777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Jaromírem Císařem, Ph.D., jednatelem</w:t>
      </w:r>
    </w:p>
    <w:p w14:paraId="622654B1" w14:textId="77777777" w:rsidR="000D2222" w:rsidRDefault="000D2222" w:rsidP="000D222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5ABE9399" w14:textId="77777777" w:rsidR="000D2222" w:rsidRPr="00E451E2" w:rsidRDefault="000D2222" w:rsidP="000D2222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5C314BA4" w14:textId="77777777" w:rsidR="000D222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6A2FC478" w14:textId="77777777" w:rsidR="000D222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45910D08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68ADB2C9" w14:textId="77777777" w:rsidR="000D2222" w:rsidRPr="00DA665B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6AB0C2C7" w14:textId="64EB98FC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616CD" w:rsidRPr="00E2117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1A2D2C81" w14:textId="77777777" w:rsidR="000D2222" w:rsidRPr="00DA665B" w:rsidRDefault="000D2222" w:rsidP="000D2222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52110D08" w14:textId="77777777" w:rsidR="000D2222" w:rsidRDefault="000D2222" w:rsidP="000D222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7F4A4426" w:rsidR="00DA18DA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 xml:space="preserve">spočívající </w:t>
      </w:r>
      <w:r w:rsidR="000D2222" w:rsidRPr="000D2222">
        <w:rPr>
          <w:rFonts w:ascii="Arial" w:hAnsi="Arial" w:cs="Arial"/>
          <w:sz w:val="20"/>
          <w:szCs w:val="20"/>
        </w:rPr>
        <w:t>v právním poradenství souvisejícím se zadávacím řízením s názvem „</w:t>
      </w:r>
      <w:bookmarkStart w:id="11" w:name="_Hlk134191069"/>
      <w:r w:rsidR="000D2222" w:rsidRPr="000D2222">
        <w:rPr>
          <w:rFonts w:ascii="Arial" w:hAnsi="Arial" w:cs="Arial"/>
          <w:i/>
          <w:iCs/>
          <w:sz w:val="20"/>
          <w:szCs w:val="20"/>
        </w:rPr>
        <w:t>Poskytování služeb technologické a cloudové infrastruktury</w:t>
      </w:r>
      <w:bookmarkEnd w:id="11"/>
      <w:r w:rsidR="000D2222" w:rsidRPr="000D2222">
        <w:rPr>
          <w:rFonts w:ascii="Arial" w:hAnsi="Arial" w:cs="Arial"/>
          <w:sz w:val="20"/>
          <w:szCs w:val="20"/>
        </w:rPr>
        <w:t>“ připravovaném v otevřeném řízení a se zadávacím řízením s názvem „</w:t>
      </w:r>
      <w:r w:rsidR="000D2222" w:rsidRPr="000D2222">
        <w:rPr>
          <w:rFonts w:ascii="Arial" w:hAnsi="Arial" w:cs="Arial"/>
          <w:i/>
          <w:iCs/>
          <w:sz w:val="20"/>
          <w:szCs w:val="20"/>
        </w:rPr>
        <w:t xml:space="preserve">Data </w:t>
      </w:r>
      <w:proofErr w:type="spellStart"/>
      <w:r w:rsidR="000D2222" w:rsidRPr="000D2222">
        <w:rPr>
          <w:rFonts w:ascii="Arial" w:hAnsi="Arial" w:cs="Arial"/>
          <w:i/>
          <w:iCs/>
          <w:sz w:val="20"/>
          <w:szCs w:val="20"/>
        </w:rPr>
        <w:t>delivery</w:t>
      </w:r>
      <w:proofErr w:type="spellEnd"/>
      <w:r w:rsidR="000D2222" w:rsidRPr="000D2222">
        <w:rPr>
          <w:rFonts w:ascii="Arial" w:hAnsi="Arial" w:cs="Arial"/>
          <w:sz w:val="20"/>
          <w:szCs w:val="20"/>
        </w:rPr>
        <w:t>“ připravovaném v jednacím řízení s uveřejněním (dále jen společně jako „</w:t>
      </w:r>
      <w:r w:rsidR="000D2222" w:rsidRPr="000D2222">
        <w:rPr>
          <w:rFonts w:ascii="Arial" w:hAnsi="Arial" w:cs="Arial"/>
          <w:b/>
          <w:bCs/>
          <w:sz w:val="20"/>
          <w:szCs w:val="20"/>
        </w:rPr>
        <w:t>Veřejné zakázky</w:t>
      </w:r>
      <w:r w:rsidR="000D2222" w:rsidRPr="000D2222">
        <w:rPr>
          <w:rFonts w:ascii="Arial" w:hAnsi="Arial" w:cs="Arial"/>
          <w:sz w:val="20"/>
          <w:szCs w:val="20"/>
        </w:rPr>
        <w:t>“), průběžné právní podpoře Objednatele spočívající v poskytování konzultací, analýz a</w:t>
      </w:r>
      <w:r w:rsidR="000D2222">
        <w:rPr>
          <w:rFonts w:ascii="Arial" w:hAnsi="Arial" w:cs="Arial"/>
          <w:sz w:val="20"/>
          <w:szCs w:val="20"/>
        </w:rPr>
        <w:t> </w:t>
      </w:r>
      <w:r w:rsidR="000D2222" w:rsidRPr="000D2222">
        <w:rPr>
          <w:rFonts w:ascii="Arial" w:hAnsi="Arial" w:cs="Arial"/>
          <w:sz w:val="20"/>
          <w:szCs w:val="20"/>
        </w:rPr>
        <w:t>právních stanovisek souvisejících se zadáním Veřejných zakázek a případným přezkumem zákonnosti postupů Objednatele v zadávacích řízeních ze strany Úřadu pro ochranu hospodářské soutěže apod.</w:t>
      </w:r>
      <w:r w:rsidR="00372A98" w:rsidRPr="00372A98">
        <w:rPr>
          <w:rFonts w:ascii="Arial" w:hAnsi="Arial" w:cs="Arial"/>
          <w:sz w:val="20"/>
          <w:szCs w:val="20"/>
        </w:rPr>
        <w:t xml:space="preserve"> Kontaktní osobou pro konkrétní požadavky je Vendula Gergelová</w:t>
      </w:r>
      <w:r w:rsidR="00372A98">
        <w:rPr>
          <w:sz w:val="20"/>
        </w:rPr>
        <w:t xml:space="preserve"> </w:t>
      </w:r>
      <w:r w:rsidR="006616CD" w:rsidRPr="00E2117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="00372A98">
        <w:rPr>
          <w:sz w:val="20"/>
        </w:rPr>
        <w:t>.</w:t>
      </w:r>
    </w:p>
    <w:p w14:paraId="49A1A6FF" w14:textId="77F3BDA9" w:rsidR="00372A98" w:rsidRPr="00372A98" w:rsidRDefault="00372A98" w:rsidP="00372A98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72A98">
        <w:rPr>
          <w:rFonts w:ascii="Arial" w:hAnsi="Arial" w:cs="Arial"/>
          <w:sz w:val="20"/>
          <w:szCs w:val="20"/>
        </w:rPr>
        <w:t>Dále jsou předmětem plnění právní služby spočívající ve zpracování analýzy rizik mobilních zařízení Xiaomi s důrazem na kybernetická rizika spojená s používáním těchto zařízení a</w:t>
      </w:r>
      <w:r>
        <w:rPr>
          <w:rFonts w:ascii="Arial" w:hAnsi="Arial" w:cs="Arial"/>
          <w:sz w:val="20"/>
          <w:szCs w:val="20"/>
        </w:rPr>
        <w:t> </w:t>
      </w:r>
      <w:r w:rsidRPr="00372A98">
        <w:rPr>
          <w:rFonts w:ascii="Arial" w:hAnsi="Arial" w:cs="Arial"/>
          <w:sz w:val="20"/>
          <w:szCs w:val="20"/>
        </w:rPr>
        <w:t xml:space="preserve">operačního systému Android. Účelem analýzy je naplnění požadavků vyplývajících z § 8 odst. 1e) a zejména odst. </w:t>
      </w:r>
      <w:proofErr w:type="gramStart"/>
      <w:r w:rsidRPr="00372A98">
        <w:rPr>
          <w:rFonts w:ascii="Arial" w:hAnsi="Arial" w:cs="Arial"/>
          <w:sz w:val="20"/>
          <w:szCs w:val="20"/>
        </w:rPr>
        <w:t>2a</w:t>
      </w:r>
      <w:proofErr w:type="gramEnd"/>
      <w:r w:rsidRPr="00372A98">
        <w:rPr>
          <w:rFonts w:ascii="Arial" w:hAnsi="Arial" w:cs="Arial"/>
          <w:sz w:val="20"/>
          <w:szCs w:val="20"/>
        </w:rPr>
        <w:t xml:space="preserve">) vyhlášky 82/2018 Sb. o kybernetické bezpečnosti. Analýza by měla také zohlednit všechna varování či doporučení NUKIB, pokud taková pro technologie Xiaomi existují. </w:t>
      </w:r>
    </w:p>
    <w:p w14:paraId="06BADC4A" w14:textId="075A8AB3" w:rsidR="00372A98" w:rsidRDefault="00372A98" w:rsidP="00372A98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sz w:val="20"/>
        </w:rPr>
      </w:pPr>
      <w:r w:rsidRPr="00372A98">
        <w:rPr>
          <w:rFonts w:ascii="Arial" w:hAnsi="Arial" w:cs="Arial"/>
          <w:sz w:val="20"/>
          <w:szCs w:val="20"/>
        </w:rPr>
        <w:t>Výstupem z analýzy bude dokument v rozsahu 10-20 A4 s výčtem prokazatelných rizik a úrovně jejich pokrytí, návrh na jejich akceptaci nebo doporučující kroky pro budoucí veřejnou zakázku na</w:t>
      </w:r>
      <w:r>
        <w:rPr>
          <w:rFonts w:ascii="Arial" w:hAnsi="Arial" w:cs="Arial"/>
          <w:sz w:val="20"/>
          <w:szCs w:val="20"/>
        </w:rPr>
        <w:t> </w:t>
      </w:r>
      <w:r w:rsidRPr="00372A98">
        <w:rPr>
          <w:rFonts w:ascii="Arial" w:hAnsi="Arial" w:cs="Arial"/>
          <w:sz w:val="20"/>
          <w:szCs w:val="20"/>
        </w:rPr>
        <w:t>nákup mobilních telefonů pro potřeby zaměstnanců resortu MPSV. Všechna doporučení na</w:t>
      </w:r>
      <w:r>
        <w:rPr>
          <w:rFonts w:ascii="Arial" w:hAnsi="Arial" w:cs="Arial"/>
          <w:sz w:val="20"/>
          <w:szCs w:val="20"/>
        </w:rPr>
        <w:t> </w:t>
      </w:r>
      <w:r w:rsidRPr="00372A98">
        <w:rPr>
          <w:rFonts w:ascii="Arial" w:hAnsi="Arial" w:cs="Arial"/>
          <w:sz w:val="20"/>
          <w:szCs w:val="20"/>
        </w:rPr>
        <w:t>omezení nákupu zařízení Xiaomi budou v souladu s českou i evropskou legislativou relevantní pro MPSV jako zadavatele veřejné zakázky. Kontaktní osobou pro technická zadání je Jan Mikulecký</w:t>
      </w:r>
      <w:r w:rsidRPr="00D82762">
        <w:rPr>
          <w:sz w:val="20"/>
        </w:rPr>
        <w:t xml:space="preserve"> </w:t>
      </w:r>
      <w:r w:rsidR="006616CD" w:rsidRPr="00E2117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D82762">
        <w:rPr>
          <w:sz w:val="20"/>
        </w:rPr>
        <w:t>.</w:t>
      </w:r>
    </w:p>
    <w:p w14:paraId="7090B96B" w14:textId="35CC383B" w:rsidR="00372A98" w:rsidRPr="00372A98" w:rsidRDefault="00372A98" w:rsidP="00372A98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72A98">
        <w:rPr>
          <w:rFonts w:ascii="Arial" w:hAnsi="Arial" w:cs="Arial"/>
          <w:sz w:val="20"/>
          <w:szCs w:val="20"/>
        </w:rPr>
        <w:t>Předmět plnění</w:t>
      </w:r>
      <w:r>
        <w:rPr>
          <w:rFonts w:ascii="Arial" w:hAnsi="Arial" w:cs="Arial"/>
          <w:sz w:val="20"/>
          <w:szCs w:val="20"/>
        </w:rPr>
        <w:t xml:space="preserve"> definovaný v čl. 2.1 a 2.2</w:t>
      </w:r>
      <w:r w:rsidRPr="00372A98">
        <w:rPr>
          <w:rFonts w:ascii="Arial" w:hAnsi="Arial" w:cs="Arial"/>
          <w:sz w:val="20"/>
          <w:szCs w:val="20"/>
        </w:rPr>
        <w:t xml:space="preserve"> je dále označován souhrnně jako „</w:t>
      </w:r>
      <w:r w:rsidRPr="00372A98">
        <w:rPr>
          <w:rFonts w:ascii="Arial" w:hAnsi="Arial" w:cs="Arial"/>
          <w:b/>
          <w:bCs/>
          <w:sz w:val="20"/>
          <w:szCs w:val="20"/>
        </w:rPr>
        <w:t>Služby</w:t>
      </w:r>
      <w:r w:rsidRPr="00372A98">
        <w:rPr>
          <w:rFonts w:ascii="Arial" w:hAnsi="Arial" w:cs="Arial"/>
          <w:sz w:val="20"/>
          <w:szCs w:val="20"/>
        </w:rPr>
        <w:t>“.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692A30D1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E526C8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26C8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>
        <w:rPr>
          <w:rFonts w:ascii="Arial" w:hAnsi="Arial" w:cs="Arial"/>
          <w:sz w:val="20"/>
          <w:szCs w:val="20"/>
        </w:rPr>
        <w:t>4</w:t>
      </w:r>
      <w:r w:rsidR="000D2222">
        <w:rPr>
          <w:rFonts w:ascii="Arial" w:hAnsi="Arial" w:cs="Arial"/>
          <w:sz w:val="20"/>
          <w:szCs w:val="20"/>
        </w:rPr>
        <w:t>50</w:t>
      </w:r>
      <w:r w:rsidR="00E51EDC">
        <w:rPr>
          <w:rFonts w:ascii="Arial" w:hAnsi="Arial" w:cs="Arial"/>
          <w:sz w:val="20"/>
          <w:szCs w:val="20"/>
        </w:rPr>
        <w:t>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7D015E91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6616CD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lastRenderedPageBreak/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4C857525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2A4419">
        <w:rPr>
          <w:rFonts w:ascii="Arial" w:hAnsi="Arial" w:cs="Arial"/>
          <w:sz w:val="20"/>
          <w:szCs w:val="20"/>
        </w:rPr>
        <w:t>ukončení zadávacích řízení k Veřejným zakázkám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45</w:t>
      </w:r>
      <w:r w:rsidR="002A4419">
        <w:rPr>
          <w:rFonts w:ascii="Arial" w:hAnsi="Arial" w:cs="Arial"/>
          <w:sz w:val="20"/>
          <w:szCs w:val="20"/>
        </w:rPr>
        <w:t>0</w:t>
      </w:r>
      <w:r w:rsidR="00500A59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</w:t>
      </w:r>
      <w:r w:rsidR="002A4419">
        <w:rPr>
          <w:rFonts w:ascii="Arial" w:hAnsi="Arial" w:cs="Arial"/>
          <w:sz w:val="20"/>
          <w:szCs w:val="20"/>
        </w:rPr>
        <w:t> </w:t>
      </w:r>
      <w:r w:rsidR="00E51EDC" w:rsidRPr="0045720B">
        <w:rPr>
          <w:rFonts w:ascii="Arial" w:hAnsi="Arial" w:cs="Arial"/>
          <w:sz w:val="20"/>
          <w:szCs w:val="20"/>
        </w:rPr>
        <w:t>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54F9091" w14:textId="77777777" w:rsidR="002A4419" w:rsidRPr="00D82841" w:rsidRDefault="002A4419" w:rsidP="002A4419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D82841">
              <w:rPr>
                <w:rFonts w:ascii="Arial" w:eastAsia="Calibri" w:hAnsi="Arial" w:cs="Arial"/>
                <w:sz w:val="20"/>
                <w:szCs w:val="22"/>
              </w:rPr>
              <w:t>CÍSAŘ, ČEŠKA, SMUTNÝ s.r.o., advokátní kancelář</w:t>
            </w:r>
            <w:r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869EC01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Jaromír Císař, Ph.D.</w:t>
            </w:r>
          </w:p>
          <w:p w14:paraId="63990D6F" w14:textId="428FE0B1" w:rsidR="001227A2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="00B0537C"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419" w:rsidRPr="00BB2C2E" w14:paraId="008E1E35" w14:textId="77777777" w:rsidTr="002A4419">
        <w:trPr>
          <w:trHeight w:val="567"/>
          <w:jc w:val="center"/>
        </w:trPr>
        <w:tc>
          <w:tcPr>
            <w:tcW w:w="4605" w:type="dxa"/>
          </w:tcPr>
          <w:p w14:paraId="7E4614D7" w14:textId="77777777" w:rsidR="002A4419" w:rsidRDefault="002A44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19A8932" w14:textId="77777777" w:rsidR="002A4419" w:rsidRDefault="002A44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9" w:rsidRPr="00BB2C2E" w14:paraId="3CB6A4AE" w14:textId="77777777" w:rsidTr="00BB2C2E">
        <w:trPr>
          <w:trHeight w:val="820"/>
          <w:jc w:val="center"/>
        </w:trPr>
        <w:tc>
          <w:tcPr>
            <w:tcW w:w="4605" w:type="dxa"/>
          </w:tcPr>
          <w:p w14:paraId="1482B0C9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780E74E4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DA735C7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4C4CB42" w14:textId="72C7034F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2A4419" w:rsidRPr="00BB2C2E" w14:paraId="7828E016" w14:textId="77777777" w:rsidTr="00BB2C2E">
        <w:trPr>
          <w:trHeight w:val="820"/>
          <w:jc w:val="center"/>
        </w:trPr>
        <w:tc>
          <w:tcPr>
            <w:tcW w:w="4605" w:type="dxa"/>
          </w:tcPr>
          <w:p w14:paraId="0C610973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7D6DCBE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8DF465A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89AE906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74F9A6D" w14:textId="77777777" w:rsidR="002A4419" w:rsidRPr="00EA1303" w:rsidRDefault="002A4419" w:rsidP="002A441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73E44360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Petr Novotný, LL.M.</w:t>
            </w:r>
          </w:p>
          <w:p w14:paraId="01B42CD7" w14:textId="16F9BCC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6616CD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1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3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6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4018">
    <w:abstractNumId w:val="24"/>
  </w:num>
  <w:num w:numId="2" w16cid:durableId="13168418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5006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785983">
    <w:abstractNumId w:val="40"/>
  </w:num>
  <w:num w:numId="5" w16cid:durableId="1288583082">
    <w:abstractNumId w:val="17"/>
  </w:num>
  <w:num w:numId="6" w16cid:durableId="1018579736">
    <w:abstractNumId w:val="12"/>
  </w:num>
  <w:num w:numId="7" w16cid:durableId="243028741">
    <w:abstractNumId w:val="38"/>
  </w:num>
  <w:num w:numId="8" w16cid:durableId="1093359833">
    <w:abstractNumId w:val="52"/>
  </w:num>
  <w:num w:numId="9" w16cid:durableId="2068726196">
    <w:abstractNumId w:val="33"/>
  </w:num>
  <w:num w:numId="10" w16cid:durableId="550582478">
    <w:abstractNumId w:val="25"/>
  </w:num>
  <w:num w:numId="11" w16cid:durableId="2020541345">
    <w:abstractNumId w:val="22"/>
  </w:num>
  <w:num w:numId="12" w16cid:durableId="1502617853">
    <w:abstractNumId w:val="35"/>
  </w:num>
  <w:num w:numId="13" w16cid:durableId="1274166265">
    <w:abstractNumId w:val="34"/>
  </w:num>
  <w:num w:numId="14" w16cid:durableId="1638873172">
    <w:abstractNumId w:val="11"/>
  </w:num>
  <w:num w:numId="15" w16cid:durableId="1351643805">
    <w:abstractNumId w:val="46"/>
  </w:num>
  <w:num w:numId="16" w16cid:durableId="1671103263">
    <w:abstractNumId w:val="14"/>
  </w:num>
  <w:num w:numId="17" w16cid:durableId="398138">
    <w:abstractNumId w:val="9"/>
  </w:num>
  <w:num w:numId="18" w16cid:durableId="1438597787">
    <w:abstractNumId w:val="4"/>
  </w:num>
  <w:num w:numId="19" w16cid:durableId="1773012150">
    <w:abstractNumId w:val="3"/>
  </w:num>
  <w:num w:numId="20" w16cid:durableId="838470400">
    <w:abstractNumId w:val="32"/>
  </w:num>
  <w:num w:numId="21" w16cid:durableId="1939098971">
    <w:abstractNumId w:val="39"/>
  </w:num>
  <w:num w:numId="22" w16cid:durableId="1445156279">
    <w:abstractNumId w:val="45"/>
  </w:num>
  <w:num w:numId="23" w16cid:durableId="20977083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787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275696">
    <w:abstractNumId w:val="10"/>
  </w:num>
  <w:num w:numId="26" w16cid:durableId="1835026031">
    <w:abstractNumId w:val="18"/>
  </w:num>
  <w:num w:numId="27" w16cid:durableId="1290627468">
    <w:abstractNumId w:val="43"/>
  </w:num>
  <w:num w:numId="28" w16cid:durableId="2129003606">
    <w:abstractNumId w:val="50"/>
  </w:num>
  <w:num w:numId="29" w16cid:durableId="1132407805">
    <w:abstractNumId w:val="51"/>
  </w:num>
  <w:num w:numId="30" w16cid:durableId="1145704989">
    <w:abstractNumId w:val="26"/>
  </w:num>
  <w:num w:numId="31" w16cid:durableId="579169786">
    <w:abstractNumId w:val="37"/>
  </w:num>
  <w:num w:numId="32" w16cid:durableId="41905189">
    <w:abstractNumId w:val="48"/>
  </w:num>
  <w:num w:numId="33" w16cid:durableId="1646667986">
    <w:abstractNumId w:val="36"/>
  </w:num>
  <w:num w:numId="34" w16cid:durableId="1881941605">
    <w:abstractNumId w:val="31"/>
  </w:num>
  <w:num w:numId="35" w16cid:durableId="318003726">
    <w:abstractNumId w:val="7"/>
  </w:num>
  <w:num w:numId="36" w16cid:durableId="994800880">
    <w:abstractNumId w:val="19"/>
  </w:num>
  <w:num w:numId="37" w16cid:durableId="759251624">
    <w:abstractNumId w:val="1"/>
  </w:num>
  <w:num w:numId="38" w16cid:durableId="1675765233">
    <w:abstractNumId w:val="0"/>
  </w:num>
  <w:num w:numId="39" w16cid:durableId="1076244999">
    <w:abstractNumId w:val="21"/>
  </w:num>
  <w:num w:numId="40" w16cid:durableId="479346957">
    <w:abstractNumId w:val="8"/>
  </w:num>
  <w:num w:numId="41" w16cid:durableId="1258825076">
    <w:abstractNumId w:val="28"/>
  </w:num>
  <w:num w:numId="42" w16cid:durableId="723062294">
    <w:abstractNumId w:val="23"/>
  </w:num>
  <w:num w:numId="43" w16cid:durableId="1111515259">
    <w:abstractNumId w:val="54"/>
  </w:num>
  <w:num w:numId="44" w16cid:durableId="43914770">
    <w:abstractNumId w:val="16"/>
  </w:num>
  <w:num w:numId="45" w16cid:durableId="20247461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115821">
    <w:abstractNumId w:val="6"/>
  </w:num>
  <w:num w:numId="47" w16cid:durableId="1165895373">
    <w:abstractNumId w:val="29"/>
  </w:num>
  <w:num w:numId="48" w16cid:durableId="1316833365">
    <w:abstractNumId w:val="42"/>
  </w:num>
  <w:num w:numId="49" w16cid:durableId="2058897830">
    <w:abstractNumId w:val="2"/>
  </w:num>
  <w:num w:numId="50" w16cid:durableId="1227910073">
    <w:abstractNumId w:val="55"/>
  </w:num>
  <w:num w:numId="51" w16cid:durableId="1695233205">
    <w:abstractNumId w:val="44"/>
  </w:num>
  <w:num w:numId="52" w16cid:durableId="379864192">
    <w:abstractNumId w:val="27"/>
  </w:num>
  <w:num w:numId="53" w16cid:durableId="547381281">
    <w:abstractNumId w:val="41"/>
  </w:num>
  <w:num w:numId="54" w16cid:durableId="223877065">
    <w:abstractNumId w:val="24"/>
  </w:num>
  <w:num w:numId="55" w16cid:durableId="147484520">
    <w:abstractNumId w:val="24"/>
  </w:num>
  <w:num w:numId="56" w16cid:durableId="1706447738">
    <w:abstractNumId w:val="15"/>
  </w:num>
  <w:num w:numId="57" w16cid:durableId="34009003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28144277">
    <w:abstractNumId w:val="24"/>
  </w:num>
  <w:num w:numId="59" w16cid:durableId="169164148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222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4419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A98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5FB2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6CD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26C8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5974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5</cp:revision>
  <cp:lastPrinted>2022-10-20T09:07:00Z</cp:lastPrinted>
  <dcterms:created xsi:type="dcterms:W3CDTF">2023-06-30T08:53:00Z</dcterms:created>
  <dcterms:modified xsi:type="dcterms:W3CDTF">2023-07-21T06:04:00Z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