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10"/>
          <w:smallCaps/>
        </w:rPr>
        <w:t>niiiiiiimm</w:t>
      </w:r>
      <w:bookmarkEnd w:id="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2"/>
        </w:rPr>
        <w:t>2009008134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rStyle w:val="CharStyle14"/>
          <w:b/>
          <w:bCs/>
        </w:rPr>
        <w:t>Dodatek č. 2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both"/>
      </w:pPr>
      <w:r>
        <w:rPr>
          <w:rStyle w:val="CharStyle3"/>
        </w:rPr>
        <w:t>ř smlouvě o nájmu nebytových prostor ze dne 30.12.2006 / dále jen „smlouva“ /, uzavřené nezi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3"/>
        </w:rPr>
        <w:t xml:space="preserve">1/ </w:t>
      </w:r>
      <w:r>
        <w:rPr>
          <w:rStyle w:val="CharStyle3"/>
          <w:b/>
          <w:bCs/>
        </w:rPr>
        <w:t xml:space="preserve">Zdravotnickou záchrannou službou Jihomoravského kraje, příspěvkovou ;’ganizací, </w:t>
      </w:r>
      <w:r>
        <w:rPr>
          <w:rStyle w:val="CharStyle3"/>
        </w:rPr>
        <w:t>IČ 00346292, se sídlem v Brně, nám. 28. října 23, zapsaná do OR u vstřikového soudu v Brně pod zn. Pr 1245, zastoupenou svým ředitelem panem Ing. • anem Klusákem, MBA jako pronajímatelem /dále jen „pronajímatel“/,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/>
        <w:jc w:val="both"/>
      </w:pPr>
      <w:r>
        <w:rPr>
          <w:rStyle w:val="CharStyle3"/>
        </w:rPr>
        <w:t xml:space="preserve">2/ panem </w:t>
      </w:r>
      <w:r>
        <w:rPr>
          <w:rStyle w:val="CharStyle3"/>
          <w:b/>
          <w:bCs/>
        </w:rPr>
        <w:t xml:space="preserve">MUDr. Rastislavem Šušolem, </w:t>
      </w:r>
      <w:r>
        <w:rPr>
          <w:rStyle w:val="CharStyle3"/>
        </w:rPr>
        <w:t xml:space="preserve">provozovatelem nestátního zdravotnického zařízení, IČ 708559^5, bytem ve Svitavách, Jana Skácela 7 jako nájemcem /dále jen -ájemce‘7. </w:t>
      </w:r>
      <w:r>
        <w:rPr>
          <w:rStyle w:val="CharStyle3"/>
          <w:color w:val="C72343"/>
        </w:rPr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3"/>
        </w:rPr>
        <w:t>ČI. 3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3"/>
        </w:rPr>
        <w:t>Pronajímatel se zavazuje, že nebytové prostory podle č. 1. této smlouvy a movité věci zodle čl. 2. Této smlouvy přenechá nájemci kjeho užívání pro jeho účely, a to v rozsahu .ždy úterý, středa a pátek od 7,00 do 13,00 hodin. Pronajímatel se současně zavazuje, že ude nájemci poskytovat služby s užíváním těchto prostor spojené, a to nepřetržitě po celou zobu nájmu podle této smlouvy, nedohodnou-li se obě strany v jednotlivém případě později nak. Službami se pro účely této smlouvy rozumí zejména dodávka elektrické energie, tepla, .ody a sběr odpadních vod, odvoz odpadků a úklid a osvětlení společných prostor.</w:t>
      </w:r>
    </w:p>
    <w:p>
      <w:pPr>
        <w:pStyle w:val="Style1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3"/>
        </w:rPr>
        <w:t>Čl. 6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both"/>
      </w:pPr>
      <w:r>
        <w:rPr>
          <w:rStyle w:val="CharStyle3"/>
        </w:rPr>
        <w:t xml:space="preserve">Nájemce se zavazuje </w:t>
      </w:r>
      <w:r>
        <w:rPr>
          <w:rStyle w:val="CharStyle3"/>
          <w:u w:val="single"/>
        </w:rPr>
        <w:t>za užíváni</w:t>
      </w:r>
      <w:r>
        <w:rPr>
          <w:rStyle w:val="CharStyle3"/>
        </w:rPr>
        <w:t xml:space="preserve"> nebytových prostor podle čl. 1 této smlouvy platit cronajímateli nájemné ve výši 28.898 - Kč ročně.</w:t>
      </w:r>
    </w:p>
    <w:p>
      <w:pPr>
        <w:pStyle w:val="Style1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3"/>
        </w:rPr>
        <w:t>Čl. 7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both"/>
      </w:pPr>
      <w:r>
        <w:rPr>
          <w:rStyle w:val="CharStyle3"/>
        </w:rPr>
        <w:t xml:space="preserve">Není-li dále ujednáno jinak, zavazuje se nájemce platit pronajímateli </w:t>
      </w:r>
      <w:r>
        <w:rPr>
          <w:rStyle w:val="CharStyle3"/>
          <w:u w:val="single"/>
        </w:rPr>
        <w:t xml:space="preserve">za užívání movitých </w:t>
      </w:r>
      <w:r>
        <w:rPr>
          <w:rStyle w:val="CharStyle3"/>
        </w:rPr>
        <w:t>.ěcí podle čl. 2 této smlouvy nájemné ve výši 13.718,-- Kč ročně.</w:t>
      </w:r>
    </w:p>
    <w:p>
      <w:pPr>
        <w:pStyle w:val="Style1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3"/>
        </w:rPr>
        <w:t>Čl. 8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Nájemce se zavazuje platit pronajímateli za služby podle čl. 3 této smlouvy úhradu ve výši nákladů, pronajímatelem na tyto služby vynaložených. Nebude-li možno tyto náklady odečítat přímo ze zvláštních měřících zařízení, stanoví se tyto náklady podle vzájemného poměru ploch, výkonu elektrických spotřebičů, apod. užívaných v domě podle čl. 1 této smlouvy nájemcem a ostatními uživateli tohoto domu.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3651250</wp:posOffset>
            </wp:positionH>
            <wp:positionV relativeFrom="margin">
              <wp:posOffset>7040880</wp:posOffset>
            </wp:positionV>
            <wp:extent cx="2304415" cy="19812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04415" cy="1981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Č 10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0" w:right="0" w:firstLine="120"/>
        <w:jc w:val="both"/>
      </w:pPr>
      <w:r>
        <w:rPr>
          <w:rStyle w:val="CharStyle3"/>
        </w:rPr>
        <w:t>‘.ájemné podle čl. 6 a čl. 7 této smlouvy je splatné na účet pronajímatele u GE Money - as. číslo 117 203 514/0600 formou pravidelných čtvrtletních splátek ve výši jedné ročního plnění a ve lhůtě vždy do konce prvního měsíce příslušného čtvrtletí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320"/>
        <w:jc w:val="left"/>
      </w:pPr>
      <w:r>
        <w:rPr>
          <w:rStyle w:val="CharStyle3"/>
        </w:rPr>
        <w:t>«i-;ářního roku, a to na základě písemného vyúčtování příslušné splátky /faktury/.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rStyle w:val="CharStyle3"/>
        </w:rPr>
        <w:t>Ů 11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20" w:right="0" w:firstLine="420"/>
        <w:jc w:val="both"/>
      </w:pPr>
      <w:r>
        <w:rPr>
          <w:rStyle w:val="CharStyle3"/>
        </w:rPr>
        <w:t>Jhrada za služby podle čl. 8 této smlouvy je splatná na účet pronajímatele podle čl. 10 : smlouvy formou pravidelných čtvrtletních záloh ve výši 6.000,-- Kč čtvrtletně a ve lhůtě z: :.eň s nájemným, a formou ročního vyúčtování po skončení příslušného kalendářního . ve lhůtě do 10-ti dnů od předložení jeho písemného vyhotovení /faktury/.</w:t>
      </w:r>
    </w:p>
    <w:p>
      <w:pPr>
        <w:pStyle w:val="Style17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620"/>
        <w:jc w:val="both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720"/>
        <w:jc w:val="both"/>
      </w:pPr>
      <w:r>
        <w:rPr>
          <w:rStyle w:val="CharStyle3"/>
        </w:rPr>
        <w:t>Tento dodatek lze změnit nebo zrušit pouze jinou písemnou dohodou obou smluvních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720"/>
        <w:jc w:val="left"/>
      </w:pPr>
      <w:r>
        <w:rPr>
          <w:rStyle w:val="CharStyle3"/>
        </w:rPr>
        <w:t>Tento dodatek nabývá účinnosti dnem 1.1.2011.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20" w:right="0" w:firstLine="420"/>
        <w:jc w:val="both"/>
      </w:pPr>
      <w:r>
        <w:rPr>
          <w:rStyle w:val="CharStyle3"/>
        </w:rPr>
        <w:t xml:space="preserve">Dáno v Brně dne 1.1.2011 ve dvou originálních písemných vyhotoveních, z nichž každá </w:t>
      </w:r>
      <w:r>
        <w:rPr>
          <w:rStyle w:val="CharStyle3"/>
          <w:smallCaps/>
        </w:rPr>
        <w:t>ze</w:t>
      </w:r>
      <w:r>
        <w:rPr>
          <w:rStyle w:val="CharStyle3"/>
        </w:rPr>
        <w:t xml:space="preserve">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940" w:firstLine="0"/>
        <w:jc w:val="right"/>
      </w:pPr>
      <w:r>
        <w:rPr>
          <w:rStyle w:val="CharStyle3"/>
          <w:b/>
          <w:bCs/>
          <w:w w:val="80"/>
          <w:shd w:val="clear" w:color="auto" w:fill="000000"/>
        </w:rPr>
        <w:t>.....​</w:t>
      </w:r>
      <w:r>
        <w:rPr>
          <w:rStyle w:val="CharStyle3"/>
          <w:b/>
          <w:bCs/>
          <w:spacing w:val="1"/>
          <w:w w:val="80"/>
          <w:shd w:val="clear" w:color="auto" w:fill="000000"/>
        </w:rPr>
        <w:t>.....</w:t>
      </w:r>
      <w:r>
        <w:rPr>
          <w:rStyle w:val="CharStyle3"/>
          <w:b/>
          <w:bCs/>
          <w:spacing w:val="2"/>
          <w:w w:val="80"/>
          <w:shd w:val="clear" w:color="auto" w:fill="000000"/>
        </w:rPr>
        <w:t>......</w:t>
      </w:r>
      <w:r>
        <w:rPr>
          <w:rStyle w:val="CharStyle3"/>
          <w:b/>
          <w:bCs/>
          <w:w w:val="80"/>
          <w:shd w:val="clear" w:color="auto" w:fill="000000"/>
        </w:rPr>
        <w:t>​</w:t>
      </w:r>
      <w:r>
        <w:rPr>
          <w:rStyle w:val="CharStyle3"/>
          <w:b/>
          <w:bCs/>
          <w:spacing w:val="2"/>
          <w:w w:val="80"/>
          <w:shd w:val="clear" w:color="auto" w:fill="000000"/>
        </w:rPr>
        <w:t>..........</w:t>
      </w:r>
      <w:r>
        <w:rPr>
          <w:rStyle w:val="CharStyle3"/>
          <w:b/>
          <w:bCs/>
          <w:spacing w:val="3"/>
          <w:w w:val="80"/>
          <w:shd w:val="clear" w:color="auto" w:fill="000000"/>
        </w:rPr>
        <w:t>......</w:t>
      </w:r>
      <w:r>
        <w:rPr>
          <w:rStyle w:val="CharStyle3"/>
          <w:b/>
          <w:bCs/>
          <w:w w:val="80"/>
          <w:shd w:val="clear" w:color="auto" w:fill="000000"/>
        </w:rPr>
        <w:t>​</w:t>
      </w:r>
      <w:r>
        <w:rPr>
          <w:rStyle w:val="CharStyle3"/>
          <w:b/>
          <w:bCs/>
          <w:spacing w:val="1"/>
          <w:w w:val="80"/>
          <w:shd w:val="clear" w:color="auto" w:fill="000000"/>
        </w:rPr>
        <w:t>.......</w:t>
      </w:r>
      <w:r>
        <w:rPr>
          <w:rStyle w:val="CharStyle3"/>
          <w:b/>
          <w:bCs/>
          <w:spacing w:val="2"/>
          <w:w w:val="80"/>
          <w:shd w:val="clear" w:color="auto" w:fill="000000"/>
        </w:rPr>
        <w:t>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margin">
                  <wp:posOffset>8568055</wp:posOffset>
                </wp:positionV>
                <wp:extent cx="557530" cy="17970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4.19999999999999pt;margin-top:674.64999999999998pt;width:43.899999999999999pt;height:14.1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CharStyle3"/>
        </w:rPr>
        <w:t>pronajímatel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6"/>
        </w:rPr>
        <w:t xml:space="preserve">z s </w:t>
      </w:r>
      <w:r>
        <w:rPr>
          <w:rStyle w:val="CharStyle26"/>
          <w:b/>
          <w:bCs/>
          <w:i/>
          <w:iCs/>
        </w:rPr>
        <w:t>movitého majetku - dr. Šušol</w:t>
      </w:r>
    </w:p>
    <w:tbl>
      <w:tblPr>
        <w:tblOverlap w:val="never"/>
        <w:jc w:val="center"/>
        <w:tblLayout w:type="fixed"/>
      </w:tblPr>
      <w:tblGrid>
        <w:gridCol w:w="2155"/>
        <w:gridCol w:w="1186"/>
        <w:gridCol w:w="3182"/>
        <w:gridCol w:w="1186"/>
        <w:gridCol w:w="523"/>
        <w:gridCol w:w="1214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DD0A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6"/>
                <w:szCs w:val="16"/>
              </w:rPr>
              <w:t xml:space="preserve">m </w:t>
            </w:r>
            <w:r>
              <w:rPr>
                <w:rStyle w:val="CharStyle29"/>
                <w:i/>
                <w:iCs/>
                <w:sz w:val="17"/>
                <w:szCs w:val="17"/>
              </w:rPr>
              <w:t>istnost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9"/>
                <w:i/>
                <w:iCs/>
                <w:sz w:val="17"/>
                <w:szCs w:val="17"/>
              </w:rPr>
              <w:t>inv.č.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9"/>
                <w:i/>
                <w:iCs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i/>
                <w:iCs/>
                <w:sz w:val="17"/>
                <w:szCs w:val="17"/>
              </w:rPr>
              <w:t>poňz.cena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29"/>
                <w:i/>
                <w:iCs/>
                <w:sz w:val="17"/>
                <w:szCs w:val="17"/>
              </w:rPr>
              <w:t>index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DD0A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i/>
                <w:iCs/>
                <w:sz w:val="17"/>
                <w:szCs w:val="17"/>
              </w:rPr>
              <w:t>podíl, cen 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zaz^a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 šatní 1 dveřová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11 425,00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2 749,14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:r3inace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Skř.sp.kuch.- dřez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24 672,00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17 083,12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zrdinace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Židle kancelářská pojízdná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3 919,04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:&lt; 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Židle kancelářská pojízdná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3 919,04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 jinace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4 156,00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2 877,65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 Jinace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Stůl psací rohový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12 764,00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8 837,91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■dinace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Stůl psací rohový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12 764,00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8 837,91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:'jinace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Stolička ordinační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2 432,00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1 683,94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 'dinace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Stolek na nástroje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450,07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:'d 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 2dveřová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4 329,63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 'dinace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20070001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Kamera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5 512,70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3 817,04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:'dinace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Kartotéka plnovysoká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13 285,00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9 198,66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z-dinace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200601337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Lehátko vyšetřovací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11 533,00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7 985,56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z-dinace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na pap. 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761,65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z-dinace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Židle kancelářská stohovatelná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1 317,65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zndinace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Tiskárna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4 071,37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srdinace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Skříňka dvoudveřová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5 429,00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3 759,09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zrdinace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20061204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Počítač s monitorem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26 310,00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18 217,29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ADD0A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CL.‘EM: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157 388,70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DD0A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DD0A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103 815,76</w:t>
            </w:r>
          </w:p>
        </w:tc>
      </w:tr>
      <w:tr>
        <w:trPr>
          <w:trHeight w:val="250" w:hRule="exact"/>
        </w:trPr>
        <w:tc>
          <w:tcPr>
            <w:gridSpan w:val="6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místnost, čekárna, WC: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zekárna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lavice s horní policí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25 321,00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6 107,27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zekárna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6 935,00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1 672,68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dvojkřeslo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5 531,00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1 334,46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dvojkřeslo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5 531,00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1 334,46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20080001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chladnička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4 775,50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1 152,18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20080002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koberec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4 403,00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1 062,31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200601489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monitor CCTV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1 033,60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cenní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skříňky spodní kuchyňské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12 645,00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3 050,86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skříňka horní k mikr.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748,90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skříňka horní prosklená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900,90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skříňka horní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1 411,43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710,78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stolek konferenční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1 380,06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stolek konferenční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1 380,06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stůl jídelní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847,34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trouba mikrovlnná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3 490,00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842,03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židle kancelářská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1 218,41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židle kancelářská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1 218,41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toal. papíru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911,00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219,80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koš nerezový 14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1 709,00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412,33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- 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koš nerezový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268,29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• - sklad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200601342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skříňová sestava -1/6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23 683,00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3 947,17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: - WC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toal. 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134,52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z - WC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na pap. 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153,39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' : - WC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200600834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zrcadlo s držákem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1 019,00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246,53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 f - WC 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toal. 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133,44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Style w:val="CharStyle29"/>
                <w:sz w:val="26"/>
                <w:szCs w:val="26"/>
              </w:rPr>
              <w:t>H - wc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na pap. 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152,16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’ : - WC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toal. 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135,53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• i - WC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200670909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zásobník na pap. 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29"/>
                <w:sz w:val="20"/>
                <w:szCs w:val="20"/>
              </w:rPr>
              <w:t>154,54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bottom w:val="single" w:sz="4"/>
            </w:tcBorders>
            <w:shd w:val="clear" w:color="auto" w:fill="ADD0A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ZEL K 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DD0A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DD0A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DD0A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145 605,50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DD0A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DD0A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Style w:val="CharStyle29"/>
                <w:b/>
                <w:bCs/>
                <w:sz w:val="19"/>
                <w:szCs w:val="19"/>
              </w:rPr>
              <w:t>33 363,85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5916295</wp:posOffset>
                </wp:positionH>
                <wp:positionV relativeFrom="paragraph">
                  <wp:posOffset>12700</wp:posOffset>
                </wp:positionV>
                <wp:extent cx="652145" cy="53657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7"/>
                              </w:rPr>
                              <w:t>137 179,61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7"/>
                              </w:rPr>
                              <w:t>3 429,49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z w:val="19"/>
                                <w:szCs w:val="19"/>
                              </w:rPr>
                              <w:t>13 717,96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65.85000000000002pt;margin-top:1.pt;width:51.350000000000001pt;height:42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7"/>
                        </w:rPr>
                        <w:t>137 179,61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7"/>
                        </w:rPr>
                        <w:t>3 429,49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sz w:val="19"/>
                          <w:szCs w:val="19"/>
                        </w:rPr>
                        <w:t>13 717,96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7"/>
          <w:b/>
          <w:bCs/>
          <w:sz w:val="19"/>
          <w:szCs w:val="19"/>
        </w:rPr>
        <w:t>: lilová cena majetku celkem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rStyle w:val="CharStyle7"/>
        </w:rPr>
        <w:t>ř emné/čtvrtletí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left"/>
      </w:pPr>
      <w:r>
        <w:rPr>
          <w:rStyle w:val="CharStyle7"/>
          <w:smallCaps/>
        </w:rPr>
        <w:t>e</w:t>
      </w:r>
      <w:r>
        <w:rPr>
          <w:rStyle w:val="CharStyle7"/>
        </w:rPr>
        <w:t xml:space="preserve"> emné/rok</w:t>
      </w:r>
    </w:p>
    <w:sectPr>
      <w:footnotePr>
        <w:pos w:val="pageBottom"/>
        <w:numFmt w:val="decimal"/>
        <w:numRestart w:val="continuous"/>
      </w:footnotePr>
      <w:pgSz w:w="11900" w:h="16840"/>
      <w:pgMar w:top="572" w:right="1532" w:bottom="1769" w:left="922" w:header="144" w:footer="134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7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4"/>
      <w:szCs w:val="84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Nadpis #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Nadpis #3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after="60"/>
      <w:ind w:firstLine="1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auto"/>
      <w:ind w:right="48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4"/>
      <w:szCs w:val="84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auto"/>
      <w:spacing w:after="300"/>
      <w:ind w:right="4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spacing w:line="209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auto"/>
      <w:spacing w:after="240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4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hanakoval</dc:creator>
  <cp:keywords/>
</cp:coreProperties>
</file>