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120" w:line="240" w:lineRule="auto"/>
        <w:ind w:left="3480" w:right="0" w:firstLine="0"/>
        <w:jc w:val="left"/>
      </w:pPr>
      <w:r>
        <w:rPr>
          <w:rStyle w:val="CharStyle20"/>
        </w:rPr>
        <w:t>Dodatek č. 1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20"/>
        </w:rPr>
        <w:t>ta - e o nájmu nebytových prostor ze dne 30.12.2006 /dále jen „smlouva“/, ve znění č. ' ze dne 1.7.2008, uzavřené mezi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rStyle w:val="CharStyle20"/>
        </w:rPr>
        <w:t>■mickou záchrannou službou Jihomoravského kraje, příspěvkovou organizací,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20" w:right="0" w:hanging="100"/>
        <w:jc w:val="both"/>
      </w:pPr>
      <w:r>
        <w:rPr>
          <w:rStyle w:val="CharStyle20"/>
        </w:rPr>
        <w:t>2-2. se sídlem v Brně, nám. 28. října 23, zastoupenou svým ředitelem panem MUDr. Kašparovským jako pronajímatelem /dále jen „pronajímatel“/, a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180" w:right="0" w:firstLine="40"/>
        <w:jc w:val="both"/>
      </w:pPr>
      <w:r>
        <w:rPr>
          <w:rStyle w:val="CharStyle20"/>
        </w:rPr>
        <w:t>- MUDr. Rastislavem Š u š o 1 e m. provozovatelem nestátního zdravotnického zařízení, -25. bytem ve Svitavách, Felberova 29 jako nájemcem /dále jen „nájemce“/.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260" w:line="240" w:lineRule="auto"/>
        <w:ind w:left="0" w:right="0" w:firstLine="0"/>
        <w:jc w:val="center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400"/>
        <w:jc w:val="left"/>
      </w:pPr>
      <w:r>
        <w:rPr>
          <w:rStyle w:val="CharStyle20"/>
        </w:rPr>
        <w:t>uvy se mění a nadále zní takto: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180" w:right="0" w:firstLine="260"/>
        <w:jc w:val="both"/>
      </w:pPr>
      <w:r>
        <w:rPr>
          <w:rStyle w:val="CharStyle20"/>
        </w:rPr>
        <w:t>ých prostorách je dále umístěn soubor movitých věcí, které tvoří jejich vnitřní vybavení Bližší specifikace těchto věcí je uvedena v tzv. soupisu pronajatého majetku, který je dodatku č. 2 k této smlouvě.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260" w:line="240" w:lineRule="auto"/>
        <w:ind w:left="0" w:right="0" w:firstLine="0"/>
        <w:jc w:val="center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20"/>
        </w:rPr>
        <w:t>smlouvy, věta třetí, se mění a nadále zní takto: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both"/>
      </w:pPr>
      <w:r>
        <w:rPr>
          <w:rStyle w:val="CharStyle20"/>
        </w:rPr>
        <w:t>ani se pro účely této smlouvy rozumí dodávka elektrické energie, tepla, vody a sběr ch vod, odvoz odpadků, úklid najatých nebytových prostor a úklid a osvětlení společných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260" w:line="240" w:lineRule="auto"/>
        <w:ind w:left="3920" w:right="0" w:firstLine="0"/>
        <w:jc w:val="lef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20"/>
        </w:rPr>
        <w:t>-mlouvy se mění a nadále zní takto: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20"/>
        </w:rPr>
        <w:t>i dále ujednáno jinak, zavazuje se nájemce platit pronajímateli za užívání movitých věcí</w:t>
      </w:r>
    </w:p>
    <w:p>
      <w:pPr>
        <w:pStyle w:val="Style1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2" w:val="left"/>
        </w:tabs>
        <w:bidi w:val="0"/>
        <w:spacing w:before="0" w:after="820" w:line="240" w:lineRule="auto"/>
        <w:ind w:left="0" w:right="0" w:firstLine="0"/>
        <w:jc w:val="left"/>
      </w:pPr>
      <w:r>
        <w:rPr>
          <w:rStyle w:val="CharStyle20"/>
        </w:rPr>
        <w:t>2 této smlouvy nájemné ve výši 5.473,- Kč ročně.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260" w:line="240" w:lineRule="auto"/>
        <w:ind w:left="3920" w:right="0" w:firstLine="0"/>
        <w:jc w:val="lef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20"/>
        </w:rPr>
        <w:t>mlouvy se mění a nadále zní takto: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580" w:line="262" w:lineRule="auto"/>
        <w:ind w:left="0" w:right="0" w:firstLine="0"/>
        <w:jc w:val="both"/>
      </w:pPr>
      <w:r>
        <w:rPr>
          <w:rStyle w:val="CharStyle20"/>
        </w:rPr>
        <w:t>Xajemce se zavazuje na svoje náklady provádět běžnou údržbu a opravy najatých h: ných prostor a movitých věcí. Drobnými opravami se pro účely této smlouvy opravy, které v jednotlivém případě nepřevyšují částku 5 000,-Kč.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300" w:line="262" w:lineRule="auto"/>
        <w:ind w:left="3560" w:right="0" w:firstLine="0"/>
        <w:jc w:val="both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580" w:line="262" w:lineRule="auto"/>
        <w:ind w:left="0" w:right="0" w:firstLine="0"/>
        <w:jc w:val="both"/>
      </w:pPr>
      <w:r>
        <w:rPr>
          <w:rStyle w:val="CharStyle20"/>
        </w:rPr>
        <w:t>Ostatní ujednání smlouvy nejsou tímto dodatkem nijak dotčena.</w:t>
      </w:r>
    </w:p>
    <w:p>
      <w:pPr>
        <w:pStyle w:val="Style1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300" w:line="262" w:lineRule="auto"/>
        <w:ind w:left="3500" w:right="0" w:firstLine="0"/>
        <w:jc w:val="both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580" w:line="264" w:lineRule="auto"/>
        <w:ind w:left="0" w:right="0" w:firstLine="160"/>
        <w:jc w:val="both"/>
      </w:pPr>
      <w:r>
        <w:rPr>
          <w:rStyle w:val="CharStyle20"/>
        </w:rPr>
        <w:t>I ento dodatek lze změnit nebo zrušit pouze jinou písemnou dohodou obou _ ních stran.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3500" w:right="0" w:firstLine="0"/>
        <w:jc w:val="both"/>
      </w:pPr>
      <w:r>
        <w:rPr>
          <w:rStyle w:val="CharStyle20"/>
        </w:rPr>
        <w:t>VIL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140"/>
        <w:jc w:val="both"/>
      </w:pPr>
      <w:r>
        <w:rPr>
          <w:rStyle w:val="CharStyle20"/>
        </w:rPr>
        <w:t>Tento dodatek nabývá účinnosti dnem 1.11.2008.</w:t>
      </w:r>
    </w:p>
    <w:p>
      <w:pPr>
        <w:pStyle w:val="Style19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300" w:line="240" w:lineRule="auto"/>
        <w:ind w:left="3500" w:right="0" w:firstLine="0"/>
        <w:jc w:val="both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40" w:line="259" w:lineRule="auto"/>
        <w:ind w:left="0" w:right="0" w:firstLine="160"/>
        <w:jc w:val="both"/>
      </w:pPr>
      <w:r>
        <w:rPr>
          <w:rStyle w:val="CharStyle20"/>
        </w:rPr>
        <w:t>Dáno v Brně dne 1.11.2008 ve dvou originálních písemných vyhotoveních, khž každá ze smluvních stran obdrží po jednom.</w:t>
      </w:r>
    </w:p>
    <w:p>
      <w:pPr>
        <w:widowControl w:val="0"/>
        <w:spacing w:line="1" w:lineRule="exact"/>
      </w:pPr>
      <w:r>
        <w:drawing>
          <wp:anchor distT="920115" distB="441960" distL="0" distR="0" simplePos="0" relativeHeight="125829378" behindDoc="0" locked="0" layoutInCell="1" allowOverlap="1">
            <wp:simplePos x="0" y="0"/>
            <wp:positionH relativeFrom="page">
              <wp:posOffset>1021080</wp:posOffset>
            </wp:positionH>
            <wp:positionV relativeFrom="paragraph">
              <wp:posOffset>920115</wp:posOffset>
            </wp:positionV>
            <wp:extent cx="1871345" cy="29845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71345" cy="2984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139700</wp:posOffset>
                </wp:positionV>
                <wp:extent cx="1627505" cy="57023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7505" cy="570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color w:val="000000"/>
                                <w:w w:val="70"/>
                                <w:sz w:val="22"/>
                                <w:szCs w:val="22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color w:val="000000"/>
                                <w:spacing w:val="1"/>
                                <w:w w:val="70"/>
                                <w:sz w:val="22"/>
                                <w:szCs w:val="22"/>
                                <w:shd w:val="clear" w:color="auto" w:fill="000000"/>
                              </w:rPr>
                              <w:t>...............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color w:val="000000"/>
                                <w:w w:val="70"/>
                                <w:sz w:val="22"/>
                                <w:szCs w:val="2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color w:val="000000"/>
                                <w:spacing w:val="1"/>
                                <w:w w:val="70"/>
                                <w:sz w:val="22"/>
                                <w:szCs w:val="22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color w:val="000000"/>
                                <w:spacing w:val="2"/>
                                <w:w w:val="70"/>
                                <w:sz w:val="22"/>
                                <w:szCs w:val="22"/>
                                <w:shd w:val="clear" w:color="auto" w:fill="000000"/>
                              </w:rPr>
                              <w:t>..............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color w:val="000000"/>
                                <w:w w:val="70"/>
                                <w:sz w:val="22"/>
                                <w:szCs w:val="22"/>
                                <w:shd w:val="clear" w:color="auto" w:fill="000000"/>
                              </w:rPr>
                              <w:t>​....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color w:val="000000"/>
                                <w:spacing w:val="1"/>
                                <w:w w:val="70"/>
                                <w:sz w:val="22"/>
                                <w:szCs w:val="22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w w:val="7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CharStyle3"/>
                                <w:color w:val="000000"/>
                                <w:shd w:val="clear" w:color="auto" w:fill="000000"/>
                              </w:rPr>
                              <w:t>​..................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3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5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"/>
                                <w:color w:val="000000"/>
                                <w:shd w:val="clear" w:color="auto" w:fill="000000"/>
                              </w:rPr>
                              <w:t>​......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  <w:color w:val="000000"/>
                                <w:shd w:val="clear" w:color="auto" w:fill="000000"/>
                              </w:rPr>
                              <w:t>.......​.....​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3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4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"/>
                                <w:color w:val="000000"/>
                                <w:shd w:val="clear" w:color="auto" w:fill="000000"/>
                              </w:rPr>
                              <w:t>​.........​......​........​....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  <w:color w:val="000000"/>
                                <w:shd w:val="clear" w:color="auto" w:fill="000000"/>
                              </w:rPr>
                              <w:t>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5.299999999999997pt;margin-top:11.pt;width:128.15000000000001pt;height:44.8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  <w:b/>
                          <w:bCs/>
                          <w:color w:val="000000"/>
                          <w:w w:val="70"/>
                          <w:sz w:val="22"/>
                          <w:szCs w:val="22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3"/>
                          <w:b/>
                          <w:bCs/>
                          <w:color w:val="000000"/>
                          <w:spacing w:val="1"/>
                          <w:w w:val="70"/>
                          <w:sz w:val="22"/>
                          <w:szCs w:val="22"/>
                          <w:shd w:val="clear" w:color="auto" w:fill="000000"/>
                        </w:rPr>
                        <w:t>...............</w:t>
                      </w:r>
                      <w:r>
                        <w:rPr>
                          <w:rStyle w:val="CharStyle3"/>
                          <w:b/>
                          <w:bCs/>
                          <w:color w:val="000000"/>
                          <w:w w:val="70"/>
                          <w:sz w:val="22"/>
                          <w:szCs w:val="22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b/>
                          <w:bCs/>
                          <w:color w:val="000000"/>
                          <w:spacing w:val="1"/>
                          <w:w w:val="70"/>
                          <w:sz w:val="22"/>
                          <w:szCs w:val="22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"/>
                          <w:b/>
                          <w:bCs/>
                          <w:color w:val="000000"/>
                          <w:spacing w:val="2"/>
                          <w:w w:val="70"/>
                          <w:sz w:val="22"/>
                          <w:szCs w:val="22"/>
                          <w:shd w:val="clear" w:color="auto" w:fill="000000"/>
                        </w:rPr>
                        <w:t>..............</w:t>
                      </w:r>
                      <w:r>
                        <w:rPr>
                          <w:rStyle w:val="CharStyle3"/>
                          <w:b/>
                          <w:bCs/>
                          <w:color w:val="000000"/>
                          <w:w w:val="70"/>
                          <w:sz w:val="22"/>
                          <w:szCs w:val="22"/>
                          <w:shd w:val="clear" w:color="auto" w:fill="000000"/>
                        </w:rPr>
                        <w:t>​....</w:t>
                      </w:r>
                      <w:r>
                        <w:rPr>
                          <w:rStyle w:val="CharStyle3"/>
                          <w:b/>
                          <w:bCs/>
                          <w:color w:val="000000"/>
                          <w:spacing w:val="1"/>
                          <w:w w:val="70"/>
                          <w:sz w:val="22"/>
                          <w:szCs w:val="22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"/>
                          <w:b/>
                          <w:bCs/>
                          <w:w w:val="7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CharStyle3"/>
                          <w:color w:val="000000"/>
                          <w:shd w:val="clear" w:color="auto" w:fill="000000"/>
                        </w:rPr>
                        <w:t>​..................</w:t>
                      </w:r>
                      <w:r>
                        <w:rPr>
                          <w:rStyle w:val="CharStyle3"/>
                          <w:color w:val="000000"/>
                          <w:spacing w:val="1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3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color w:val="000000"/>
                          <w:spacing w:val="4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"/>
                          <w:color w:val="000000"/>
                          <w:spacing w:val="5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"/>
                          <w:color w:val="000000"/>
                          <w:shd w:val="clear" w:color="auto" w:fill="000000"/>
                        </w:rPr>
                        <w:t>​......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  <w:color w:val="000000"/>
                          <w:shd w:val="clear" w:color="auto" w:fill="000000"/>
                        </w:rPr>
                        <w:t>.......​.....​</w:t>
                      </w:r>
                      <w:r>
                        <w:rPr>
                          <w:rStyle w:val="CharStyle3"/>
                          <w:color w:val="000000"/>
                          <w:spacing w:val="3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3"/>
                          <w:color w:val="000000"/>
                          <w:spacing w:val="4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"/>
                          <w:color w:val="000000"/>
                          <w:shd w:val="clear" w:color="auto" w:fill="000000"/>
                        </w:rPr>
                        <w:t>​.........​......​........​....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  <w:color w:val="000000"/>
                          <w:shd w:val="clear" w:color="auto" w:fill="000000"/>
                        </w:rPr>
                        <w:t>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ragraph">
                  <wp:posOffset>1197610</wp:posOffset>
                </wp:positionV>
                <wp:extent cx="1252855" cy="25019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2855" cy="250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3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pro</w:t>
                            </w:r>
                            <w:r>
                              <w:rPr>
                                <w:rStyle w:val="CharStyle3"/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"/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3"/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  <w:shd w:val="clear" w:color="auto" w:fill="00000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20.pt;margin-top:94.299999999999997pt;width:98.650000000000006pt;height:19.6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CharStyle3"/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pro</w:t>
                      </w:r>
                      <w:r>
                        <w:rPr>
                          <w:rStyle w:val="CharStyle3"/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"/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3"/>
                          <w:rFonts w:ascii="Times New Roman" w:eastAsia="Times New Roman" w:hAnsi="Times New Roman" w:cs="Times New Roman"/>
                          <w:color w:val="000000"/>
                          <w:spacing w:val="7"/>
                          <w:sz w:val="24"/>
                          <w:szCs w:val="24"/>
                          <w:shd w:val="clear" w:color="auto" w:fill="00000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447675" distB="0" distL="0" distR="0" simplePos="0" relativeHeight="125829379" behindDoc="0" locked="0" layoutInCell="1" allowOverlap="1">
            <wp:simplePos x="0" y="0"/>
            <wp:positionH relativeFrom="page">
              <wp:posOffset>4319270</wp:posOffset>
            </wp:positionH>
            <wp:positionV relativeFrom="paragraph">
              <wp:posOffset>447675</wp:posOffset>
            </wp:positionV>
            <wp:extent cx="1901825" cy="1212850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901825" cy="1212850"/>
                    </a:xfrm>
                    <a:prstGeom prst="rect"/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" w:right="0" w:firstLine="0"/>
        <w:jc w:val="left"/>
      </w:pPr>
      <w:r>
        <w:rPr>
          <w:rStyle w:val="CharStyle22"/>
          <w:b/>
          <w:bCs/>
          <w:i/>
          <w:iCs/>
        </w:rPr>
        <w:t>» ~. tého majetku - Dr. Sušol</w:t>
      </w:r>
    </w:p>
    <w:tbl>
      <w:tblPr>
        <w:tblOverlap w:val="never"/>
        <w:jc w:val="center"/>
        <w:tblLayout w:type="fixed"/>
      </w:tblPr>
      <w:tblGrid>
        <w:gridCol w:w="1258"/>
        <w:gridCol w:w="1181"/>
        <w:gridCol w:w="3178"/>
        <w:gridCol w:w="1181"/>
        <w:gridCol w:w="518"/>
        <w:gridCol w:w="1205"/>
      </w:tblGrid>
      <w:tr>
        <w:trPr>
          <w:trHeight w:val="259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4"/>
                <w:i/>
                <w:iCs/>
                <w:sz w:val="17"/>
                <w:szCs w:val="17"/>
              </w:rPr>
              <w:t>inv.č.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4"/>
                <w:i/>
                <w:iCs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7"/>
                <w:szCs w:val="17"/>
              </w:rPr>
            </w:pPr>
            <w:r>
              <w:rPr>
                <w:rStyle w:val="CharStyle24"/>
                <w:i/>
                <w:iCs/>
                <w:sz w:val="17"/>
                <w:szCs w:val="17"/>
              </w:rPr>
              <w:t>poňz.cena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24"/>
                <w:i/>
                <w:iCs/>
                <w:sz w:val="17"/>
                <w:szCs w:val="17"/>
              </w:rPr>
              <w:t>index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17"/>
                <w:szCs w:val="17"/>
              </w:rPr>
            </w:pPr>
            <w:r>
              <w:rPr>
                <w:rStyle w:val="CharStyle24"/>
                <w:i/>
                <w:iCs/>
                <w:sz w:val="17"/>
                <w:szCs w:val="17"/>
              </w:rPr>
              <w:t>podíl, cena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BBsr</w:t>
            </w:r>
            <w:r>
              <w:rPr>
                <w:rStyle w:val="CharStyle24"/>
                <w:vertAlign w:val="superscript"/>
              </w:rPr>
              <w:t>-</w:t>
            </w:r>
            <w:r>
              <w:rPr>
                <w:rStyle w:val="CharStyle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200600651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Stěna věšáková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6 935,00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4"/>
              </w:rPr>
              <w:t>898,44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200600652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Lavice s horní policí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4"/>
              </w:rPr>
              <w:t>25 321,00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4"/>
              </w:rPr>
              <w:t>3 280,39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•ara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200600649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Skříň šatní 1 dveřová 1/2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4"/>
              </w:rPr>
              <w:t>11 425,00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4"/>
              </w:rPr>
              <w:t>5 712,50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bnrace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200600692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Skř.sp.kuch.- dřez 1/4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4"/>
              </w:rPr>
              <w:t>24 672,00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4"/>
              </w:rPr>
              <w:t>6 168,00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200600626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Židle kancelářská pojízdná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5 660,00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4"/>
              </w:rPr>
              <w:t>1 199,25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200600627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Židle kancelářská pojízdná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5 660,00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0 21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4"/>
              </w:rPr>
              <w:t>1 199,25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200600684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Stěna věšáková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4 156,00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4"/>
              </w:rPr>
              <w:t>880,58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200600687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Stůl psací rohový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4"/>
              </w:rPr>
              <w:t>12 764,00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4"/>
              </w:rPr>
              <w:t>2 704,45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200600688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Stůl psací rohový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4"/>
              </w:rPr>
              <w:t>12 764,00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4"/>
              </w:rPr>
              <w:t>2 704,45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200600689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Stolička ordinační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2 432,00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4"/>
              </w:rPr>
              <w:t>515,30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200600308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Stolek na nástroje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4"/>
              </w:rPr>
              <w:t>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4"/>
              </w:rPr>
              <w:t>137,72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200600691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Skříň 2dveřová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6 253,00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4"/>
              </w:rPr>
              <w:t>1 324,89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4"/>
              </w:rPr>
              <w:t>20070001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Kamera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5 512,70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4"/>
              </w:rPr>
              <w:t>1 168,04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200600957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Kartotéka plnovysoká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4"/>
              </w:rPr>
              <w:t>13 285,00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4"/>
              </w:rPr>
              <w:t>2 814,84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200601337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Lehátko vyšetřovací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4"/>
              </w:rPr>
              <w:t>11 533,00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4"/>
              </w:rPr>
              <w:t>2 443,63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200601042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Židle kancelářská stohovatelná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1 903,00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4"/>
              </w:rPr>
              <w:t>403,21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4"/>
              </w:rPr>
              <w:t>20061195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Tiskárna laserová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5 322,00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4"/>
              </w:rPr>
              <w:t>1 127,63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4"/>
              </w:rPr>
              <w:t>20061204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Počítač s monitorem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4"/>
              </w:rPr>
              <w:t>26 310,00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4"/>
              </w:rPr>
              <w:t>5 574,59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24"/>
              </w:rPr>
              <w:t>í místnos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200600609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Dvoj křeslo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5 531,00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4"/>
              </w:rPr>
              <w:t>715,52</w:t>
            </w:r>
          </w:p>
        </w:tc>
      </w:tr>
      <w:tr>
        <w:trPr>
          <w:trHeight w:val="245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200600610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Dvojkřeslo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5 531,00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4"/>
              </w:rPr>
              <w:t>715,52</w:t>
            </w:r>
          </w:p>
        </w:tc>
      </w:tr>
      <w:tr>
        <w:trPr>
          <w:trHeight w:val="245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4"/>
              </w:rPr>
              <w:t>20080001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Chladnička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4 775,50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4"/>
              </w:rPr>
              <w:t>617,78</w:t>
            </w:r>
          </w:p>
        </w:tc>
      </w:tr>
      <w:tr>
        <w:trPr>
          <w:trHeight w:val="245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4"/>
              </w:rPr>
              <w:t>20080002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Koberec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4 403,00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4"/>
              </w:rPr>
              <w:t>569,59</w:t>
            </w:r>
          </w:p>
        </w:tc>
      </w:tr>
      <w:tr>
        <w:trPr>
          <w:trHeight w:val="250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200601489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Monitor CCTV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4 284,00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4"/>
              </w:rPr>
              <w:t>554,20</w:t>
            </w:r>
          </w:p>
        </w:tc>
      </w:tr>
      <w:tr>
        <w:trPr>
          <w:trHeight w:val="250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200600704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Skříňky spodní kuch.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4"/>
              </w:rPr>
              <w:t>12 645,00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4"/>
              </w:rPr>
              <w:t>1 635,82</w:t>
            </w:r>
          </w:p>
        </w:tc>
      </w:tr>
      <w:tr>
        <w:trPr>
          <w:trHeight w:val="254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200600705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Skříňka horní k mikr.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3 104,00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4"/>
              </w:rPr>
              <w:t>401,55</w:t>
            </w:r>
          </w:p>
        </w:tc>
      </w:tr>
      <w:tr>
        <w:trPr>
          <w:trHeight w:val="250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200600706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Skříňka horní prosklená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3 734,00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4"/>
              </w:rPr>
              <w:t>483,05</w:t>
            </w:r>
          </w:p>
        </w:tc>
      </w:tr>
      <w:tr>
        <w:trPr>
          <w:trHeight w:val="245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200600707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Skříňka horní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5 850,00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4"/>
              </w:rPr>
              <w:t>756,79</w:t>
            </w:r>
          </w:p>
        </w:tc>
      </w:tr>
      <w:tr>
        <w:trPr>
          <w:trHeight w:val="245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200600685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Stěna věšáková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2 946,00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4"/>
              </w:rPr>
              <w:t>381,11</w:t>
            </w:r>
          </w:p>
        </w:tc>
      </w:tr>
      <w:tr>
        <w:trPr>
          <w:trHeight w:val="245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200600708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Stůl jídelní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3 512,00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4"/>
              </w:rPr>
              <w:t>454,33</w:t>
            </w:r>
          </w:p>
        </w:tc>
      </w:tr>
      <w:tr>
        <w:trPr>
          <w:trHeight w:val="245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200600709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Stolek konferenční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5 720,00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4"/>
              </w:rPr>
              <w:t>739,97</w:t>
            </w:r>
          </w:p>
        </w:tc>
      </w:tr>
      <w:tr>
        <w:trPr>
          <w:trHeight w:val="254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200600710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Stolek konferenční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5 720,00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4"/>
              </w:rPr>
              <w:t>739,97</w:t>
            </w:r>
          </w:p>
        </w:tc>
      </w:tr>
      <w:tr>
        <w:trPr>
          <w:trHeight w:val="250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200600330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Trouba mikrovlnná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3 490,00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4"/>
              </w:rPr>
              <w:t>451,48</w:t>
            </w:r>
          </w:p>
        </w:tc>
      </w:tr>
      <w:tr>
        <w:trPr>
          <w:trHeight w:val="250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200600711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Židle kancelářská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5 050,00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4"/>
              </w:rPr>
              <w:t>653,29</w:t>
            </w:r>
          </w:p>
        </w:tc>
      </w:tr>
      <w:tr>
        <w:trPr>
          <w:trHeight w:val="240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200600712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Židle kancelářská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24"/>
              </w:rPr>
              <w:t>5 050,00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4"/>
              </w:rPr>
              <w:t>653,29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s« 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200601342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Skříňová sestava -1/6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4"/>
              </w:rPr>
              <w:t>23 683,00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0,17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4"/>
              </w:rPr>
              <w:t>3 947,96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4"/>
                <w:b/>
                <w:bCs/>
                <w:i/>
                <w:iCs/>
              </w:rPr>
              <w:t>287 586,20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4"/>
                <w:b/>
                <w:bCs/>
                <w:i/>
                <w:iCs/>
              </w:rPr>
              <w:t>54 728,39</w:t>
            </w:r>
          </w:p>
        </w:tc>
      </w:tr>
    </w:tbl>
    <w:p>
      <w:pPr>
        <w:widowControl w:val="0"/>
        <w:spacing w:after="71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12700</wp:posOffset>
                </wp:positionV>
                <wp:extent cx="731520" cy="149225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152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8"/>
                                <w:b/>
                                <w:bCs/>
                              </w:rPr>
                              <w:t>5 472,84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5.80000000000001pt;margin-top:1.pt;width:57.600000000000001pt;height:11.7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  <w:b/>
                          <w:bCs/>
                        </w:rPr>
                        <w:t>5 472,84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18"/>
          <w:i/>
          <w:iCs/>
          <w:sz w:val="17"/>
          <w:szCs w:val="17"/>
        </w:rPr>
        <w:t>-e</w:t>
      </w:r>
      <w:r>
        <w:rPr>
          <w:rStyle w:val="CharStyle18"/>
          <w:b/>
          <w:bCs/>
        </w:rPr>
        <w:t xml:space="preserve"> movitých věcí za rok</w:t>
      </w:r>
    </w:p>
    <w:sectPr>
      <w:footnotePr>
        <w:pos w:val="pageBottom"/>
        <w:numFmt w:val="decimal"/>
        <w:numRestart w:val="continuous"/>
      </w:footnotePr>
      <w:pgSz w:w="11900" w:h="16840"/>
      <w:pgMar w:top="1268" w:right="1892" w:bottom="2599" w:left="1022" w:header="840" w:footer="217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8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4E96CF"/>
      <w:sz w:val="18"/>
      <w:szCs w:val="18"/>
      <w:u w:val="none"/>
    </w:rPr>
  </w:style>
  <w:style w:type="character" w:customStyle="1" w:styleId="CharStyle18">
    <w:name w:val="Základní text (2)_"/>
    <w:basedOn w:val="DefaultParagraphFont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Základní text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2">
    <w:name w:val="Titulek tabulky_"/>
    <w:basedOn w:val="DefaultParagraphFont"/>
    <w:link w:val="Style21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single"/>
    </w:rPr>
  </w:style>
  <w:style w:type="character" w:customStyle="1" w:styleId="CharStyle24">
    <w:name w:val="Jiné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E96CF"/>
      <w:sz w:val="18"/>
      <w:szCs w:val="18"/>
      <w:u w:val="none"/>
    </w:rPr>
  </w:style>
  <w:style w:type="paragraph" w:customStyle="1" w:styleId="Style17">
    <w:name w:val="Základní text (2)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9">
    <w:name w:val="Základní text"/>
    <w:basedOn w:val="Normal"/>
    <w:link w:val="CharStyle20"/>
    <w:pPr>
      <w:widowControl w:val="0"/>
      <w:shd w:val="clear" w:color="auto" w:fill="auto"/>
      <w:spacing w:after="37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1">
    <w:name w:val="Titulek tabulky"/>
    <w:basedOn w:val="Normal"/>
    <w:link w:val="CharStyle22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single"/>
    </w:rPr>
  </w:style>
  <w:style w:type="paragraph" w:customStyle="1" w:styleId="Style23">
    <w:name w:val="Jiné"/>
    <w:basedOn w:val="Normal"/>
    <w:link w:val="CharStyle2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hanakoval</dc:creator>
  <cp:keywords/>
</cp:coreProperties>
</file>