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sz w:val="26"/>
          <w:szCs w:val="26"/>
        </w:rPr>
      </w:pPr>
      <w:r>
        <w:rPr>
          <w:rStyle w:val="CharStyle3"/>
          <w:b/>
          <w:bCs/>
          <w:sz w:val="26"/>
          <w:szCs w:val="26"/>
        </w:rPr>
        <w:t>o nájmu nebytových prostor, uzavřená mezi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620" w:right="0" w:firstLine="480"/>
        <w:jc w:val="both"/>
      </w:pPr>
      <w:r>
        <w:rPr>
          <w:rStyle w:val="CharStyle3"/>
        </w:rPr>
        <w:t>Zdravotnickou záchrannou službou Jihomoravského kraje, příspěvkovou žací, IČ 00346292, se sídlem v Brně, nám. 28. října 23, zastoupenou svým cm panem MUDr. Luďkem Kašparovským jako pronajímatelem /dále onajímatel“/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620" w:right="0" w:firstLine="140"/>
        <w:jc w:val="both"/>
      </w:pPr>
      <w:r>
        <w:rPr>
          <w:rStyle w:val="CharStyle3"/>
        </w:rPr>
        <w:t xml:space="preserve">2 panem MUDr. Rastislavem Š u š o 1 e m , provozovatelem nestátního mického zařízení, IČ 708559^5, bytem ve Svitavách, Felberova 29 jako .em / dále jen „ nájemce “/. </w:t>
      </w:r>
      <w:r>
        <w:rPr>
          <w:rStyle w:val="CharStyle3"/>
          <w:color w:val="D34458"/>
        </w:rPr>
        <w:t>3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 w:line="262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62" w:lineRule="auto"/>
        <w:ind w:left="260" w:right="0" w:firstLine="560"/>
        <w:jc w:val="both"/>
      </w:pPr>
      <w:r>
        <w:rPr>
          <w:rStyle w:val="CharStyle3"/>
        </w:rPr>
        <w:t xml:space="preserve">Pronajímatel je oprávněn nakládat na základě svého užívacího práva s em ve vlastnictví Jihomoravského kraje v Blansku, K.H. Máchy 17, umístěném ■ zemku p.č. 3791, k.ú. Blansko. Na prvním nadzemním podlaží této nemovitosti -místěn mimo jiné </w:t>
      </w:r>
      <w:r>
        <w:rPr>
          <w:rStyle w:val="CharStyle3"/>
          <w:u w:val="single"/>
        </w:rPr>
        <w:t>soubor místností</w:t>
      </w:r>
      <w:r>
        <w:rPr>
          <w:rStyle w:val="CharStyle3"/>
        </w:rPr>
        <w:t xml:space="preserve"> o celkové výměře 107.84 m2, jejichž bližší ..Zikace je uvedena v příloze č. 1, která je nedílnou součástí této smlouvy. Tento mor místností slouží k provozování LSPP, a je tedy určen k jiným, než bytovým dům.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460"/>
        <w:jc w:val="both"/>
      </w:pPr>
      <w:r>
        <w:rPr>
          <w:rStyle w:val="CharStyle3"/>
        </w:rPr>
        <w:t xml:space="preserve">V nebytových prostorách je dále umístěn </w:t>
      </w:r>
      <w:r>
        <w:rPr>
          <w:rStyle w:val="CharStyle3"/>
          <w:u w:val="single"/>
        </w:rPr>
        <w:t>soubor movitých věcí</w:t>
      </w:r>
      <w:r>
        <w:rPr>
          <w:rStyle w:val="CharStyle3"/>
        </w:rPr>
        <w:t xml:space="preserve">, které tvoří jejich </w:t>
      </w:r>
      <w:r>
        <w:rPr>
          <w:rStyle w:val="CharStyle3"/>
          <w:u w:val="single"/>
        </w:rPr>
        <w:t>vnitřní vybaven</w:t>
      </w:r>
      <w:r>
        <w:rPr>
          <w:rStyle w:val="CharStyle3"/>
        </w:rPr>
        <w:t xml:space="preserve">í a </w:t>
      </w:r>
      <w:r>
        <w:rPr>
          <w:rStyle w:val="CharStyle3"/>
          <w:u w:val="single"/>
        </w:rPr>
        <w:t>zařízení.</w:t>
      </w:r>
      <w:r>
        <w:rPr>
          <w:rStyle w:val="CharStyle3"/>
        </w:rPr>
        <w:t xml:space="preserve"> Bližší specifikace těchto věcí je uvedena v příloze č. 2, .ráje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/>
        <w:ind w:left="4500" w:right="0" w:firstLine="0"/>
        <w:jc w:val="both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460"/>
        <w:jc w:val="both"/>
      </w:pPr>
      <w:r>
        <w:rPr>
          <w:rStyle w:val="CharStyle3"/>
        </w:rPr>
        <w:t>Pronajímatel se zavazuje, že nebytové prostory podle čL 1 této smlouvy a movité ěci podle čl. 2 této smlouvy přenechá nájemci k jeho užívání pro jeho účely, a to rozsahu vždy úterý a pátek od 7,00 hodin do 15,30 hodin. Pronajímatel se současně zavazuje, že bude nájemci poskytovat služby s užíváním těchto prostor spojené, a to nepřetržitě po celou dobu nájmu podle této smlouvy, nedohodnou-li se obě strany jednotlivém případě později jinak. Službami se pro účely této smlouvy rozumí zejména dodávka elektrické energie, tepla, vody a sběr odpadních vod. odvoz odpadků a úklid a osvětlení společných prostor.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rStyle w:val="CharStyle3"/>
        </w:rPr>
        <w:t>Nájemce se zavazuje užívat najaté nebytové prostory podle či. 1 této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54" w:lineRule="auto"/>
        <w:ind w:left="600" w:right="0" w:firstLine="20"/>
        <w:jc w:val="both"/>
      </w:pPr>
      <w:r>
        <w:rPr>
          <w:rStyle w:val="CharStyle3"/>
        </w:rPr>
        <w:t>zně k provozování svého nestátního zdravotnického zařízení, a činnostem s tím ým.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57" w:lineRule="auto"/>
        <w:ind w:left="240" w:right="0" w:firstLine="380"/>
        <w:jc w:val="both"/>
      </w:pPr>
      <w:r>
        <w:rPr>
          <w:rStyle w:val="CharStyle3"/>
        </w:rPr>
        <w:t xml:space="preserve">Nájemce se zavazuje nepřenechávat najaté nebytové prostory podle čl. 1 této </w:t>
      </w:r>
      <w:r>
        <w:rPr>
          <w:rStyle w:val="CharStyle3"/>
          <w:color w:val="8A919C"/>
        </w:rPr>
        <w:t xml:space="preserve">■fa </w:t>
      </w:r>
      <w:r>
        <w:rPr>
          <w:rStyle w:val="CharStyle3"/>
        </w:rPr>
        <w:t>jvy bez předchozího písemného souhlasu pronajímatele k užívání jiným 'am.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rStyle w:val="CharStyle3"/>
        </w:rPr>
        <w:t xml:space="preserve">Nájemce se zavazuje </w:t>
      </w:r>
      <w:r>
        <w:rPr>
          <w:rStyle w:val="CharStyle3"/>
          <w:u w:val="single"/>
        </w:rPr>
        <w:t>za užívání nebytových prostor</w:t>
      </w:r>
      <w:r>
        <w:rPr>
          <w:rStyle w:val="CharStyle3"/>
        </w:rPr>
        <w:t xml:space="preserve"> podle čl. 1 této smlouvy platit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0" w:right="0" w:firstLine="460"/>
        <w:jc w:val="both"/>
      </w:pPr>
      <w:r>
        <w:rPr>
          <w:rStyle w:val="CharStyle3"/>
        </w:rPr>
        <w:t xml:space="preserve">ajímateli </w:t>
      </w:r>
      <w:r>
        <w:rPr>
          <w:rStyle w:val="CharStyle3"/>
          <w:u w:val="single"/>
        </w:rPr>
        <w:t>nájemné</w:t>
      </w:r>
      <w:r>
        <w:rPr>
          <w:rStyle w:val="CharStyle3"/>
        </w:rPr>
        <w:t xml:space="preserve"> ve výši 9 844,-Kč ročně.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rStyle w:val="CharStyle3"/>
        </w:rPr>
        <w:t xml:space="preserve">Není-li dále ujednáno jinak, zavazuje se nájemce platit pronajímateli </w:t>
      </w:r>
      <w:r>
        <w:rPr>
          <w:rStyle w:val="CharStyle3"/>
          <w:u w:val="single"/>
        </w:rPr>
        <w:t>za užívání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0" w:right="0" w:firstLine="340"/>
        <w:jc w:val="both"/>
      </w:pPr>
      <w:r>
        <w:rPr>
          <w:rStyle w:val="CharStyle3"/>
          <w:u w:val="single"/>
        </w:rPr>
        <w:t>■■ itvch věcí</w:t>
      </w:r>
      <w:r>
        <w:rPr>
          <w:rStyle w:val="CharStyle3"/>
        </w:rPr>
        <w:t xml:space="preserve"> podle čl. 2 této smlouvy nájemné ve výši 3 876,- Kč ročně.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340" w:right="0" w:firstLine="140"/>
        <w:jc w:val="both"/>
      </w:pPr>
      <w:r>
        <w:rPr>
          <w:rStyle w:val="CharStyle3"/>
        </w:rPr>
        <w:t>Nájemce se zavazuje platit pronajímateli za služby podle čl. 3 této smlouvy adu ve výši nákladů, pronajímatelem na tyto služby vynaložených. Nebude-li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- )žno tyto náklady odečítat přímo ze zvláštních měřících zařízení, stanoví se tyto sklady podle vzájemného poměru ploch, užívaných v domě podle čl. 1 této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0" w:right="0" w:firstLine="140"/>
        <w:jc w:val="both"/>
      </w:pPr>
      <w:r>
        <w:rPr>
          <w:rStyle w:val="CharStyle3"/>
        </w:rPr>
        <w:t xml:space="preserve">ajemcem a ostatními uživateli tohoto domu, s přihlédnutím k podílu nájemce na </w:t>
      </w:r>
      <w:r>
        <w:rPr>
          <w:rStyle w:val="CharStyle3"/>
        </w:rPr>
        <w:t>-žívání najatých nebytových prostor o velikosti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246" w:right="2196" w:bottom="1691" w:left="574" w:header="1818" w:footer="126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V závislosti na znehodnocování měny, v níž je sjednáno nájemné podle čl. 6 a čl. 7 této smlouvy, inflací, je pronajímatel oprávněn zvyšovat toto nájemné svým </w:t>
      </w:r>
      <w:r>
        <w:rPr>
          <w:rStyle w:val="CharStyle3"/>
        </w:rPr>
        <w:t>ednostranným opatřením, a to vždy k 1. 1. každého kalendářního roku pro celý následující rok a o částku, odpovídající celkovému indexu inflace, jak bude vyhlašován příslušným orgánem státní správy. Nájemce se zavazuje respektovat toto 'patření pronajímatele jako součást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rStyle w:val="CharStyle3"/>
        </w:rPr>
        <w:t xml:space="preserve">Nájemné podle čl. 6 a čl. 7 této smlouvy je splatné na účet pronajímatele u GE </w:t>
      </w:r>
      <w:r>
        <w:rPr>
          <w:rStyle w:val="CharStyle3"/>
          <w:color w:val="8A919C"/>
        </w:rPr>
        <w:t xml:space="preserve">' </w:t>
      </w:r>
      <w:r>
        <w:rPr>
          <w:rStyle w:val="CharStyle3"/>
        </w:rPr>
        <w:t xml:space="preserve">'ney bank a.s. číslo 0117203514/0600 formou pravidelných měsíčních splátek ve ši jedné dvanáctiny ročního plnění po skončení příslušného měsíce vždy ve lhůtě do -tého dne od doručení písemného vyúčtování příslušné měsíční splátky / faktury </w:t>
      </w:r>
      <w:r>
        <w:rPr>
          <w:rStyle w:val="CharStyle3"/>
          <w:i/>
          <w:iCs/>
        </w:rPr>
        <w:t>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</w:rPr>
        <w:t>11.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540"/>
        <w:jc w:val="both"/>
      </w:pPr>
      <w:r>
        <w:rPr>
          <w:rStyle w:val="CharStyle3"/>
        </w:rPr>
        <w:t xml:space="preserve">Úhrada za služby podle čl. 8 této smlouvy je splatná na účet pronajímatele podle 10 této smlouvy formou pravidelných měsíčních záloh ve výši 534,-Kč měsíčně a . lhůtě zároveň s nájemným, a formou ročního vyúčtování po skončení příslušného -.endářního roku ve lhůtě do 10-ti dnů od předložení jeho písemného vyhotovení / ďktury </w:t>
      </w:r>
      <w:r>
        <w:rPr>
          <w:rStyle w:val="CharStyle3"/>
          <w:i/>
          <w:iCs/>
        </w:rPr>
        <w:t>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480" w:right="0" w:firstLine="0"/>
        <w:jc w:val="both"/>
      </w:pPr>
      <w:r>
        <w:rPr>
          <w:rStyle w:val="CharStyle3"/>
        </w:rPr>
        <w:t>12.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rStyle w:val="CharStyle3"/>
        </w:rPr>
        <w:t xml:space="preserve">Pro případ prodlení se zaplacením nájemného a úhrady za služby ve lhůtách podle ... 10 a čl. 11 této smlouvy se nájemce zavazuje platit pronajímateli </w:t>
      </w:r>
      <w:r>
        <w:rPr>
          <w:rStyle w:val="CharStyle3"/>
          <w:u w:val="single"/>
        </w:rPr>
        <w:t>smluvní po</w:t>
      </w:r>
      <w:r>
        <w:rPr>
          <w:rStyle w:val="CharStyle3"/>
        </w:rPr>
        <w:t>kutu e výši 0,5 % z dlužné částky za každý započatý den prodlení. Tím není dotčeno ~rávo pronajímatele na náhradu škody v plné výši.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</w:rPr>
        <w:t>13.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360"/>
        <w:jc w:val="both"/>
      </w:pPr>
      <w:r>
        <w:rPr>
          <w:rStyle w:val="CharStyle3"/>
        </w:rPr>
        <w:t>Nájemce se zavazuje s najatými prostorami podle čl. 1 této smlouvy a movitými ěcmi podle čl. 2 této smlouvy nakládat šetrně a přiměřeně jejich účelu a stavebnímu ..rčení a chránit je před poškozením, zneužitím nebo zničením.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480" w:right="0" w:firstLine="0"/>
        <w:jc w:val="both"/>
      </w:pPr>
      <w:r>
        <w:rPr>
          <w:rStyle w:val="CharStyle3"/>
        </w:rPr>
        <w:t>14.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360"/>
        <w:jc w:val="both"/>
      </w:pPr>
      <w:r>
        <w:rPr>
          <w:rStyle w:val="CharStyle3"/>
        </w:rPr>
        <w:t>Nebude-li v jednotlivém případě dohodnuto jinak, je nájemce oprávněn provádět stavební a jiné obdobné úpravy najatých nebytových prostor a movitých věcí pouze po předchozím písemném souhlasu pronajímatele a na svoje vlastní náklady.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480" w:right="0" w:firstLine="0"/>
        <w:jc w:val="both"/>
      </w:pPr>
      <w:r>
        <w:rPr>
          <w:rStyle w:val="CharStyle3"/>
        </w:rPr>
        <w:t>15.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46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246" w:right="2196" w:bottom="1691" w:left="574" w:header="0" w:footer="1263" w:gutter="0"/>
          <w:pgNumType w:start="10"/>
          <w:cols w:space="720"/>
          <w:noEndnote/>
          <w:rtlGutter w:val="0"/>
          <w:docGrid w:linePitch="360"/>
        </w:sectPr>
      </w:pPr>
      <w:r>
        <w:rPr>
          <w:rStyle w:val="CharStyle3"/>
        </w:rPr>
        <w:t>Nájemce se zavazuje na svoje vlastní náklady provádět úklid, běžnou údržbu a drobné opravy najatých nebytových prostor a movitých věcí. Drobnými opravami se pro účely této smlouvy rozumí opravy, které v jednotlivém případě nepřevyšují částku 5 000,- Kč.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both"/>
      </w:pPr>
      <w:r>
        <w:rPr>
          <w:rStyle w:val="CharStyle13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62" w:lineRule="auto"/>
        <w:ind w:left="0" w:right="0" w:firstLine="900"/>
        <w:jc w:val="both"/>
      </w:pPr>
      <w:r>
        <w:rPr>
          <w:rStyle w:val="CharStyle3"/>
        </w:rPr>
        <w:t>Nájemce prohlašuje, že se seznámil se stavebně technickým stavem najatých ■t ■ tových prostor a movitých věcí a potvrzuje, že podmínky jejich nájmu, jak jsou ■baženy v této smlouvě, byly sjednány s přihlédnutím k tomuto stavu a ke všem ■vadným rizikům z něho vyplývajícím a nemohou být pouze s poukazem na tento I měněny.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4540" w:right="0" w:firstLine="0"/>
        <w:jc w:val="both"/>
      </w:pPr>
      <w:r>
        <w:rPr>
          <w:rStyle w:val="CharStyle3"/>
        </w:rPr>
        <w:t>17.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900"/>
        <w:jc w:val="both"/>
      </w:pPr>
      <w:r>
        <w:rPr>
          <w:rStyle w:val="CharStyle3"/>
        </w:rPr>
        <w:t>Není-li touto smlouvou ujednáno jinak, řídí se vzájemný právní vztah mezi Ir najímatelem a nájemcem příslušnými ustanoveními zákona č. 116/1990 Sb. o I mu nebytových prostor v platném znění, věetně práv nájemce vyplývajících z aoovědnosti pronajímatele za porušování jeho povinností podle citovaného zákona a Ěto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540" w:right="0" w:firstLine="0"/>
        <w:jc w:val="both"/>
      </w:pPr>
      <w:r>
        <w:rPr>
          <w:rStyle w:val="CharStyle3"/>
        </w:rPr>
        <w:t>18.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880"/>
        <w:jc w:val="both"/>
      </w:pPr>
      <w:r>
        <w:rPr>
          <w:rStyle w:val="CharStyle3"/>
        </w:rPr>
        <w:t>Tato smlouva se uzavírá na dobu neurčitou.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4540" w:right="0" w:firstLine="0"/>
        <w:jc w:val="both"/>
      </w:pPr>
      <w:r>
        <w:rPr>
          <w:rStyle w:val="CharStyle3"/>
        </w:rPr>
        <w:t>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62" w:lineRule="auto"/>
        <w:ind w:left="0" w:right="0" w:firstLine="900"/>
        <w:jc w:val="both"/>
      </w:pPr>
      <w:r>
        <w:rPr>
          <w:rStyle w:val="CharStyle3"/>
        </w:rPr>
        <w:t>Tuto smlouvu lze změnit nebo zrušit pouze jinou písemnou dohodou obou smluvních stran. Tuto smlouvu lze také vypovědět písemnou výpovědí s tříměsíční s piměsíční výpovědní lhůtou, která počne běžet prvním dnem měsíce následujícího po d &gt;ručení výpovědi druhé smluvní straně. Tuto smlouvu lze také vypovědět písemnou výpovědí ze strany pronajímatele pro prodlení nájemce s úhradou nájemného nebo thrady za služby nebo jejich části ve lhůtách podle čL 10 a čl. 11 této smlouvy o více než 15 dní s tím, že nájem skončí uplynutím jednoměsíční výpovědní lhůty, která počne běžet prvním dnem následujícím po doručení výpovědi do rukou nájemce.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4540" w:right="0" w:firstLine="0"/>
        <w:jc w:val="both"/>
      </w:pPr>
      <w:r>
        <w:rPr>
          <w:rStyle w:val="CharStyle3"/>
        </w:rPr>
        <w:t>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52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498" w:right="2542" w:bottom="1498" w:left="104" w:header="1070" w:footer="1070" w:gutter="0"/>
          <w:pgNumType w:start="4"/>
          <w:cols w:space="720"/>
          <w:noEndnote/>
          <w:rtlGutter w:val="0"/>
          <w:docGrid w:linePitch="360"/>
        </w:sectPr>
      </w:pPr>
      <w:r>
        <w:rPr>
          <w:rStyle w:val="CharStyle3"/>
        </w:rPr>
        <w:t>Tato smlouva nabývá účinnosti dnem 1.1.2007.</w: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3850640</wp:posOffset>
            </wp:positionH>
            <wp:positionV relativeFrom="paragraph">
              <wp:posOffset>658495</wp:posOffset>
            </wp:positionV>
            <wp:extent cx="2304415" cy="169481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04415" cy="1694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/>
        <w:ind w:left="0" w:right="0" w:firstLine="740"/>
        <w:jc w:val="both"/>
      </w:pPr>
      <w:r>
        <w:rPr>
          <w:rStyle w:val="CharStyle3"/>
        </w:rPr>
        <w:t>Dáno v Brně dne 30.12.2006 ve dvou originálních písemných vyhotoveních, z "ichž každá ze smluvních stran obdrží po jednom.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5"/>
          <w:b/>
          <w:bCs/>
        </w:rPr>
        <w:t>Zdravotnická záchranná služba</w:t>
        <w:br/>
      </w:r>
      <w:r>
        <w:rPr>
          <w:rStyle w:val="CharStyle15"/>
          <w:w w:val="100"/>
          <w:sz w:val="18"/>
          <w:szCs w:val="18"/>
        </w:rPr>
        <w:t>Jihomoravského kraje, p.o.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20"/>
        <w:jc w:val="left"/>
      </w:pPr>
      <w:r>
        <w:rPr>
          <w:rStyle w:val="CharStyle18"/>
        </w:rPr>
        <w:t>602 00 Brno, nám. 28. října 23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1920" w:right="0" w:firstLine="0"/>
        <w:jc w:val="left"/>
      </w:pPr>
      <w:r>
        <w:rPr>
          <w:rStyle w:val="CharStyle18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3061" w:right="2342" w:bottom="3061" w:left="462" w:header="0" w:footer="2633" w:gutter="0"/>
          <w:pgNumType w:start="21"/>
          <w:cols w:space="720"/>
          <w:noEndnote/>
          <w:rtlGutter w:val="0"/>
          <w:docGrid w:linePitch="360"/>
        </w:sectPr>
      </w:pPr>
      <w:r>
        <w:rPr>
          <w:rStyle w:val="CharStyle3"/>
        </w:rPr>
        <w:t>pronajímatel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/>
        <w:jc w:val="left"/>
      </w:pPr>
      <w:r>
        <w:rPr>
          <w:rStyle w:val="CharStyle20"/>
          <w:b/>
          <w:bCs/>
        </w:rPr>
        <w:t>Kalkulace nájemného MUDr. Šušol</w:t>
      </w:r>
    </w:p>
    <w:tbl>
      <w:tblPr>
        <w:tblOverlap w:val="never"/>
        <w:jc w:val="left"/>
        <w:tblLayout w:type="fixed"/>
      </w:tblPr>
      <w:tblGrid>
        <w:gridCol w:w="1042"/>
        <w:gridCol w:w="2050"/>
        <w:gridCol w:w="1003"/>
        <w:gridCol w:w="1085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Číslo nebýt, pr.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Nebytový prostor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Plocha 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Podíl nájemce m2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0,22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šatna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0,39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chodba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0,31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čekárna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33,5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3,2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ordinace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30,3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2,89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předsíň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0,4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denní místnost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12,6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1,2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umývárna, sprcha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2,3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0,22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112A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WC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0,17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úklidová místnost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0,2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WC invalidé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0,3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předsíň WC ženy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0,29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WC ženy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0,13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předsíň WC muži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0,16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pisoár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0,14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WC muži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1,4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sz w:val="20"/>
                <w:szCs w:val="20"/>
              </w:rPr>
              <w:t>0,14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10,36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rStyle w:val="CharStyle27"/>
          <w:b/>
          <w:bCs/>
        </w:rPr>
        <w:t>r~~eho majetku</w:t>
      </w:r>
    </w:p>
    <w:tbl>
      <w:tblPr>
        <w:tblOverlap w:val="never"/>
        <w:jc w:val="center"/>
        <w:tblLayout w:type="fixed"/>
      </w:tblPr>
      <w:tblGrid>
        <w:gridCol w:w="1430"/>
        <w:gridCol w:w="1339"/>
        <w:gridCol w:w="3149"/>
        <w:gridCol w:w="2026"/>
        <w:gridCol w:w="955"/>
        <w:gridCol w:w="1013"/>
      </w:tblGrid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sz w:val="20"/>
                <w:szCs w:val="20"/>
              </w:rPr>
              <w:t>K : místnosti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sz w:val="20"/>
                <w:szCs w:val="20"/>
              </w:rPr>
              <w:t>Inv. číslo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sz w:val="20"/>
                <w:szCs w:val="20"/>
              </w:rPr>
              <w:t>Název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3"/>
                <w:sz w:val="20"/>
                <w:szCs w:val="20"/>
              </w:rPr>
              <w:t>Pořizovací cena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0"/>
                <w:szCs w:val="20"/>
              </w:rPr>
              <w:t>MUDr. Šušol</w:t>
            </w:r>
          </w:p>
        </w:tc>
      </w:tr>
      <w:tr>
        <w:trPr>
          <w:trHeight w:val="211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5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koef. 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podíl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3 533,60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Lavice horní s policí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25 321,90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Box přebalovací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8 751,60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 šatní 2dveřová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17 588,00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 šatní 1 dveřová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8 841,00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28000249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Stěna věšáková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3 822,80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28000088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Židle kancelářská pojízdná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5 660,80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0'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Židle kancelářská pojízdná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5 660,80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 prosklená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3 917,00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 prosklená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3 917,00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 prosklená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3 917,00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Stěna věšáková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4 156,00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Stěna věšáková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2 946,00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28000149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Stolek pod psací stroj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4 431,00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Stůl psací rohový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12 764,00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Stůl psací rohový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12 764,00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Stolička ordinační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2 432,00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 2dveřová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4 965,00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 2dveřová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4 965,00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28000155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Skříňky spod.kuch.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24 672,00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28000450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Kartotéka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13 285,80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591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Psací stroj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3 660,00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Arial" w:eastAsia="Arial" w:hAnsi="Arial" w:cs="Arial"/>
                <w:b/>
                <w:bCs/>
                <w:sz w:val="15"/>
                <w:szCs w:val="15"/>
              </w:rPr>
              <w:t xml:space="preserve">i </w:t>
            </w:r>
            <w:r>
              <w:rPr>
                <w:rStyle w:val="CharStyle23"/>
                <w:sz w:val="20"/>
                <w:szCs w:val="20"/>
              </w:rPr>
              <w:t>-.ístnost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28000071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Dvojkřeslo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3 531,40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28000072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Dvojkřeslo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5 531,50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Skříňky spodní kuch.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12 645,40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28000168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3 104,00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 prosklená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3 734,00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Skříňka horní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5 850,80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Stůl jídelní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3 512,00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Stolek konferenční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5 281,00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Stolek konferenční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5 281,00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Židle kancelářská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5 050,80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28000175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Židle kancelářská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sz w:val="22"/>
                <w:szCs w:val="22"/>
              </w:rPr>
              <w:t>5 050,80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sz w:val="18"/>
                <w:szCs w:val="18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243 745,00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rFonts w:ascii="Garamond" w:eastAsia="Garamond" w:hAnsi="Garamond" w:cs="Garamond"/>
                <w:b/>
                <w:bCs/>
                <w:sz w:val="22"/>
                <w:szCs w:val="22"/>
              </w:rPr>
              <w:t>0,00</w:t>
            </w:r>
          </w:p>
        </w:tc>
      </w:tr>
    </w:tbl>
    <w:sectPr>
      <w:headerReference w:type="default" r:id="rId13"/>
      <w:headerReference w:type="even" r:id="rId14"/>
      <w:footnotePr>
        <w:pos w:val="pageBottom"/>
        <w:numFmt w:val="decimal"/>
        <w:numRestart w:val="continuous"/>
      </w:footnotePr>
      <w:pgSz w:w="11900" w:h="16840"/>
      <w:pgMar w:top="2790" w:right="1501" w:bottom="1665" w:left="488" w:header="0" w:footer="3" w:gutter="0"/>
      <w:pgNumType w:start="6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1075690</wp:posOffset>
              </wp:positionV>
              <wp:extent cx="16764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59999999999999pt;margin-top:84.700000000000003pt;width:13.20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1075690</wp:posOffset>
              </wp:positionV>
              <wp:extent cx="16764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0.59999999999999pt;margin-top:84.700000000000003pt;width:13.20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1596390</wp:posOffset>
              </wp:positionV>
              <wp:extent cx="191770" cy="1155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3.20000000000002pt;margin-top:125.7pt;width:15.1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1596390</wp:posOffset>
              </wp:positionV>
              <wp:extent cx="191770" cy="1155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3.20000000000002pt;margin-top:125.7pt;width:15.1pt;height:9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1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Style w:val="CharStyle1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1461135</wp:posOffset>
              </wp:positionV>
              <wp:extent cx="2856230" cy="1371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5623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10"/>
                              <w:rFonts w:ascii="Garamond" w:eastAsia="Garamond" w:hAnsi="Garamond" w:cs="Garamond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- smlouvě o pronájmu nebytových prostor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.800000000000001pt;margin-top:115.05pt;width:224.90000000000001pt;height:10.8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0"/>
                        <w:rFonts w:ascii="Garamond" w:eastAsia="Garamond" w:hAnsi="Garamond" w:cs="Garamond"/>
                        <w:b/>
                        <w:bCs/>
                        <w:sz w:val="22"/>
                        <w:szCs w:val="22"/>
                        <w:u w:val="single"/>
                      </w:rPr>
                      <w:t>- smlouvě o pronájmu nebytových prostor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1543050</wp:posOffset>
              </wp:positionV>
              <wp:extent cx="334391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10"/>
                              <w:rFonts w:ascii="Garamond" w:eastAsia="Garamond" w:hAnsi="Garamond" w:cs="Garamond"/>
                              <w:b/>
                              <w:bCs/>
                              <w:sz w:val="22"/>
                              <w:szCs w:val="22"/>
                            </w:rPr>
                            <w:t>Příloha č. 1 ke smlouvě o pronájmu nebytových prostor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1.5pt;margin-top:121.5pt;width:263.30000000000001pt;height:9.3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0"/>
                        <w:rFonts w:ascii="Garamond" w:eastAsia="Garamond" w:hAnsi="Garamond" w:cs="Garamond"/>
                        <w:b/>
                        <w:bCs/>
                        <w:sz w:val="22"/>
                        <w:szCs w:val="22"/>
                      </w:rPr>
                      <w:t>Příloha č. 1 ke smlouvě o pronájmu nebytových prostor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5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color w:val="ABC8E9"/>
      <w:w w:val="80"/>
      <w:sz w:val="20"/>
      <w:szCs w:val="20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ABC8E9"/>
      <w:sz w:val="18"/>
      <w:szCs w:val="18"/>
      <w:u w:val="none"/>
    </w:rPr>
  </w:style>
  <w:style w:type="character" w:customStyle="1" w:styleId="CharStyle20">
    <w:name w:val="Základní text (4)_"/>
    <w:basedOn w:val="DefaultParagraphFont"/>
    <w:link w:val="Style19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580"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auto"/>
      <w:spacing w:before="380"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ABC8E9"/>
      <w:w w:val="80"/>
      <w:sz w:val="20"/>
      <w:szCs w:val="20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  <w:spacing w:after="310" w:line="233" w:lineRule="auto"/>
      <w:ind w:left="960"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BC8E9"/>
      <w:sz w:val="18"/>
      <w:szCs w:val="18"/>
      <w:u w:val="none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auto"/>
      <w:spacing w:before="80" w:after="720"/>
      <w:ind w:firstLine="460"/>
    </w:pPr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580"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hanakoval</dc:creator>
  <cp:keywords/>
</cp:coreProperties>
</file>