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1BB35" w14:textId="77777777" w:rsidR="001144DD" w:rsidRDefault="002002E0">
      <w:pPr>
        <w:spacing w:after="0" w:line="240" w:lineRule="auto"/>
        <w:jc w:val="center"/>
        <w:rPr>
          <w:sz w:val="28"/>
          <w:szCs w:val="28"/>
        </w:rPr>
      </w:pPr>
      <w:r>
        <w:rPr>
          <w:b/>
          <w:sz w:val="28"/>
          <w:szCs w:val="28"/>
        </w:rPr>
        <w:t>Smlouva o poskytnutí oprávnění k užití aplikace MONITORA</w:t>
      </w:r>
    </w:p>
    <w:p w14:paraId="24C7CE07" w14:textId="77777777" w:rsidR="001144DD" w:rsidRDefault="002002E0">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129803</w:t>
      </w:r>
      <w:r>
        <w:rPr>
          <w:color w:val="000000"/>
          <w:sz w:val="22"/>
          <w:szCs w:val="22"/>
        </w:rPr>
        <w:t xml:space="preserve"> </w:t>
      </w:r>
    </w:p>
    <w:p w14:paraId="203799FE" w14:textId="77777777" w:rsidR="001144DD" w:rsidRDefault="001144DD">
      <w:pPr>
        <w:tabs>
          <w:tab w:val="left" w:pos="2835"/>
        </w:tabs>
        <w:spacing w:after="0" w:line="240" w:lineRule="auto"/>
        <w:jc w:val="both"/>
        <w:rPr>
          <w:sz w:val="22"/>
          <w:szCs w:val="22"/>
        </w:rPr>
      </w:pPr>
    </w:p>
    <w:p w14:paraId="101B68A3" w14:textId="77777777" w:rsidR="001144DD" w:rsidRDefault="001144DD">
      <w:pPr>
        <w:tabs>
          <w:tab w:val="left" w:pos="2835"/>
        </w:tabs>
        <w:spacing w:after="0" w:line="240" w:lineRule="auto"/>
        <w:jc w:val="both"/>
        <w:rPr>
          <w:sz w:val="22"/>
          <w:szCs w:val="22"/>
        </w:rPr>
      </w:pPr>
    </w:p>
    <w:p w14:paraId="0689F402" w14:textId="77777777" w:rsidR="001144DD" w:rsidRDefault="002002E0">
      <w:pPr>
        <w:tabs>
          <w:tab w:val="left" w:pos="2835"/>
        </w:tabs>
        <w:spacing w:after="0" w:line="240" w:lineRule="auto"/>
        <w:jc w:val="both"/>
        <w:rPr>
          <w:sz w:val="22"/>
          <w:szCs w:val="22"/>
        </w:rPr>
      </w:pPr>
      <w:r>
        <w:rPr>
          <w:sz w:val="22"/>
          <w:szCs w:val="22"/>
        </w:rPr>
        <w:t>Název:</w:t>
      </w:r>
      <w:r>
        <w:rPr>
          <w:sz w:val="22"/>
          <w:szCs w:val="22"/>
        </w:rPr>
        <w:tab/>
        <w:t xml:space="preserve">Monitora Media s.r.o. </w:t>
      </w:r>
    </w:p>
    <w:p w14:paraId="7562AC71" w14:textId="77777777" w:rsidR="001144DD" w:rsidRDefault="002002E0">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657E6256" w14:textId="77777777" w:rsidR="001144DD" w:rsidRDefault="002002E0">
      <w:pPr>
        <w:tabs>
          <w:tab w:val="left" w:pos="2835"/>
        </w:tabs>
        <w:spacing w:after="0" w:line="240" w:lineRule="auto"/>
        <w:jc w:val="both"/>
        <w:rPr>
          <w:sz w:val="22"/>
          <w:szCs w:val="22"/>
        </w:rPr>
      </w:pPr>
      <w:r>
        <w:rPr>
          <w:sz w:val="22"/>
          <w:szCs w:val="22"/>
        </w:rPr>
        <w:t>Sídlo:</w:t>
      </w:r>
      <w:r>
        <w:rPr>
          <w:sz w:val="22"/>
          <w:szCs w:val="22"/>
        </w:rPr>
        <w:tab/>
        <w:t>Nádražní 762/32, Praha 5,  PSČ: 150 00</w:t>
      </w:r>
    </w:p>
    <w:p w14:paraId="3C8F5DAD" w14:textId="77777777" w:rsidR="001144DD" w:rsidRDefault="002002E0">
      <w:pPr>
        <w:tabs>
          <w:tab w:val="left" w:pos="2835"/>
        </w:tabs>
        <w:spacing w:after="0" w:line="240" w:lineRule="auto"/>
        <w:jc w:val="both"/>
        <w:rPr>
          <w:sz w:val="22"/>
          <w:szCs w:val="22"/>
        </w:rPr>
      </w:pPr>
      <w:r>
        <w:rPr>
          <w:sz w:val="22"/>
          <w:szCs w:val="22"/>
        </w:rPr>
        <w:t xml:space="preserve">IČ:  </w:t>
      </w:r>
      <w:r>
        <w:rPr>
          <w:sz w:val="22"/>
          <w:szCs w:val="22"/>
        </w:rPr>
        <w:tab/>
        <w:t>03980481</w:t>
      </w:r>
    </w:p>
    <w:p w14:paraId="630986EB" w14:textId="77777777" w:rsidR="001144DD" w:rsidRDefault="002002E0">
      <w:pPr>
        <w:tabs>
          <w:tab w:val="left" w:pos="2835"/>
        </w:tabs>
        <w:spacing w:after="0" w:line="240" w:lineRule="auto"/>
        <w:jc w:val="both"/>
        <w:rPr>
          <w:sz w:val="22"/>
          <w:szCs w:val="22"/>
        </w:rPr>
      </w:pPr>
      <w:r>
        <w:rPr>
          <w:sz w:val="22"/>
          <w:szCs w:val="22"/>
        </w:rPr>
        <w:t>DIČ:</w:t>
      </w:r>
      <w:r>
        <w:rPr>
          <w:sz w:val="22"/>
          <w:szCs w:val="22"/>
        </w:rPr>
        <w:tab/>
        <w:t>CZ03980481</w:t>
      </w:r>
    </w:p>
    <w:p w14:paraId="7F89D3BD" w14:textId="77777777" w:rsidR="001144DD" w:rsidRDefault="002002E0">
      <w:pPr>
        <w:tabs>
          <w:tab w:val="left" w:pos="2835"/>
        </w:tabs>
        <w:spacing w:after="0" w:line="240" w:lineRule="auto"/>
        <w:jc w:val="both"/>
        <w:rPr>
          <w:sz w:val="22"/>
          <w:szCs w:val="22"/>
        </w:rPr>
      </w:pPr>
      <w:r>
        <w:rPr>
          <w:sz w:val="22"/>
          <w:szCs w:val="22"/>
        </w:rPr>
        <w:t xml:space="preserve">Zastoupená:                            </w:t>
      </w:r>
      <w:r>
        <w:rPr>
          <w:sz w:val="22"/>
          <w:szCs w:val="22"/>
        </w:rPr>
        <w:tab/>
        <w:t>Tomáš Berger, jednatel</w:t>
      </w:r>
    </w:p>
    <w:p w14:paraId="658CE8DA" w14:textId="77777777" w:rsidR="001144DD" w:rsidRDefault="002002E0">
      <w:pPr>
        <w:spacing w:after="0" w:line="240" w:lineRule="auto"/>
        <w:jc w:val="both"/>
        <w:rPr>
          <w:sz w:val="22"/>
          <w:szCs w:val="22"/>
        </w:rPr>
      </w:pPr>
      <w:r>
        <w:rPr>
          <w:sz w:val="22"/>
          <w:szCs w:val="22"/>
        </w:rPr>
        <w:t>(dále jen „</w:t>
      </w:r>
      <w:r>
        <w:rPr>
          <w:b/>
          <w:sz w:val="22"/>
          <w:szCs w:val="22"/>
        </w:rPr>
        <w:t>Poskytovatel</w:t>
      </w:r>
      <w:r>
        <w:rPr>
          <w:sz w:val="22"/>
          <w:szCs w:val="22"/>
        </w:rPr>
        <w:t>“)</w:t>
      </w:r>
    </w:p>
    <w:p w14:paraId="69CDE250" w14:textId="77777777" w:rsidR="001144DD" w:rsidRDefault="002002E0">
      <w:pPr>
        <w:spacing w:before="140" w:after="140" w:line="240" w:lineRule="auto"/>
        <w:jc w:val="both"/>
        <w:rPr>
          <w:sz w:val="22"/>
          <w:szCs w:val="22"/>
        </w:rPr>
      </w:pPr>
      <w:r>
        <w:rPr>
          <w:sz w:val="22"/>
          <w:szCs w:val="22"/>
        </w:rPr>
        <w:t>a</w:t>
      </w:r>
    </w:p>
    <w:p w14:paraId="1A6FFF37" w14:textId="77777777" w:rsidR="001144DD" w:rsidRDefault="002002E0">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Krajský soud v Plzni</w:t>
      </w:r>
    </w:p>
    <w:p w14:paraId="559EA6E3" w14:textId="77777777" w:rsidR="001144DD" w:rsidRDefault="002002E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Zápis v OR: </w:t>
      </w:r>
      <w:r>
        <w:rPr>
          <w:color w:val="000000"/>
          <w:sz w:val="22"/>
          <w:szCs w:val="22"/>
        </w:rPr>
        <w:tab/>
      </w:r>
      <w:r>
        <w:rPr>
          <w:sz w:val="22"/>
          <w:szCs w:val="22"/>
        </w:rPr>
        <w:t xml:space="preserve"> - </w:t>
      </w:r>
    </w:p>
    <w:p w14:paraId="42753E5D" w14:textId="77777777" w:rsidR="001144DD" w:rsidRDefault="002002E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Veleslavínova 21/40,  Plzeň  30100</w:t>
      </w:r>
    </w:p>
    <w:p w14:paraId="26E63ED8" w14:textId="77777777" w:rsidR="001144DD" w:rsidRDefault="002002E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00215694</w:t>
      </w:r>
    </w:p>
    <w:p w14:paraId="6A059BC3" w14:textId="77777777" w:rsidR="001144DD" w:rsidRDefault="002002E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DIČ:</w:t>
      </w:r>
      <w:r>
        <w:rPr>
          <w:color w:val="000000"/>
          <w:sz w:val="22"/>
          <w:szCs w:val="22"/>
        </w:rPr>
        <w:tab/>
      </w:r>
    </w:p>
    <w:p w14:paraId="743589FD" w14:textId="1E684580" w:rsidR="001144DD" w:rsidRDefault="002002E0">
      <w:pPr>
        <w:tabs>
          <w:tab w:val="left" w:pos="2835"/>
        </w:tabs>
        <w:spacing w:after="0" w:line="240" w:lineRule="auto"/>
        <w:jc w:val="both"/>
        <w:rPr>
          <w:sz w:val="22"/>
          <w:szCs w:val="22"/>
        </w:rPr>
      </w:pPr>
      <w:r w:rsidRPr="00D25734">
        <w:rPr>
          <w:sz w:val="22"/>
          <w:szCs w:val="22"/>
        </w:rPr>
        <w:t>Zastoupená:</w:t>
      </w:r>
      <w:r>
        <w:rPr>
          <w:sz w:val="22"/>
          <w:szCs w:val="22"/>
        </w:rPr>
        <w:t xml:space="preserve"> </w:t>
      </w:r>
      <w:r w:rsidR="00A26D69">
        <w:rPr>
          <w:sz w:val="22"/>
          <w:szCs w:val="22"/>
        </w:rPr>
        <w:tab/>
        <w:t>JUDr. Věrou Oravcovou, Ph.D., předsedkyní Krajského soudu v Plzni</w:t>
      </w:r>
    </w:p>
    <w:p w14:paraId="44FB9C4E" w14:textId="77777777" w:rsidR="001144DD" w:rsidRPr="00D25734" w:rsidRDefault="002002E0">
      <w:pPr>
        <w:spacing w:after="0" w:line="240" w:lineRule="auto"/>
        <w:jc w:val="both"/>
        <w:rPr>
          <w:rFonts w:asciiTheme="majorHAnsi" w:hAnsiTheme="majorHAnsi" w:cstheme="majorHAnsi"/>
          <w:sz w:val="22"/>
          <w:szCs w:val="22"/>
        </w:rPr>
      </w:pPr>
      <w:r>
        <w:rPr>
          <w:sz w:val="22"/>
          <w:szCs w:val="22"/>
        </w:rPr>
        <w:t>(dále jen „</w:t>
      </w:r>
      <w:r w:rsidRPr="00D25734">
        <w:rPr>
          <w:rFonts w:asciiTheme="majorHAnsi" w:hAnsiTheme="majorHAnsi" w:cstheme="majorHAnsi"/>
          <w:b/>
          <w:sz w:val="22"/>
          <w:szCs w:val="22"/>
        </w:rPr>
        <w:t>Nabyvatel</w:t>
      </w:r>
      <w:r w:rsidRPr="00D25734">
        <w:rPr>
          <w:rFonts w:asciiTheme="majorHAnsi" w:hAnsiTheme="majorHAnsi" w:cstheme="majorHAnsi"/>
          <w:sz w:val="22"/>
          <w:szCs w:val="22"/>
        </w:rPr>
        <w:t>“)</w:t>
      </w:r>
    </w:p>
    <w:p w14:paraId="47A86664" w14:textId="77777777" w:rsidR="00F9715E" w:rsidRPr="00D25734" w:rsidRDefault="00F9715E" w:rsidP="00F9715E">
      <w:pPr>
        <w:spacing w:after="0" w:line="240" w:lineRule="auto"/>
        <w:ind w:right="23"/>
        <w:jc w:val="both"/>
        <w:rPr>
          <w:rFonts w:asciiTheme="majorHAnsi" w:hAnsiTheme="majorHAnsi" w:cstheme="majorHAnsi"/>
          <w:sz w:val="22"/>
          <w:szCs w:val="22"/>
        </w:rPr>
      </w:pPr>
    </w:p>
    <w:p w14:paraId="500E5FF9" w14:textId="5284B1DE" w:rsidR="00F9715E" w:rsidRPr="00D25734" w:rsidRDefault="00F9715E" w:rsidP="00F9715E">
      <w:pPr>
        <w:spacing w:after="0" w:line="240" w:lineRule="auto"/>
        <w:ind w:right="23"/>
        <w:jc w:val="both"/>
        <w:rPr>
          <w:rFonts w:asciiTheme="majorHAnsi" w:hAnsiTheme="majorHAnsi" w:cstheme="majorHAnsi"/>
          <w:b/>
          <w:sz w:val="22"/>
          <w:szCs w:val="22"/>
        </w:rPr>
      </w:pPr>
      <w:r w:rsidRPr="00D25734">
        <w:rPr>
          <w:rFonts w:asciiTheme="majorHAnsi" w:hAnsiTheme="majorHAnsi" w:cstheme="majorHAnsi"/>
          <w:sz w:val="22"/>
          <w:szCs w:val="22"/>
        </w:rPr>
        <w:t>Dále též společně označeny jako „</w:t>
      </w:r>
      <w:r w:rsidRPr="00D25734">
        <w:rPr>
          <w:rFonts w:asciiTheme="majorHAnsi" w:hAnsiTheme="majorHAnsi" w:cstheme="majorHAnsi"/>
          <w:b/>
          <w:sz w:val="22"/>
          <w:szCs w:val="22"/>
        </w:rPr>
        <w:t>smluvní strany</w:t>
      </w:r>
      <w:r w:rsidRPr="00D25734">
        <w:rPr>
          <w:rFonts w:asciiTheme="majorHAnsi" w:hAnsiTheme="majorHAnsi" w:cstheme="majorHAnsi"/>
          <w:sz w:val="22"/>
          <w:szCs w:val="22"/>
        </w:rPr>
        <w:t>“ nebo každá z nich samostatně jako „</w:t>
      </w:r>
      <w:r w:rsidRPr="00D25734">
        <w:rPr>
          <w:rFonts w:asciiTheme="majorHAnsi" w:hAnsiTheme="majorHAnsi" w:cstheme="majorHAnsi"/>
          <w:b/>
          <w:sz w:val="22"/>
          <w:szCs w:val="22"/>
        </w:rPr>
        <w:t xml:space="preserve">smluvní </w:t>
      </w:r>
    </w:p>
    <w:p w14:paraId="3F630C68" w14:textId="4EFCB73C" w:rsidR="00F9715E" w:rsidRPr="00D25734" w:rsidRDefault="00F9715E" w:rsidP="00F9715E">
      <w:pPr>
        <w:spacing w:after="0" w:line="240" w:lineRule="auto"/>
        <w:ind w:right="23"/>
        <w:jc w:val="both"/>
        <w:rPr>
          <w:rFonts w:asciiTheme="majorHAnsi" w:hAnsiTheme="majorHAnsi" w:cstheme="majorHAnsi"/>
          <w:sz w:val="22"/>
          <w:szCs w:val="22"/>
        </w:rPr>
      </w:pPr>
      <w:r w:rsidRPr="00D25734">
        <w:rPr>
          <w:rFonts w:asciiTheme="majorHAnsi" w:hAnsiTheme="majorHAnsi" w:cstheme="majorHAnsi"/>
          <w:b/>
          <w:sz w:val="22"/>
          <w:szCs w:val="22"/>
        </w:rPr>
        <w:t>strana</w:t>
      </w:r>
      <w:r w:rsidRPr="00D25734">
        <w:rPr>
          <w:rFonts w:asciiTheme="majorHAnsi" w:hAnsiTheme="majorHAnsi" w:cstheme="majorHAnsi"/>
          <w:sz w:val="22"/>
          <w:szCs w:val="22"/>
        </w:rPr>
        <w:t>“.</w:t>
      </w:r>
    </w:p>
    <w:p w14:paraId="55DFD848" w14:textId="77777777" w:rsidR="00F9715E" w:rsidRPr="00D25734" w:rsidRDefault="00F9715E" w:rsidP="00F9715E">
      <w:pPr>
        <w:spacing w:after="0" w:line="240" w:lineRule="auto"/>
        <w:ind w:right="23"/>
        <w:jc w:val="both"/>
        <w:rPr>
          <w:rFonts w:asciiTheme="majorHAnsi" w:hAnsiTheme="majorHAnsi" w:cstheme="majorHAnsi"/>
          <w:sz w:val="22"/>
          <w:szCs w:val="22"/>
        </w:rPr>
      </w:pPr>
    </w:p>
    <w:p w14:paraId="07792E95" w14:textId="35AE6029" w:rsidR="00F9715E" w:rsidRPr="00D25734" w:rsidRDefault="00F9715E" w:rsidP="00F9715E">
      <w:pPr>
        <w:spacing w:after="0" w:line="240" w:lineRule="auto"/>
        <w:ind w:right="23"/>
        <w:jc w:val="both"/>
        <w:rPr>
          <w:rFonts w:asciiTheme="majorHAnsi" w:hAnsiTheme="majorHAnsi" w:cstheme="majorHAnsi"/>
          <w:sz w:val="22"/>
          <w:szCs w:val="22"/>
        </w:rPr>
      </w:pPr>
      <w:r w:rsidRPr="00D25734">
        <w:rPr>
          <w:rFonts w:asciiTheme="majorHAnsi" w:hAnsiTheme="majorHAnsi" w:cstheme="majorHAnsi"/>
          <w:sz w:val="22"/>
          <w:szCs w:val="22"/>
        </w:rPr>
        <w:t>Smluvní strany uzavírají níže uvedeného dne, měsíce a roku tuto smlouvu</w:t>
      </w:r>
      <w:r w:rsidRPr="00F9715E">
        <w:rPr>
          <w:rFonts w:asciiTheme="majorHAnsi" w:hAnsiTheme="majorHAnsi" w:cstheme="majorHAnsi"/>
          <w:sz w:val="22"/>
          <w:szCs w:val="22"/>
        </w:rPr>
        <w:t xml:space="preserve">, č. </w:t>
      </w:r>
      <w:r w:rsidRPr="00F9715E">
        <w:rPr>
          <w:sz w:val="22"/>
          <w:szCs w:val="22"/>
        </w:rPr>
        <w:t>129803</w:t>
      </w:r>
      <w:r w:rsidRPr="00F9715E">
        <w:rPr>
          <w:color w:val="000000"/>
          <w:sz w:val="22"/>
          <w:szCs w:val="22"/>
        </w:rPr>
        <w:t xml:space="preserve"> </w:t>
      </w:r>
      <w:r w:rsidRPr="00D25734">
        <w:rPr>
          <w:sz w:val="22"/>
          <w:szCs w:val="22"/>
        </w:rPr>
        <w:t xml:space="preserve"> o poskytnutí oprávnění k užití aplikace MONITORA</w:t>
      </w:r>
      <w:r w:rsidRPr="00D25734">
        <w:rPr>
          <w:rFonts w:asciiTheme="majorHAnsi" w:hAnsiTheme="majorHAnsi" w:cstheme="majorHAnsi"/>
          <w:sz w:val="22"/>
          <w:szCs w:val="22"/>
        </w:rPr>
        <w:t xml:space="preserve"> (dále jen „</w:t>
      </w:r>
      <w:r w:rsidR="007676CA">
        <w:rPr>
          <w:rFonts w:asciiTheme="majorHAnsi" w:hAnsiTheme="majorHAnsi" w:cstheme="majorHAnsi"/>
          <w:b/>
          <w:sz w:val="22"/>
          <w:szCs w:val="22"/>
        </w:rPr>
        <w:t>s</w:t>
      </w:r>
      <w:r w:rsidRPr="00D25734">
        <w:rPr>
          <w:rFonts w:asciiTheme="majorHAnsi" w:hAnsiTheme="majorHAnsi" w:cstheme="majorHAnsi"/>
          <w:b/>
          <w:sz w:val="22"/>
          <w:szCs w:val="22"/>
        </w:rPr>
        <w:t>mlouva</w:t>
      </w:r>
      <w:r w:rsidRPr="00D25734">
        <w:rPr>
          <w:rFonts w:asciiTheme="majorHAnsi" w:hAnsiTheme="majorHAnsi" w:cstheme="majorHAnsi"/>
          <w:sz w:val="22"/>
          <w:szCs w:val="22"/>
        </w:rPr>
        <w:t>“)</w:t>
      </w:r>
    </w:p>
    <w:p w14:paraId="6852A116" w14:textId="77777777" w:rsidR="001144DD" w:rsidRDefault="001144DD">
      <w:pPr>
        <w:spacing w:before="60" w:after="60" w:line="240" w:lineRule="auto"/>
        <w:ind w:left="720" w:hanging="720"/>
        <w:jc w:val="center"/>
        <w:rPr>
          <w:sz w:val="22"/>
          <w:szCs w:val="22"/>
        </w:rPr>
      </w:pPr>
    </w:p>
    <w:p w14:paraId="44FAAC46" w14:textId="77777777" w:rsidR="001144DD" w:rsidRDefault="001144DD">
      <w:pPr>
        <w:spacing w:before="60" w:after="60" w:line="240" w:lineRule="auto"/>
        <w:rPr>
          <w:sz w:val="22"/>
          <w:szCs w:val="22"/>
        </w:rPr>
      </w:pPr>
    </w:p>
    <w:p w14:paraId="5FAFC6C1" w14:textId="3126CF56" w:rsidR="001144DD" w:rsidRDefault="00F9715E">
      <w:pPr>
        <w:keepNext/>
        <w:numPr>
          <w:ilvl w:val="0"/>
          <w:numId w:val="1"/>
        </w:numPr>
        <w:spacing w:before="60" w:after="60" w:line="240" w:lineRule="auto"/>
        <w:ind w:left="0" w:firstLine="0"/>
        <w:jc w:val="center"/>
        <w:rPr>
          <w:sz w:val="22"/>
          <w:szCs w:val="22"/>
        </w:rPr>
      </w:pPr>
      <w:r>
        <w:rPr>
          <w:b/>
          <w:sz w:val="22"/>
          <w:szCs w:val="22"/>
        </w:rPr>
        <w:t xml:space="preserve"> </w:t>
      </w:r>
      <w:r w:rsidR="002002E0">
        <w:rPr>
          <w:b/>
          <w:sz w:val="22"/>
          <w:szCs w:val="22"/>
        </w:rPr>
        <w:t>Předmět smlouvy</w:t>
      </w:r>
    </w:p>
    <w:p w14:paraId="7568C555" w14:textId="67D9FA9F" w:rsidR="001144DD" w:rsidRDefault="002002E0">
      <w:pPr>
        <w:numPr>
          <w:ilvl w:val="1"/>
          <w:numId w:val="1"/>
        </w:numPr>
        <w:spacing w:after="120" w:line="240" w:lineRule="auto"/>
        <w:ind w:left="720" w:hanging="720"/>
        <w:jc w:val="both"/>
        <w:rPr>
          <w:sz w:val="22"/>
          <w:szCs w:val="22"/>
        </w:rPr>
      </w:pPr>
      <w:r>
        <w:rPr>
          <w:sz w:val="22"/>
          <w:szCs w:val="22"/>
        </w:rPr>
        <w:t>Poskytovatel je oprávněn vykonávat veškerá majetková autorská práva k aplikaci MONITORA.cz, popsané v čl. 2. níže (dále také jen „</w:t>
      </w:r>
      <w:r>
        <w:rPr>
          <w:b/>
          <w:sz w:val="22"/>
          <w:szCs w:val="22"/>
        </w:rPr>
        <w:t>Aplikace</w:t>
      </w:r>
      <w:r>
        <w:rPr>
          <w:sz w:val="22"/>
          <w:szCs w:val="22"/>
        </w:rPr>
        <w:t xml:space="preserve">“) a je též pořizovatelem databáze využívané Aplikací.  Poskytovatel touto </w:t>
      </w:r>
      <w:r w:rsidR="007676CA">
        <w:rPr>
          <w:sz w:val="22"/>
          <w:szCs w:val="22"/>
        </w:rPr>
        <w:t>s</w:t>
      </w:r>
      <w:r>
        <w:rPr>
          <w:sz w:val="22"/>
          <w:szCs w:val="22"/>
        </w:rPr>
        <w:t xml:space="preserve">mlouvou poskytuje Nabyvateli oprávnění k výkonu práva užít Aplikaci způsoby a v rozsahu stanoveném dále touto </w:t>
      </w:r>
      <w:r w:rsidR="007676CA">
        <w:rPr>
          <w:sz w:val="22"/>
          <w:szCs w:val="22"/>
        </w:rPr>
        <w:t>s</w:t>
      </w:r>
      <w:r>
        <w:rPr>
          <w:sz w:val="22"/>
          <w:szCs w:val="22"/>
        </w:rPr>
        <w:t>mlouvou za sjednanou odměnu (dále také jen „</w:t>
      </w:r>
      <w:r>
        <w:rPr>
          <w:b/>
          <w:sz w:val="22"/>
          <w:szCs w:val="22"/>
        </w:rPr>
        <w:t>Licence</w:t>
      </w:r>
      <w:r>
        <w:rPr>
          <w:sz w:val="22"/>
          <w:szCs w:val="22"/>
        </w:rPr>
        <w:t>“).</w:t>
      </w:r>
    </w:p>
    <w:p w14:paraId="4F674B4F" w14:textId="77777777" w:rsidR="001144DD" w:rsidRDefault="002002E0">
      <w:pPr>
        <w:numPr>
          <w:ilvl w:val="1"/>
          <w:numId w:val="1"/>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48C0F23C" w14:textId="77777777" w:rsidR="001144DD" w:rsidRDefault="002002E0">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2D19CE27" w14:textId="77777777" w:rsidR="001144DD" w:rsidRDefault="002002E0">
      <w:pPr>
        <w:numPr>
          <w:ilvl w:val="1"/>
          <w:numId w:val="1"/>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w:t>
      </w:r>
    </w:p>
    <w:p w14:paraId="5206664A" w14:textId="77777777" w:rsidR="001144DD" w:rsidRDefault="002002E0">
      <w:pPr>
        <w:numPr>
          <w:ilvl w:val="1"/>
          <w:numId w:val="1"/>
        </w:numPr>
        <w:spacing w:after="120" w:line="240" w:lineRule="auto"/>
        <w:ind w:left="720" w:hanging="720"/>
        <w:jc w:val="both"/>
        <w:rPr>
          <w:sz w:val="22"/>
          <w:szCs w:val="22"/>
        </w:rPr>
      </w:pPr>
      <w:r>
        <w:rPr>
          <w:sz w:val="22"/>
          <w:szCs w:val="22"/>
        </w:rPr>
        <w:t xml:space="preserve">Počet licencí: </w:t>
      </w:r>
      <w:r>
        <w:rPr>
          <w:b/>
          <w:sz w:val="22"/>
          <w:szCs w:val="22"/>
        </w:rPr>
        <w:t>1</w:t>
      </w:r>
    </w:p>
    <w:p w14:paraId="5A8F0098" w14:textId="7DB5C437" w:rsidR="001144DD" w:rsidRPr="009B05D2" w:rsidRDefault="002002E0">
      <w:pPr>
        <w:numPr>
          <w:ilvl w:val="1"/>
          <w:numId w:val="1"/>
        </w:numPr>
        <w:spacing w:before="60" w:after="0" w:line="240" w:lineRule="auto"/>
        <w:ind w:left="720" w:hanging="720"/>
        <w:jc w:val="both"/>
        <w:rPr>
          <w:sz w:val="22"/>
          <w:szCs w:val="22"/>
        </w:rPr>
      </w:pPr>
      <w:r w:rsidRPr="009B05D2">
        <w:rPr>
          <w:sz w:val="22"/>
          <w:szCs w:val="22"/>
        </w:rPr>
        <w:t xml:space="preserve">Parametry Aplikace: </w:t>
      </w:r>
      <w:r w:rsidR="009B05D2" w:rsidRPr="009B05D2">
        <w:rPr>
          <w:b/>
          <w:bCs/>
          <w:sz w:val="22"/>
          <w:szCs w:val="22"/>
        </w:rPr>
        <w:t>dle přílohy č. 1</w:t>
      </w:r>
    </w:p>
    <w:p w14:paraId="3B16ADA5" w14:textId="77777777" w:rsidR="001144DD" w:rsidRDefault="001144DD">
      <w:pPr>
        <w:spacing w:before="60" w:after="0" w:line="240" w:lineRule="auto"/>
        <w:jc w:val="both"/>
        <w:rPr>
          <w:sz w:val="22"/>
          <w:szCs w:val="22"/>
        </w:rPr>
      </w:pPr>
    </w:p>
    <w:p w14:paraId="70107864" w14:textId="77777777" w:rsidR="001144DD" w:rsidRDefault="001144DD">
      <w:pPr>
        <w:spacing w:before="60" w:after="0" w:line="240" w:lineRule="auto"/>
        <w:jc w:val="both"/>
        <w:rPr>
          <w:sz w:val="22"/>
          <w:szCs w:val="22"/>
        </w:rPr>
      </w:pPr>
    </w:p>
    <w:p w14:paraId="42E79248" w14:textId="77777777" w:rsidR="001144DD" w:rsidRDefault="001144DD">
      <w:pPr>
        <w:spacing w:before="60" w:after="0" w:line="240" w:lineRule="auto"/>
        <w:jc w:val="both"/>
        <w:rPr>
          <w:sz w:val="22"/>
          <w:szCs w:val="22"/>
        </w:rPr>
      </w:pPr>
    </w:p>
    <w:p w14:paraId="48E3BB08" w14:textId="77777777" w:rsidR="001144DD" w:rsidRDefault="001144DD">
      <w:pPr>
        <w:spacing w:before="60" w:after="0" w:line="240" w:lineRule="auto"/>
        <w:jc w:val="both"/>
        <w:rPr>
          <w:sz w:val="22"/>
          <w:szCs w:val="22"/>
        </w:rPr>
      </w:pPr>
    </w:p>
    <w:p w14:paraId="638B0ACE" w14:textId="77777777" w:rsidR="001144DD" w:rsidRDefault="001144DD">
      <w:pPr>
        <w:spacing w:before="60" w:after="0" w:line="240" w:lineRule="auto"/>
        <w:jc w:val="both"/>
        <w:rPr>
          <w:sz w:val="22"/>
          <w:szCs w:val="22"/>
        </w:rPr>
      </w:pPr>
    </w:p>
    <w:p w14:paraId="682A6610" w14:textId="77777777" w:rsidR="001144DD" w:rsidRDefault="001144DD">
      <w:pPr>
        <w:spacing w:before="60" w:after="0" w:line="240" w:lineRule="auto"/>
        <w:ind w:left="11910"/>
        <w:jc w:val="both"/>
        <w:rPr>
          <w:sz w:val="22"/>
          <w:szCs w:val="22"/>
        </w:rPr>
      </w:pPr>
    </w:p>
    <w:p w14:paraId="3D9A5CDD" w14:textId="272E2AA5" w:rsidR="001144DD" w:rsidRDefault="00F9715E">
      <w:pPr>
        <w:keepNext/>
        <w:numPr>
          <w:ilvl w:val="0"/>
          <w:numId w:val="1"/>
        </w:numPr>
        <w:spacing w:before="60" w:after="0" w:line="240" w:lineRule="auto"/>
        <w:ind w:left="0" w:firstLine="0"/>
        <w:jc w:val="center"/>
        <w:rPr>
          <w:sz w:val="22"/>
          <w:szCs w:val="22"/>
        </w:rPr>
      </w:pPr>
      <w:bookmarkStart w:id="0" w:name="_gjdgxs" w:colFirst="0" w:colLast="0"/>
      <w:bookmarkEnd w:id="0"/>
      <w:r>
        <w:rPr>
          <w:b/>
          <w:sz w:val="22"/>
          <w:szCs w:val="22"/>
        </w:rPr>
        <w:t xml:space="preserve"> </w:t>
      </w:r>
      <w:r w:rsidR="002002E0">
        <w:rPr>
          <w:b/>
          <w:sz w:val="22"/>
          <w:szCs w:val="22"/>
        </w:rPr>
        <w:t>Aplikace MONITORA</w:t>
      </w:r>
    </w:p>
    <w:p w14:paraId="65E95716" w14:textId="77777777" w:rsidR="001144DD" w:rsidRDefault="002002E0">
      <w:pPr>
        <w:numPr>
          <w:ilvl w:val="1"/>
          <w:numId w:val="1"/>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mediích.</w:t>
      </w:r>
    </w:p>
    <w:p w14:paraId="43BEC7CD" w14:textId="77777777" w:rsidR="001144DD" w:rsidRDefault="002002E0">
      <w:pPr>
        <w:numPr>
          <w:ilvl w:val="1"/>
          <w:numId w:val="1"/>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8">
        <w:r>
          <w:rPr>
            <w:color w:val="4BACC6"/>
            <w:sz w:val="22"/>
            <w:szCs w:val="22"/>
            <w:u w:val="single"/>
          </w:rPr>
          <w:t>www.monitora.cz</w:t>
        </w:r>
      </w:hyperlink>
      <w:r>
        <w:rPr>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0903D107" w14:textId="77777777" w:rsidR="001144DD" w:rsidRDefault="002002E0">
      <w:pPr>
        <w:numPr>
          <w:ilvl w:val="1"/>
          <w:numId w:val="1"/>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7276ACF1" w14:textId="77777777" w:rsidR="001144DD" w:rsidRDefault="001144DD">
      <w:pPr>
        <w:spacing w:before="140" w:after="0" w:line="240" w:lineRule="auto"/>
        <w:jc w:val="both"/>
        <w:rPr>
          <w:sz w:val="22"/>
          <w:szCs w:val="22"/>
        </w:rPr>
      </w:pPr>
    </w:p>
    <w:p w14:paraId="4DD58A9E" w14:textId="5676D09E" w:rsidR="001144DD" w:rsidRDefault="00F9715E">
      <w:pPr>
        <w:keepNext/>
        <w:numPr>
          <w:ilvl w:val="0"/>
          <w:numId w:val="1"/>
        </w:numPr>
        <w:spacing w:before="140" w:after="0" w:line="240" w:lineRule="auto"/>
        <w:ind w:left="0" w:firstLine="0"/>
        <w:jc w:val="center"/>
        <w:rPr>
          <w:sz w:val="22"/>
          <w:szCs w:val="22"/>
        </w:rPr>
      </w:pPr>
      <w:r>
        <w:rPr>
          <w:b/>
          <w:sz w:val="22"/>
          <w:szCs w:val="22"/>
        </w:rPr>
        <w:t xml:space="preserve"> </w:t>
      </w:r>
      <w:r w:rsidR="002002E0">
        <w:rPr>
          <w:b/>
          <w:sz w:val="22"/>
          <w:szCs w:val="22"/>
        </w:rPr>
        <w:t>Užití Aplikace Nabyvatelem</w:t>
      </w:r>
    </w:p>
    <w:p w14:paraId="1433ACFD" w14:textId="77777777" w:rsidR="001144DD" w:rsidRDefault="002002E0">
      <w:pPr>
        <w:numPr>
          <w:ilvl w:val="1"/>
          <w:numId w:val="1"/>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1D80145E" w14:textId="77777777" w:rsidR="001144DD" w:rsidRDefault="002002E0">
      <w:pPr>
        <w:numPr>
          <w:ilvl w:val="1"/>
          <w:numId w:val="1"/>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559A254D" w14:textId="77777777" w:rsidR="001144DD" w:rsidRDefault="002002E0">
      <w:pPr>
        <w:numPr>
          <w:ilvl w:val="1"/>
          <w:numId w:val="1"/>
        </w:numPr>
        <w:spacing w:after="120" w:line="240" w:lineRule="auto"/>
        <w:ind w:left="720" w:hanging="720"/>
        <w:jc w:val="both"/>
        <w:rPr>
          <w:sz w:val="22"/>
          <w:szCs w:val="22"/>
        </w:rPr>
      </w:pPr>
      <w:r>
        <w:rPr>
          <w:sz w:val="22"/>
          <w:szCs w:val="22"/>
        </w:rP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1595DBEF" w14:textId="77777777" w:rsidR="001144DD" w:rsidRDefault="002002E0">
      <w:pPr>
        <w:numPr>
          <w:ilvl w:val="1"/>
          <w:numId w:val="1"/>
        </w:numPr>
        <w:spacing w:after="120" w:line="240" w:lineRule="auto"/>
        <w:ind w:left="720" w:hanging="720"/>
        <w:jc w:val="both"/>
        <w:rPr>
          <w:sz w:val="22"/>
          <w:szCs w:val="22"/>
        </w:rPr>
      </w:pPr>
      <w:r>
        <w:rPr>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312314F3" w14:textId="77777777" w:rsidR="001144DD" w:rsidRDefault="002002E0">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29E77FCD" w14:textId="77777777" w:rsidR="001144DD" w:rsidRDefault="002002E0">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311EA6ED" w14:textId="77777777" w:rsidR="001144DD" w:rsidRDefault="001144DD">
      <w:pPr>
        <w:spacing w:before="140" w:after="0" w:line="240" w:lineRule="auto"/>
        <w:ind w:left="720"/>
        <w:jc w:val="both"/>
        <w:rPr>
          <w:sz w:val="22"/>
          <w:szCs w:val="22"/>
        </w:rPr>
      </w:pPr>
    </w:p>
    <w:p w14:paraId="7FF6A890" w14:textId="77777777" w:rsidR="001144DD" w:rsidRDefault="001144DD">
      <w:pPr>
        <w:spacing w:before="140" w:after="0" w:line="240" w:lineRule="auto"/>
        <w:ind w:left="11910"/>
        <w:jc w:val="both"/>
        <w:rPr>
          <w:sz w:val="22"/>
          <w:szCs w:val="22"/>
        </w:rPr>
      </w:pPr>
    </w:p>
    <w:p w14:paraId="34AD8DAE" w14:textId="67581963" w:rsidR="001144DD" w:rsidRDefault="00F9715E">
      <w:pPr>
        <w:keepNext/>
        <w:numPr>
          <w:ilvl w:val="0"/>
          <w:numId w:val="1"/>
        </w:numPr>
        <w:spacing w:before="140" w:after="0" w:line="240" w:lineRule="auto"/>
        <w:ind w:left="0" w:firstLine="0"/>
        <w:jc w:val="center"/>
        <w:rPr>
          <w:sz w:val="22"/>
          <w:szCs w:val="22"/>
        </w:rPr>
      </w:pPr>
      <w:r>
        <w:rPr>
          <w:b/>
          <w:sz w:val="22"/>
          <w:szCs w:val="22"/>
        </w:rPr>
        <w:lastRenderedPageBreak/>
        <w:t xml:space="preserve"> </w:t>
      </w:r>
      <w:r w:rsidR="002002E0">
        <w:rPr>
          <w:b/>
          <w:sz w:val="22"/>
          <w:szCs w:val="22"/>
        </w:rPr>
        <w:t>Omezení Aplikace a databáze</w:t>
      </w:r>
    </w:p>
    <w:p w14:paraId="01211F50" w14:textId="77777777" w:rsidR="001144DD" w:rsidRDefault="002002E0">
      <w:pPr>
        <w:numPr>
          <w:ilvl w:val="1"/>
          <w:numId w:val="1"/>
        </w:numPr>
        <w:spacing w:after="120" w:line="240" w:lineRule="auto"/>
        <w:ind w:left="720" w:hanging="720"/>
        <w:jc w:val="both"/>
        <w:rPr>
          <w:sz w:val="22"/>
          <w:szCs w:val="22"/>
        </w:rPr>
      </w:pPr>
      <w:r>
        <w:rPr>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6EBADE08" w14:textId="77777777" w:rsidR="001144DD" w:rsidRDefault="002002E0">
      <w:pPr>
        <w:numPr>
          <w:ilvl w:val="1"/>
          <w:numId w:val="1"/>
        </w:numPr>
        <w:spacing w:after="120" w:line="240" w:lineRule="auto"/>
        <w:ind w:left="720" w:hanging="720"/>
        <w:jc w:val="both"/>
        <w:rPr>
          <w:sz w:val="22"/>
          <w:szCs w:val="22"/>
        </w:rPr>
      </w:pPr>
      <w:r>
        <w:rPr>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11E4CBED" w14:textId="77777777" w:rsidR="001144DD" w:rsidRDefault="002002E0">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116FFB39" w14:textId="77777777" w:rsidR="001144DD" w:rsidRDefault="002002E0">
      <w:pPr>
        <w:numPr>
          <w:ilvl w:val="1"/>
          <w:numId w:val="1"/>
        </w:numPr>
        <w:spacing w:before="140" w:after="0" w:line="240" w:lineRule="auto"/>
        <w:ind w:left="720" w:hanging="720"/>
        <w:jc w:val="both"/>
        <w:rPr>
          <w:sz w:val="22"/>
          <w:szCs w:val="22"/>
        </w:rPr>
      </w:pPr>
      <w:r>
        <w:rPr>
          <w:sz w:val="22"/>
          <w:szCs w:val="22"/>
        </w:rPr>
        <w:t>Poskytovatel neodpovídá za škody způsobené Nabyvateli anebo třetím osobám z důvodu vad Aplikace anebo dat zpřístupněných Aplikací.</w:t>
      </w:r>
    </w:p>
    <w:p w14:paraId="10056F0F" w14:textId="3070879F" w:rsidR="001144DD" w:rsidRDefault="002002E0" w:rsidP="00D25734">
      <w:pPr>
        <w:numPr>
          <w:ilvl w:val="0"/>
          <w:numId w:val="1"/>
        </w:numPr>
        <w:pBdr>
          <w:top w:val="nil"/>
          <w:left w:val="nil"/>
          <w:bottom w:val="nil"/>
          <w:right w:val="nil"/>
          <w:between w:val="nil"/>
        </w:pBdr>
        <w:spacing w:before="140" w:after="0" w:line="240" w:lineRule="auto"/>
        <w:ind w:left="2977" w:firstLine="8933"/>
        <w:rPr>
          <w:color w:val="000000"/>
          <w:sz w:val="22"/>
          <w:szCs w:val="22"/>
        </w:rPr>
      </w:pPr>
      <w:r>
        <w:rPr>
          <w:b/>
          <w:color w:val="000000"/>
          <w:sz w:val="22"/>
          <w:szCs w:val="22"/>
        </w:rPr>
        <w:t>5</w:t>
      </w:r>
      <w:r w:rsidR="00F9715E">
        <w:rPr>
          <w:b/>
          <w:color w:val="000000"/>
          <w:sz w:val="22"/>
          <w:szCs w:val="22"/>
        </w:rPr>
        <w:t>5</w:t>
      </w:r>
      <w:r>
        <w:rPr>
          <w:b/>
          <w:color w:val="000000"/>
          <w:sz w:val="22"/>
          <w:szCs w:val="22"/>
        </w:rPr>
        <w:t>. Odměna za poskytnutí Licence</w:t>
      </w:r>
    </w:p>
    <w:p w14:paraId="3C3C21FA" w14:textId="680F9AC7" w:rsidR="00A26D69" w:rsidRPr="001824CC" w:rsidRDefault="002002E0">
      <w:pPr>
        <w:numPr>
          <w:ilvl w:val="1"/>
          <w:numId w:val="1"/>
        </w:numPr>
        <w:spacing w:after="120" w:line="240" w:lineRule="auto"/>
        <w:ind w:left="720" w:hanging="720"/>
        <w:jc w:val="both"/>
        <w:rPr>
          <w:sz w:val="22"/>
          <w:szCs w:val="22"/>
        </w:rPr>
      </w:pPr>
      <w:r w:rsidRPr="001824CC">
        <w:rPr>
          <w:sz w:val="22"/>
          <w:szCs w:val="22"/>
        </w:rPr>
        <w:t xml:space="preserve">Celková výše měsíční odměny za 1 licenci za monitoring: </w:t>
      </w:r>
      <w:r w:rsidRPr="001824CC">
        <w:rPr>
          <w:b/>
          <w:sz w:val="22"/>
          <w:szCs w:val="22"/>
        </w:rPr>
        <w:t>5</w:t>
      </w:r>
      <w:r w:rsidR="001824CC">
        <w:rPr>
          <w:b/>
          <w:sz w:val="22"/>
          <w:szCs w:val="22"/>
        </w:rPr>
        <w:t>.</w:t>
      </w:r>
      <w:r w:rsidRPr="001824CC">
        <w:rPr>
          <w:b/>
          <w:sz w:val="22"/>
          <w:szCs w:val="22"/>
        </w:rPr>
        <w:t>000,- Kč bez DPH</w:t>
      </w:r>
      <w:r w:rsidRPr="001824CC">
        <w:rPr>
          <w:sz w:val="22"/>
          <w:szCs w:val="22"/>
        </w:rPr>
        <w:t>.</w:t>
      </w:r>
      <w:r w:rsidR="001824CC" w:rsidRPr="001824CC">
        <w:rPr>
          <w:sz w:val="22"/>
          <w:szCs w:val="22"/>
        </w:rPr>
        <w:t xml:space="preserve"> </w:t>
      </w:r>
      <w:r w:rsidR="001824CC">
        <w:rPr>
          <w:rFonts w:cs="Arial"/>
          <w:sz w:val="22"/>
          <w:szCs w:val="22"/>
        </w:rPr>
        <w:t>Nabyvatel</w:t>
      </w:r>
      <w:r w:rsidR="001824CC" w:rsidRPr="00D25734">
        <w:rPr>
          <w:rFonts w:cs="Arial"/>
          <w:sz w:val="22"/>
          <w:szCs w:val="22"/>
        </w:rPr>
        <w:t xml:space="preserve"> se zavazuje zároveň</w:t>
      </w:r>
      <w:r w:rsidR="001824CC" w:rsidRPr="001824CC">
        <w:rPr>
          <w:rFonts w:cs="Arial"/>
          <w:sz w:val="22"/>
          <w:szCs w:val="22"/>
        </w:rPr>
        <w:t xml:space="preserve"> s odměnou uhradit DPH v</w:t>
      </w:r>
      <w:r w:rsidR="001824CC">
        <w:rPr>
          <w:rFonts w:cs="Arial"/>
          <w:sz w:val="22"/>
          <w:szCs w:val="22"/>
        </w:rPr>
        <w:t> </w:t>
      </w:r>
      <w:r w:rsidR="001824CC" w:rsidRPr="001824CC">
        <w:rPr>
          <w:rFonts w:cs="Arial"/>
          <w:sz w:val="22"/>
          <w:szCs w:val="22"/>
        </w:rPr>
        <w:t>zákonné</w:t>
      </w:r>
      <w:r w:rsidR="001824CC" w:rsidRPr="00D25734">
        <w:rPr>
          <w:rFonts w:cs="Arial"/>
          <w:sz w:val="22"/>
          <w:szCs w:val="22"/>
        </w:rPr>
        <w:t xml:space="preserve"> výši</w:t>
      </w:r>
      <w:r w:rsidR="001824CC" w:rsidRPr="001824CC">
        <w:rPr>
          <w:rFonts w:cs="Arial"/>
          <w:sz w:val="22"/>
          <w:szCs w:val="22"/>
        </w:rPr>
        <w:t xml:space="preserve"> 21</w:t>
      </w:r>
      <w:r w:rsidR="001824CC" w:rsidRPr="00D25734">
        <w:rPr>
          <w:rFonts w:cs="Arial"/>
          <w:sz w:val="22"/>
          <w:szCs w:val="22"/>
        </w:rPr>
        <w:t xml:space="preserve">%. Celková odměna za užívání licence </w:t>
      </w:r>
      <w:r w:rsidR="001824CC" w:rsidRPr="00D25734">
        <w:rPr>
          <w:rFonts w:cs="Arial"/>
          <w:b/>
          <w:sz w:val="22"/>
          <w:szCs w:val="22"/>
        </w:rPr>
        <w:t xml:space="preserve">činí včetně DPH </w:t>
      </w:r>
      <w:r w:rsidR="001824CC">
        <w:rPr>
          <w:rFonts w:cs="Arial"/>
          <w:b/>
          <w:sz w:val="22"/>
          <w:szCs w:val="22"/>
        </w:rPr>
        <w:t xml:space="preserve">6.050,- </w:t>
      </w:r>
      <w:r w:rsidR="001824CC" w:rsidRPr="00D25734">
        <w:rPr>
          <w:rFonts w:cs="Arial"/>
          <w:b/>
          <w:sz w:val="22"/>
          <w:szCs w:val="22"/>
        </w:rPr>
        <w:t>Kč</w:t>
      </w:r>
      <w:r w:rsidR="001824CC" w:rsidRPr="00D25734">
        <w:rPr>
          <w:rFonts w:cs="Arial"/>
          <w:sz w:val="22"/>
          <w:szCs w:val="22"/>
        </w:rPr>
        <w:t>.</w:t>
      </w:r>
    </w:p>
    <w:p w14:paraId="11A4510C" w14:textId="64FD75E8" w:rsidR="001144DD" w:rsidRPr="00A26D69" w:rsidRDefault="002002E0" w:rsidP="00D25734">
      <w:pPr>
        <w:numPr>
          <w:ilvl w:val="1"/>
          <w:numId w:val="1"/>
        </w:numPr>
        <w:spacing w:after="120" w:line="240" w:lineRule="auto"/>
        <w:ind w:left="720" w:hanging="720"/>
        <w:jc w:val="both"/>
        <w:rPr>
          <w:sz w:val="22"/>
          <w:szCs w:val="22"/>
        </w:rPr>
      </w:pPr>
      <w:r w:rsidRPr="001824CC">
        <w:rPr>
          <w:sz w:val="22"/>
          <w:szCs w:val="22"/>
        </w:rPr>
        <w:t>Faktury budou odesílány elektronicky</w:t>
      </w:r>
      <w:r w:rsidRPr="00A26D69">
        <w:rPr>
          <w:sz w:val="22"/>
          <w:szCs w:val="22"/>
        </w:rPr>
        <w:t xml:space="preserve"> na email:</w:t>
      </w:r>
      <w:r w:rsidR="00A26D69" w:rsidRPr="00D25734">
        <w:rPr>
          <w:b/>
          <w:sz w:val="22"/>
          <w:szCs w:val="22"/>
        </w:rPr>
        <w:t xml:space="preserve"> podatelna@ksoud.plz.justice.cz</w:t>
      </w:r>
    </w:p>
    <w:p w14:paraId="2EC5634C" w14:textId="77777777" w:rsidR="001144DD" w:rsidRDefault="002002E0">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657F162D" w14:textId="77777777" w:rsidR="001144DD" w:rsidRDefault="002002E0">
      <w:pPr>
        <w:numPr>
          <w:ilvl w:val="1"/>
          <w:numId w:val="1"/>
        </w:numPr>
        <w:spacing w:after="120" w:line="240" w:lineRule="auto"/>
        <w:ind w:left="720" w:hanging="720"/>
        <w:jc w:val="both"/>
        <w:rPr>
          <w:sz w:val="22"/>
          <w:szCs w:val="22"/>
        </w:rPr>
      </w:pPr>
      <w:r>
        <w:rPr>
          <w:sz w:val="22"/>
          <w:szCs w:val="22"/>
        </w:rPr>
        <w:t>Při prodlení úhrady faktury se sjednává smluvní pokuta ve výši 0,25 % z dlužné částky 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5782A5B2" w14:textId="77777777" w:rsidR="001144DD" w:rsidRDefault="002002E0">
      <w:pPr>
        <w:numPr>
          <w:ilvl w:val="1"/>
          <w:numId w:val="1"/>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p>
    <w:p w14:paraId="4A1B8657" w14:textId="77777777" w:rsidR="001144DD" w:rsidRDefault="001144DD">
      <w:pPr>
        <w:spacing w:after="120" w:line="240" w:lineRule="auto"/>
        <w:jc w:val="both"/>
        <w:rPr>
          <w:sz w:val="22"/>
          <w:szCs w:val="22"/>
        </w:rPr>
      </w:pPr>
    </w:p>
    <w:p w14:paraId="1CFD87EE" w14:textId="77777777" w:rsidR="001144DD" w:rsidRDefault="002002E0" w:rsidP="00D25734">
      <w:pPr>
        <w:numPr>
          <w:ilvl w:val="0"/>
          <w:numId w:val="1"/>
        </w:numPr>
        <w:pBdr>
          <w:top w:val="nil"/>
          <w:left w:val="nil"/>
          <w:bottom w:val="nil"/>
          <w:right w:val="nil"/>
          <w:between w:val="nil"/>
        </w:pBdr>
        <w:spacing w:before="140" w:after="0" w:line="240" w:lineRule="auto"/>
        <w:ind w:left="3544" w:firstLine="8366"/>
        <w:jc w:val="both"/>
        <w:rPr>
          <w:color w:val="000000"/>
          <w:sz w:val="22"/>
          <w:szCs w:val="22"/>
        </w:rPr>
      </w:pPr>
      <w:r>
        <w:rPr>
          <w:b/>
          <w:color w:val="000000"/>
          <w:sz w:val="22"/>
          <w:szCs w:val="22"/>
        </w:rPr>
        <w:t>T6. Trvání smlouvy</w:t>
      </w:r>
    </w:p>
    <w:p w14:paraId="45548483" w14:textId="706C7E0A" w:rsidR="001144DD" w:rsidRDefault="002002E0">
      <w:pPr>
        <w:numPr>
          <w:ilvl w:val="1"/>
          <w:numId w:val="1"/>
        </w:numPr>
        <w:spacing w:after="120" w:line="240" w:lineRule="auto"/>
        <w:ind w:left="720" w:hanging="720"/>
        <w:jc w:val="both"/>
        <w:rPr>
          <w:sz w:val="22"/>
          <w:szCs w:val="22"/>
        </w:rPr>
      </w:pPr>
      <w:r>
        <w:rPr>
          <w:sz w:val="22"/>
          <w:szCs w:val="22"/>
        </w:rPr>
        <w:t>Tato smlouva se uzavírá na dobu určitou</w:t>
      </w:r>
      <w:r w:rsidR="009B05D2">
        <w:rPr>
          <w:sz w:val="22"/>
          <w:szCs w:val="22"/>
        </w:rPr>
        <w:t>, a to ode dne 1.</w:t>
      </w:r>
      <w:r w:rsidR="001824CC">
        <w:rPr>
          <w:sz w:val="22"/>
          <w:szCs w:val="22"/>
        </w:rPr>
        <w:t xml:space="preserve"> </w:t>
      </w:r>
      <w:r w:rsidR="009B05D2">
        <w:rPr>
          <w:sz w:val="22"/>
          <w:szCs w:val="22"/>
        </w:rPr>
        <w:t>9.</w:t>
      </w:r>
      <w:r w:rsidR="001824CC">
        <w:rPr>
          <w:sz w:val="22"/>
          <w:szCs w:val="22"/>
        </w:rPr>
        <w:t xml:space="preserve"> </w:t>
      </w:r>
      <w:r w:rsidR="009B05D2">
        <w:rPr>
          <w:sz w:val="22"/>
          <w:szCs w:val="22"/>
        </w:rPr>
        <w:t>2023 do 31.</w:t>
      </w:r>
      <w:r w:rsidR="001824CC">
        <w:rPr>
          <w:sz w:val="22"/>
          <w:szCs w:val="22"/>
        </w:rPr>
        <w:t xml:space="preserve"> </w:t>
      </w:r>
      <w:r w:rsidR="009B05D2">
        <w:rPr>
          <w:sz w:val="22"/>
          <w:szCs w:val="22"/>
        </w:rPr>
        <w:t>8.</w:t>
      </w:r>
      <w:r w:rsidR="001824CC">
        <w:rPr>
          <w:sz w:val="22"/>
          <w:szCs w:val="22"/>
        </w:rPr>
        <w:t xml:space="preserve"> </w:t>
      </w:r>
      <w:r w:rsidR="009B05D2">
        <w:rPr>
          <w:sz w:val="22"/>
          <w:szCs w:val="22"/>
        </w:rPr>
        <w:t>2025.</w:t>
      </w:r>
    </w:p>
    <w:p w14:paraId="3A4B6DBD" w14:textId="25C802AB" w:rsidR="009B05D2" w:rsidRDefault="009B05D2">
      <w:pPr>
        <w:numPr>
          <w:ilvl w:val="1"/>
          <w:numId w:val="1"/>
        </w:numPr>
        <w:spacing w:after="120" w:line="240" w:lineRule="auto"/>
        <w:ind w:left="720" w:hanging="720"/>
        <w:jc w:val="both"/>
        <w:rPr>
          <w:sz w:val="22"/>
          <w:szCs w:val="22"/>
        </w:rPr>
      </w:pPr>
      <w:r>
        <w:rPr>
          <w:sz w:val="22"/>
          <w:szCs w:val="22"/>
        </w:rPr>
        <w:t xml:space="preserve">Smluvní strany si sjednaly bezplatné období </w:t>
      </w:r>
      <w:r w:rsidR="001824CC">
        <w:rPr>
          <w:sz w:val="22"/>
          <w:szCs w:val="22"/>
        </w:rPr>
        <w:t xml:space="preserve">od 10. 7. 2023 </w:t>
      </w:r>
      <w:r>
        <w:rPr>
          <w:sz w:val="22"/>
          <w:szCs w:val="22"/>
        </w:rPr>
        <w:t>do 31.</w:t>
      </w:r>
      <w:r w:rsidR="001824CC">
        <w:rPr>
          <w:sz w:val="22"/>
          <w:szCs w:val="22"/>
        </w:rPr>
        <w:t xml:space="preserve"> </w:t>
      </w:r>
      <w:r>
        <w:rPr>
          <w:sz w:val="22"/>
          <w:szCs w:val="22"/>
        </w:rPr>
        <w:t>8.</w:t>
      </w:r>
      <w:r w:rsidR="001824CC">
        <w:rPr>
          <w:sz w:val="22"/>
          <w:szCs w:val="22"/>
        </w:rPr>
        <w:t xml:space="preserve"> </w:t>
      </w:r>
      <w:r>
        <w:rPr>
          <w:sz w:val="22"/>
          <w:szCs w:val="22"/>
        </w:rPr>
        <w:t>2023.</w:t>
      </w:r>
    </w:p>
    <w:p w14:paraId="566C6144" w14:textId="77777777" w:rsidR="001144DD" w:rsidRDefault="002002E0">
      <w:pPr>
        <w:numPr>
          <w:ilvl w:val="1"/>
          <w:numId w:val="1"/>
        </w:numPr>
        <w:spacing w:after="120" w:line="240" w:lineRule="auto"/>
        <w:ind w:left="720" w:hanging="720"/>
        <w:jc w:val="both"/>
        <w:rPr>
          <w:sz w:val="22"/>
          <w:szCs w:val="22"/>
        </w:rPr>
      </w:pPr>
      <w:r>
        <w:rPr>
          <w:sz w:val="22"/>
          <w:szCs w:val="22"/>
        </w:rPr>
        <w:t>Před koncem sjednané doby trvání může Poskytovatel Nabyvateli zaslat návrh na prodloužení trvání této smlouvy, a to v podobě faktury na úhradu odměny za další smluvní období, anebo jeho část, anebo nabídky na prodloužení smlouvy. V případě uhrazení faktury vztažené k dalšímu smluvnímu období, anebo vyjádření souhlasu Nabyvatele s prodloužením smlouvy se trvání této smlouvy prodlužuje na další 1 rok. Nebude-li faktura uhrazena anebo nabídka přijata, smlouva uplynutím sjednané doby trvání zaniká.</w:t>
      </w:r>
    </w:p>
    <w:p w14:paraId="16DC5914" w14:textId="77777777" w:rsidR="001144DD" w:rsidRDefault="002002E0">
      <w:pPr>
        <w:numPr>
          <w:ilvl w:val="1"/>
          <w:numId w:val="1"/>
        </w:numPr>
        <w:spacing w:after="120" w:line="240" w:lineRule="auto"/>
        <w:ind w:left="720" w:hanging="720"/>
        <w:jc w:val="both"/>
        <w:rPr>
          <w:sz w:val="22"/>
          <w:szCs w:val="22"/>
        </w:rPr>
      </w:pPr>
      <w:r>
        <w:rPr>
          <w:sz w:val="22"/>
          <w:szCs w:val="22"/>
        </w:rPr>
        <w:lastRenderedPageBreak/>
        <w:t>Faktura a/nebo nabídka podle čl. 6.2 může být zaslána písemně nebo elektronicky. Způsobem uvedeným v čl. 6.2 může být trvání smlouvy prodlouženo i opakovaně. Případné výhrady či protinávrhy Nabyvatele při odsouhlasování prodloužení smlouvy musí být výslovně odsouhlaseny Poskytovatelem, jinak se k nim nepřihlíží.</w:t>
      </w:r>
    </w:p>
    <w:p w14:paraId="1E5212E8" w14:textId="77777777" w:rsidR="001144DD" w:rsidRDefault="002002E0">
      <w:pPr>
        <w:numPr>
          <w:ilvl w:val="1"/>
          <w:numId w:val="1"/>
        </w:numPr>
        <w:spacing w:after="120" w:line="240" w:lineRule="auto"/>
        <w:ind w:left="720" w:hanging="720"/>
        <w:jc w:val="both"/>
        <w:rPr>
          <w:sz w:val="22"/>
          <w:szCs w:val="22"/>
        </w:rPr>
      </w:pPr>
      <w:r>
        <w:rPr>
          <w:sz w:val="22"/>
          <w:szCs w:val="22"/>
        </w:rPr>
        <w:t>Nabyvatel přebírá nebezpečí změny okolností po uzavření smlouvy a není tedy oprávněn se domáhat obnovení jednání o podmínkách této smlouvy po podstatné změně okolností, nastalé po uzavření této smlouvy, a to ani při prodlužování podle čl. 6.2 výše.</w:t>
      </w:r>
    </w:p>
    <w:p w14:paraId="4DAC226D" w14:textId="77777777" w:rsidR="001144DD" w:rsidRDefault="001144DD">
      <w:pPr>
        <w:spacing w:after="120" w:line="240" w:lineRule="auto"/>
        <w:ind w:left="720"/>
        <w:jc w:val="both"/>
        <w:rPr>
          <w:sz w:val="22"/>
          <w:szCs w:val="22"/>
        </w:rPr>
      </w:pPr>
    </w:p>
    <w:p w14:paraId="5FB188C3" w14:textId="77777777" w:rsidR="001144DD" w:rsidRDefault="002002E0">
      <w:pPr>
        <w:keepNext/>
        <w:numPr>
          <w:ilvl w:val="0"/>
          <w:numId w:val="1"/>
        </w:numPr>
        <w:spacing w:before="140" w:after="0" w:line="240" w:lineRule="auto"/>
        <w:ind w:left="0" w:firstLine="0"/>
        <w:jc w:val="center"/>
        <w:rPr>
          <w:sz w:val="22"/>
          <w:szCs w:val="22"/>
        </w:rPr>
      </w:pPr>
      <w:r>
        <w:rPr>
          <w:b/>
          <w:sz w:val="22"/>
          <w:szCs w:val="22"/>
        </w:rPr>
        <w:t>Závěrečná ustanovení</w:t>
      </w:r>
    </w:p>
    <w:p w14:paraId="38D88086" w14:textId="3F00564C" w:rsidR="001144DD" w:rsidRPr="00D25734" w:rsidRDefault="002002E0">
      <w:pPr>
        <w:numPr>
          <w:ilvl w:val="1"/>
          <w:numId w:val="1"/>
        </w:numPr>
        <w:spacing w:after="120" w:line="240" w:lineRule="auto"/>
        <w:ind w:left="720" w:hanging="720"/>
        <w:jc w:val="both"/>
        <w:rPr>
          <w:rFonts w:asciiTheme="majorHAnsi" w:hAnsiTheme="majorHAnsi" w:cstheme="majorHAnsi"/>
          <w:sz w:val="22"/>
          <w:szCs w:val="22"/>
        </w:rPr>
      </w:pPr>
      <w:r>
        <w:rPr>
          <w:sz w:val="22"/>
          <w:szCs w:val="22"/>
        </w:rPr>
        <w:t xml:space="preserve">Vztahuje-li se důvod neplatnosti resp. neúčinnosti jen na některé ustanovení této smlouvy, je neplatným </w:t>
      </w:r>
      <w:r w:rsidRPr="00D25734">
        <w:rPr>
          <w:rFonts w:asciiTheme="majorHAnsi" w:hAnsiTheme="majorHAnsi" w:cstheme="majorHAnsi"/>
          <w:sz w:val="22"/>
          <w:szCs w:val="22"/>
        </w:rPr>
        <w:t>resp. neúčinným pouze toto ustanovení, pokud z jeho povahy nebo obsahu anebo z okolností, za nichž bylo sjednáno, nevyplývá, že je nelze oddělit od ostatního obsahu smlouvy.</w:t>
      </w:r>
    </w:p>
    <w:p w14:paraId="0AFB8232" w14:textId="7C5D1A5C" w:rsidR="009F41E5" w:rsidRPr="00D25734" w:rsidRDefault="009F41E5">
      <w:pPr>
        <w:numPr>
          <w:ilvl w:val="1"/>
          <w:numId w:val="1"/>
        </w:numPr>
        <w:spacing w:after="120" w:line="240" w:lineRule="auto"/>
        <w:ind w:left="720" w:hanging="720"/>
        <w:jc w:val="both"/>
        <w:rPr>
          <w:rFonts w:asciiTheme="majorHAnsi" w:hAnsiTheme="majorHAnsi" w:cstheme="majorHAnsi"/>
          <w:sz w:val="22"/>
          <w:szCs w:val="22"/>
        </w:rPr>
      </w:pPr>
      <w:r w:rsidRPr="00D25734">
        <w:rPr>
          <w:rFonts w:asciiTheme="majorHAnsi" w:hAnsiTheme="majorHAnsi" w:cstheme="majorHAnsi"/>
          <w:sz w:val="22"/>
          <w:szCs w:val="22"/>
        </w:rPr>
        <w:t xml:space="preserve">Smlouvu lze ukončit písemnou dohodou smluvních stran, odstoupením od </w:t>
      </w:r>
      <w:r>
        <w:rPr>
          <w:rFonts w:asciiTheme="majorHAnsi" w:hAnsiTheme="majorHAnsi" w:cstheme="majorHAnsi"/>
          <w:sz w:val="22"/>
          <w:szCs w:val="22"/>
        </w:rPr>
        <w:t>s</w:t>
      </w:r>
      <w:r w:rsidRPr="00D25734">
        <w:rPr>
          <w:rFonts w:asciiTheme="majorHAnsi" w:hAnsiTheme="majorHAnsi" w:cstheme="majorHAnsi"/>
          <w:sz w:val="22"/>
          <w:szCs w:val="22"/>
        </w:rPr>
        <w:t xml:space="preserve">mlouvy nebo písemnou výpovědí. Odstoupení od </w:t>
      </w:r>
      <w:r>
        <w:rPr>
          <w:rFonts w:asciiTheme="majorHAnsi" w:hAnsiTheme="majorHAnsi" w:cstheme="majorHAnsi"/>
          <w:sz w:val="22"/>
          <w:szCs w:val="22"/>
        </w:rPr>
        <w:t>s</w:t>
      </w:r>
      <w:r w:rsidRPr="00D25734">
        <w:rPr>
          <w:rFonts w:asciiTheme="majorHAnsi" w:hAnsiTheme="majorHAnsi" w:cstheme="majorHAnsi"/>
          <w:sz w:val="22"/>
          <w:szCs w:val="22"/>
        </w:rPr>
        <w:t xml:space="preserve">mlouvy ze strany </w:t>
      </w:r>
      <w:r>
        <w:rPr>
          <w:rFonts w:asciiTheme="majorHAnsi" w:hAnsiTheme="majorHAnsi" w:cstheme="majorHAnsi"/>
          <w:sz w:val="22"/>
          <w:szCs w:val="22"/>
        </w:rPr>
        <w:t xml:space="preserve">Nabyvatele </w:t>
      </w:r>
      <w:r w:rsidRPr="00D25734">
        <w:rPr>
          <w:rFonts w:asciiTheme="majorHAnsi" w:hAnsiTheme="majorHAnsi" w:cstheme="majorHAnsi"/>
          <w:sz w:val="22"/>
          <w:szCs w:val="22"/>
        </w:rPr>
        <w:t>nesmí být spojeno s uložením jakékoliv sankce k jeho tíži</w:t>
      </w:r>
    </w:p>
    <w:p w14:paraId="64C76CCB" w14:textId="3DA54598" w:rsidR="001144DD" w:rsidRPr="00D25734" w:rsidRDefault="002002E0">
      <w:pPr>
        <w:numPr>
          <w:ilvl w:val="1"/>
          <w:numId w:val="1"/>
        </w:numPr>
        <w:spacing w:after="120" w:line="240" w:lineRule="auto"/>
        <w:ind w:left="720" w:hanging="720"/>
        <w:jc w:val="both"/>
        <w:rPr>
          <w:rFonts w:asciiTheme="majorHAnsi" w:hAnsiTheme="majorHAnsi" w:cstheme="majorHAnsi"/>
          <w:sz w:val="22"/>
          <w:szCs w:val="22"/>
        </w:rPr>
      </w:pPr>
      <w:r>
        <w:rPr>
          <w:sz w:val="22"/>
          <w:szCs w:val="22"/>
        </w:rPr>
        <w:t xml:space="preserve">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w:t>
      </w:r>
      <w:r w:rsidRPr="00D25734">
        <w:rPr>
          <w:rFonts w:asciiTheme="majorHAnsi" w:hAnsiTheme="majorHAnsi" w:cstheme="majorHAnsi"/>
          <w:sz w:val="22"/>
          <w:szCs w:val="22"/>
        </w:rPr>
        <w:t>pro tento případ práva dovolávat se relativní neplatnosti příslušného ujednání.</w:t>
      </w:r>
    </w:p>
    <w:p w14:paraId="694573C6" w14:textId="77777777" w:rsidR="006529DB" w:rsidRPr="007E3048" w:rsidRDefault="009F41E5" w:rsidP="00D25734">
      <w:pPr>
        <w:numPr>
          <w:ilvl w:val="1"/>
          <w:numId w:val="1"/>
        </w:numPr>
        <w:spacing w:after="120" w:line="240" w:lineRule="auto"/>
        <w:ind w:left="720" w:hanging="720"/>
        <w:jc w:val="both"/>
        <w:rPr>
          <w:rFonts w:asciiTheme="majorHAnsi" w:hAnsiTheme="majorHAnsi" w:cstheme="majorHAnsi"/>
          <w:sz w:val="22"/>
          <w:szCs w:val="22"/>
        </w:rPr>
      </w:pPr>
      <w:r w:rsidRPr="00D25734">
        <w:rPr>
          <w:rFonts w:asciiTheme="majorHAnsi" w:hAnsiTheme="majorHAnsi" w:cstheme="majorHAnsi"/>
          <w:sz w:val="22"/>
          <w:szCs w:val="22"/>
        </w:rPr>
        <w:t>Poskytovatel bere na vědomí, že smlouva včetně jejích příloh a případných dodatků může být uveřejněna na internetových stránkách Nabyvatele a na jeho profilu, a že smlouva bude uveřejněna v registru smluv dle zákona č. 340/2015 Sb., o zvláštních podmínkách účinnosti některých smluv, uveřejňování těchto smluv a o registru smluv (zákon o registru smluv). Uveřejnění v registru smluv zajistí Nabyvatel.</w:t>
      </w:r>
    </w:p>
    <w:p w14:paraId="17E94B3F" w14:textId="36C98BB0" w:rsidR="006529DB" w:rsidRPr="006529DB" w:rsidRDefault="006529DB">
      <w:pPr>
        <w:numPr>
          <w:ilvl w:val="1"/>
          <w:numId w:val="1"/>
        </w:numPr>
        <w:spacing w:after="120" w:line="240" w:lineRule="auto"/>
        <w:ind w:left="720" w:hanging="720"/>
        <w:jc w:val="both"/>
        <w:rPr>
          <w:rFonts w:asciiTheme="majorHAnsi" w:hAnsiTheme="majorHAnsi" w:cstheme="majorHAnsi"/>
          <w:sz w:val="22"/>
          <w:szCs w:val="22"/>
        </w:rPr>
      </w:pPr>
      <w:r>
        <w:rPr>
          <w:sz w:val="22"/>
          <w:szCs w:val="22"/>
        </w:rPr>
        <w:t>Poskytovatel</w:t>
      </w:r>
      <w:r w:rsidRPr="00D25734">
        <w:rPr>
          <w:sz w:val="22"/>
          <w:szCs w:val="22"/>
        </w:rPr>
        <w:t xml:space="preserve">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14:paraId="5CC2A324" w14:textId="7DAAD66C" w:rsidR="009F41E5" w:rsidRPr="00D25734" w:rsidRDefault="007676CA">
      <w:pPr>
        <w:numPr>
          <w:ilvl w:val="1"/>
          <w:numId w:val="1"/>
        </w:numPr>
        <w:spacing w:after="120" w:line="240" w:lineRule="auto"/>
        <w:ind w:left="720" w:hanging="720"/>
        <w:jc w:val="both"/>
        <w:rPr>
          <w:rFonts w:asciiTheme="majorHAnsi" w:hAnsiTheme="majorHAnsi" w:cstheme="majorHAnsi"/>
          <w:sz w:val="22"/>
          <w:szCs w:val="22"/>
        </w:rPr>
      </w:pPr>
      <w:r>
        <w:rPr>
          <w:rFonts w:asciiTheme="majorHAnsi" w:hAnsiTheme="majorHAnsi" w:cstheme="majorHAnsi"/>
          <w:sz w:val="22"/>
          <w:szCs w:val="22"/>
        </w:rPr>
        <w:t>Veškeré změny a doplňky této s</w:t>
      </w:r>
      <w:r w:rsidR="009F41E5" w:rsidRPr="00D25734">
        <w:rPr>
          <w:rFonts w:asciiTheme="majorHAnsi" w:hAnsiTheme="majorHAnsi" w:cstheme="majorHAnsi"/>
          <w:sz w:val="22"/>
          <w:szCs w:val="22"/>
        </w:rPr>
        <w:t>mlouvy musí být učiněny písemně ve fo</w:t>
      </w:r>
      <w:r>
        <w:rPr>
          <w:rFonts w:asciiTheme="majorHAnsi" w:hAnsiTheme="majorHAnsi" w:cstheme="majorHAnsi"/>
          <w:sz w:val="22"/>
          <w:szCs w:val="22"/>
        </w:rPr>
        <w:t>rmě číslovaného dodatku k této s</w:t>
      </w:r>
      <w:r w:rsidR="009F41E5" w:rsidRPr="00D25734">
        <w:rPr>
          <w:rFonts w:asciiTheme="majorHAnsi" w:hAnsiTheme="majorHAnsi" w:cstheme="majorHAnsi"/>
          <w:sz w:val="22"/>
          <w:szCs w:val="22"/>
        </w:rPr>
        <w:t>mlouvě, podepsaného k tomu oprávněnými zástupci obou smluvních stran.</w:t>
      </w:r>
    </w:p>
    <w:p w14:paraId="51A598F6" w14:textId="086BA10E" w:rsidR="001144DD" w:rsidRPr="00D25734" w:rsidRDefault="002002E0">
      <w:pPr>
        <w:numPr>
          <w:ilvl w:val="1"/>
          <w:numId w:val="1"/>
        </w:numPr>
        <w:spacing w:after="120" w:line="240" w:lineRule="auto"/>
        <w:ind w:left="720" w:hanging="720"/>
        <w:jc w:val="both"/>
        <w:rPr>
          <w:rFonts w:asciiTheme="majorHAnsi" w:hAnsiTheme="majorHAnsi" w:cstheme="majorHAnsi"/>
          <w:sz w:val="22"/>
          <w:szCs w:val="22"/>
        </w:rPr>
      </w:pPr>
      <w:r w:rsidRPr="00D25734">
        <w:rPr>
          <w:rFonts w:asciiTheme="majorHAnsi" w:hAnsiTheme="majorHAnsi" w:cstheme="majorHAnsi"/>
          <w:sz w:val="22"/>
          <w:szCs w:val="22"/>
        </w:rPr>
        <w:t xml:space="preserve">Smluvní strany sjednaly, že pro řešení sporů ze vztahů vzniklých na základě této </w:t>
      </w:r>
      <w:r w:rsidR="007676CA">
        <w:rPr>
          <w:rFonts w:asciiTheme="majorHAnsi" w:hAnsiTheme="majorHAnsi" w:cstheme="majorHAnsi"/>
          <w:sz w:val="22"/>
          <w:szCs w:val="22"/>
        </w:rPr>
        <w:t>s</w:t>
      </w:r>
      <w:r w:rsidRPr="00D25734">
        <w:rPr>
          <w:rFonts w:asciiTheme="majorHAnsi" w:hAnsiTheme="majorHAnsi" w:cstheme="majorHAnsi"/>
          <w:sz w:val="22"/>
          <w:szCs w:val="22"/>
        </w:rPr>
        <w:t>mlouvy je místně příslušný soud, v jehož obvodu je sídlo Poskytovatele.</w:t>
      </w:r>
    </w:p>
    <w:p w14:paraId="3445423E" w14:textId="77777777" w:rsidR="009F41E5" w:rsidRPr="009F41E5" w:rsidRDefault="002002E0" w:rsidP="00D25734">
      <w:pPr>
        <w:numPr>
          <w:ilvl w:val="1"/>
          <w:numId w:val="1"/>
        </w:numPr>
        <w:spacing w:after="120" w:line="240" w:lineRule="auto"/>
        <w:ind w:left="720" w:hanging="720"/>
        <w:jc w:val="both"/>
        <w:rPr>
          <w:rFonts w:asciiTheme="majorHAnsi" w:hAnsiTheme="majorHAnsi" w:cstheme="majorHAnsi"/>
          <w:sz w:val="22"/>
          <w:szCs w:val="22"/>
        </w:rPr>
      </w:pPr>
      <w:r w:rsidRPr="00D25734">
        <w:rPr>
          <w:rFonts w:asciiTheme="majorHAnsi" w:hAnsiTheme="majorHAnsi" w:cstheme="majorHAnsi"/>
          <w:sz w:val="22"/>
          <w:szCs w:val="22"/>
        </w:rPr>
        <w:t>Poskytovatel je tímto oprávněn uvádět název a/či logo Nabyvatele ve svém seznamu referenčních klientů na svých internetových prezentacích, sociálních sítích, propagačních materiálech a podobně.</w:t>
      </w:r>
    </w:p>
    <w:p w14:paraId="12D6C1F4" w14:textId="4112E20D" w:rsidR="009F41E5" w:rsidRPr="009F41E5" w:rsidRDefault="007676CA" w:rsidP="00D25734">
      <w:pPr>
        <w:numPr>
          <w:ilvl w:val="1"/>
          <w:numId w:val="1"/>
        </w:numPr>
        <w:spacing w:after="120" w:line="240" w:lineRule="auto"/>
        <w:ind w:left="720" w:hanging="720"/>
        <w:jc w:val="both"/>
        <w:rPr>
          <w:rFonts w:asciiTheme="majorHAnsi" w:hAnsiTheme="majorHAnsi" w:cstheme="majorHAnsi"/>
          <w:sz w:val="22"/>
          <w:szCs w:val="22"/>
        </w:rPr>
      </w:pPr>
      <w:r>
        <w:rPr>
          <w:rFonts w:asciiTheme="majorHAnsi" w:hAnsiTheme="majorHAnsi" w:cstheme="majorHAnsi"/>
          <w:sz w:val="22"/>
          <w:szCs w:val="22"/>
        </w:rPr>
        <w:t>Je-li s</w:t>
      </w:r>
      <w:r w:rsidR="009F41E5" w:rsidRPr="00D25734">
        <w:rPr>
          <w:rFonts w:asciiTheme="majorHAnsi" w:hAnsiTheme="majorHAnsi" w:cstheme="majorHAnsi"/>
          <w:sz w:val="22"/>
          <w:szCs w:val="22"/>
        </w:rPr>
        <w:t xml:space="preserve">mlouva podepsána vlastnoručně, je vyhotovena ve čtyřech (4) stejnopisech, z nichž každý bude považován za prvopis. Odběratel obdrží dva (2) stejnopisy a Poskytovatel obdrží dva (2) stejnopisy </w:t>
      </w:r>
      <w:r>
        <w:rPr>
          <w:rFonts w:asciiTheme="majorHAnsi" w:hAnsiTheme="majorHAnsi" w:cstheme="majorHAnsi"/>
          <w:sz w:val="22"/>
          <w:szCs w:val="22"/>
        </w:rPr>
        <w:t>s</w:t>
      </w:r>
      <w:r w:rsidR="009F41E5" w:rsidRPr="00D25734">
        <w:rPr>
          <w:rFonts w:asciiTheme="majorHAnsi" w:hAnsiTheme="majorHAnsi" w:cstheme="majorHAnsi"/>
          <w:sz w:val="22"/>
          <w:szCs w:val="22"/>
        </w:rPr>
        <w:t xml:space="preserve">mlouvy. </w:t>
      </w:r>
    </w:p>
    <w:p w14:paraId="6332D80D" w14:textId="1DCE1162" w:rsidR="009F41E5" w:rsidRPr="009F41E5" w:rsidRDefault="007676CA" w:rsidP="00D25734">
      <w:pPr>
        <w:numPr>
          <w:ilvl w:val="1"/>
          <w:numId w:val="1"/>
        </w:numPr>
        <w:spacing w:after="120" w:line="240" w:lineRule="auto"/>
        <w:ind w:left="720" w:hanging="720"/>
        <w:jc w:val="both"/>
        <w:rPr>
          <w:rFonts w:asciiTheme="majorHAnsi" w:hAnsiTheme="majorHAnsi" w:cstheme="majorHAnsi"/>
          <w:sz w:val="22"/>
          <w:szCs w:val="22"/>
        </w:rPr>
      </w:pPr>
      <w:r>
        <w:rPr>
          <w:rFonts w:asciiTheme="majorHAnsi" w:hAnsiTheme="majorHAnsi" w:cstheme="majorHAnsi"/>
          <w:sz w:val="22"/>
          <w:szCs w:val="22"/>
        </w:rPr>
        <w:t>Je-li s</w:t>
      </w:r>
      <w:r w:rsidR="009F41E5" w:rsidRPr="00D25734">
        <w:rPr>
          <w:rFonts w:asciiTheme="majorHAnsi" w:hAnsiTheme="majorHAnsi" w:cstheme="majorHAnsi"/>
          <w:sz w:val="22"/>
          <w:szCs w:val="22"/>
        </w:rPr>
        <w:t>mlouva podepsána elektronicky, je podepsána pomocí kvalifikovaného elektronického podpisu.</w:t>
      </w:r>
    </w:p>
    <w:p w14:paraId="1DCA0A94" w14:textId="4C560CBC" w:rsidR="009F41E5" w:rsidRPr="00D25734" w:rsidRDefault="007676CA" w:rsidP="00D25734">
      <w:pPr>
        <w:numPr>
          <w:ilvl w:val="1"/>
          <w:numId w:val="1"/>
        </w:numPr>
        <w:spacing w:after="120" w:line="240" w:lineRule="auto"/>
        <w:ind w:left="720" w:hanging="720"/>
        <w:jc w:val="both"/>
        <w:rPr>
          <w:rFonts w:asciiTheme="majorHAnsi" w:hAnsiTheme="majorHAnsi" w:cstheme="majorHAnsi"/>
          <w:sz w:val="22"/>
          <w:szCs w:val="22"/>
        </w:rPr>
      </w:pPr>
      <w:r>
        <w:rPr>
          <w:rFonts w:asciiTheme="majorHAnsi" w:hAnsiTheme="majorHAnsi" w:cstheme="majorHAnsi"/>
          <w:sz w:val="22"/>
          <w:szCs w:val="22"/>
        </w:rPr>
        <w:lastRenderedPageBreak/>
        <w:t>Tato s</w:t>
      </w:r>
      <w:r w:rsidR="009F41E5" w:rsidRPr="00D25734">
        <w:rPr>
          <w:rFonts w:asciiTheme="majorHAnsi" w:hAnsiTheme="majorHAnsi" w:cstheme="majorHAnsi"/>
          <w:sz w:val="22"/>
          <w:szCs w:val="22"/>
        </w:rPr>
        <w:t>mlouva nabývá platnosti dnem podpisu oběm</w:t>
      </w:r>
      <w:r>
        <w:rPr>
          <w:rFonts w:asciiTheme="majorHAnsi" w:hAnsiTheme="majorHAnsi" w:cstheme="majorHAnsi"/>
          <w:sz w:val="22"/>
          <w:szCs w:val="22"/>
        </w:rPr>
        <w:t>a smluvními stranami. Účinnost s</w:t>
      </w:r>
      <w:r w:rsidR="009F41E5" w:rsidRPr="00D25734">
        <w:rPr>
          <w:rFonts w:asciiTheme="majorHAnsi" w:hAnsiTheme="majorHAnsi" w:cstheme="majorHAnsi"/>
          <w:sz w:val="22"/>
          <w:szCs w:val="22"/>
        </w:rPr>
        <w:t>mlouvy nastává okamžikem jejího uveřejnění v registru smluv Objednatelem</w:t>
      </w:r>
    </w:p>
    <w:p w14:paraId="1749B2CC" w14:textId="25A5BD2F" w:rsidR="001144DD" w:rsidRDefault="006529DB">
      <w:pPr>
        <w:numPr>
          <w:ilvl w:val="1"/>
          <w:numId w:val="1"/>
        </w:numPr>
        <w:spacing w:after="120" w:line="240" w:lineRule="auto"/>
        <w:ind w:left="720" w:hanging="720"/>
        <w:jc w:val="both"/>
        <w:rPr>
          <w:rFonts w:asciiTheme="majorHAnsi" w:hAnsiTheme="majorHAnsi" w:cstheme="majorHAnsi"/>
          <w:sz w:val="22"/>
          <w:szCs w:val="22"/>
        </w:rPr>
      </w:pPr>
      <w:r w:rsidRPr="00D25734">
        <w:rPr>
          <w:rFonts w:asciiTheme="majorHAnsi" w:hAnsiTheme="majorHAnsi" w:cstheme="majorHAnsi"/>
          <w:sz w:val="22"/>
          <w:szCs w:val="22"/>
        </w:rPr>
        <w:t>Smluvní strany prohlašují, že Smlouva byla sjednána na základě jejich pravé, vážné a svobodné vůle</w:t>
      </w:r>
      <w:r w:rsidR="002002E0" w:rsidRPr="00D25734">
        <w:rPr>
          <w:rFonts w:asciiTheme="majorHAnsi" w:hAnsiTheme="majorHAnsi" w:cstheme="majorHAnsi"/>
          <w:sz w:val="22"/>
          <w:szCs w:val="22"/>
        </w:rPr>
        <w:t xml:space="preserve">, že si tuto smlouvu řádně přečetly, a na důkaz souhlasu s jejím obsahem připojují své podpisy. </w:t>
      </w:r>
    </w:p>
    <w:p w14:paraId="6EF6B782" w14:textId="77777777" w:rsidR="006529DB" w:rsidRPr="00D25734" w:rsidRDefault="006529DB" w:rsidP="00D25734">
      <w:pPr>
        <w:spacing w:after="120" w:line="240" w:lineRule="auto"/>
        <w:ind w:left="720"/>
        <w:jc w:val="both"/>
        <w:rPr>
          <w:rFonts w:asciiTheme="majorHAnsi" w:hAnsiTheme="majorHAnsi" w:cstheme="majorHAnsi"/>
          <w:sz w:val="22"/>
          <w:szCs w:val="22"/>
        </w:rPr>
      </w:pPr>
      <w:bookmarkStart w:id="1" w:name="_GoBack"/>
    </w:p>
    <w:bookmarkEnd w:id="1"/>
    <w:p w14:paraId="015CEF4A" w14:textId="77777777" w:rsidR="001144DD" w:rsidRDefault="001144DD">
      <w:pPr>
        <w:spacing w:after="120" w:line="240" w:lineRule="auto"/>
        <w:rPr>
          <w:b/>
          <w:sz w:val="22"/>
          <w:szCs w:val="22"/>
          <w:highlight w:val="yellow"/>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1144DD" w14:paraId="054BDB4D" w14:textId="77777777">
        <w:tc>
          <w:tcPr>
            <w:tcW w:w="4541" w:type="dxa"/>
          </w:tcPr>
          <w:p w14:paraId="65549FAE" w14:textId="516838A6" w:rsidR="001144DD" w:rsidRDefault="002002E0">
            <w:pPr>
              <w:pBdr>
                <w:top w:val="nil"/>
                <w:left w:val="nil"/>
                <w:bottom w:val="nil"/>
                <w:right w:val="nil"/>
                <w:between w:val="nil"/>
              </w:pBdr>
              <w:spacing w:after="0" w:line="240" w:lineRule="auto"/>
              <w:ind w:left="1107" w:hanging="567"/>
              <w:jc w:val="center"/>
              <w:rPr>
                <w:color w:val="000000"/>
              </w:rPr>
            </w:pPr>
            <w:r>
              <w:rPr>
                <w:color w:val="000000"/>
              </w:rPr>
              <w:t xml:space="preserve">Praha, dne </w:t>
            </w:r>
            <w:proofErr w:type="gramStart"/>
            <w:r w:rsidR="001824CC">
              <w:rPr>
                <w:color w:val="000000"/>
              </w:rPr>
              <w:t>….</w:t>
            </w:r>
            <w:r>
              <w:t>/</w:t>
            </w:r>
            <w:r w:rsidR="001824CC">
              <w:t>07</w:t>
            </w:r>
            <w:r>
              <w:t>/2023</w:t>
            </w:r>
            <w:proofErr w:type="gramEnd"/>
          </w:p>
          <w:p w14:paraId="7A7EC015" w14:textId="77777777" w:rsidR="001144DD" w:rsidRDefault="001144DD">
            <w:pPr>
              <w:pBdr>
                <w:top w:val="nil"/>
                <w:left w:val="nil"/>
                <w:bottom w:val="nil"/>
                <w:right w:val="nil"/>
                <w:between w:val="nil"/>
              </w:pBdr>
              <w:spacing w:after="0" w:line="240" w:lineRule="auto"/>
              <w:ind w:left="1107" w:hanging="567"/>
              <w:jc w:val="both"/>
              <w:rPr>
                <w:color w:val="000000"/>
              </w:rPr>
            </w:pPr>
          </w:p>
          <w:p w14:paraId="6B9BE42E" w14:textId="26521418" w:rsidR="001144DD" w:rsidRDefault="001144DD">
            <w:pPr>
              <w:pBdr>
                <w:top w:val="nil"/>
                <w:left w:val="nil"/>
                <w:bottom w:val="nil"/>
                <w:right w:val="nil"/>
                <w:between w:val="nil"/>
              </w:pBdr>
              <w:spacing w:after="0" w:line="240" w:lineRule="auto"/>
              <w:ind w:left="1107" w:hanging="567"/>
              <w:jc w:val="both"/>
              <w:rPr>
                <w:color w:val="000000"/>
              </w:rPr>
            </w:pPr>
          </w:p>
          <w:p w14:paraId="568DB0F8" w14:textId="77777777" w:rsidR="001144DD" w:rsidRDefault="001144DD">
            <w:pPr>
              <w:pBdr>
                <w:top w:val="nil"/>
                <w:left w:val="nil"/>
                <w:bottom w:val="nil"/>
                <w:right w:val="nil"/>
                <w:between w:val="nil"/>
              </w:pBdr>
              <w:spacing w:after="0" w:line="240" w:lineRule="auto"/>
              <w:ind w:left="1107" w:hanging="567"/>
              <w:jc w:val="both"/>
              <w:rPr>
                <w:color w:val="000000"/>
              </w:rPr>
            </w:pPr>
          </w:p>
          <w:p w14:paraId="14CB0877" w14:textId="77777777" w:rsidR="001144DD" w:rsidRDefault="001144DD">
            <w:pPr>
              <w:pBdr>
                <w:top w:val="nil"/>
                <w:left w:val="nil"/>
                <w:bottom w:val="nil"/>
                <w:right w:val="nil"/>
                <w:between w:val="nil"/>
              </w:pBdr>
              <w:spacing w:after="0" w:line="240" w:lineRule="auto"/>
              <w:ind w:left="1107" w:hanging="567"/>
              <w:jc w:val="both"/>
              <w:rPr>
                <w:color w:val="000000"/>
              </w:rPr>
            </w:pPr>
          </w:p>
          <w:p w14:paraId="4C10860F" w14:textId="77777777" w:rsidR="001144DD" w:rsidRDefault="001144DD">
            <w:pPr>
              <w:pBdr>
                <w:top w:val="nil"/>
                <w:left w:val="nil"/>
                <w:bottom w:val="nil"/>
                <w:right w:val="nil"/>
                <w:between w:val="nil"/>
              </w:pBdr>
              <w:spacing w:after="0" w:line="240" w:lineRule="auto"/>
              <w:ind w:left="1107" w:hanging="567"/>
              <w:jc w:val="both"/>
              <w:rPr>
                <w:color w:val="000000"/>
              </w:rPr>
            </w:pPr>
          </w:p>
          <w:p w14:paraId="30F3DC92" w14:textId="77777777" w:rsidR="001144DD" w:rsidRDefault="001144DD">
            <w:pPr>
              <w:pBdr>
                <w:top w:val="nil"/>
                <w:left w:val="nil"/>
                <w:bottom w:val="nil"/>
                <w:right w:val="nil"/>
                <w:between w:val="nil"/>
              </w:pBdr>
              <w:spacing w:after="0" w:line="240" w:lineRule="auto"/>
              <w:ind w:left="1107" w:hanging="567"/>
              <w:jc w:val="both"/>
              <w:rPr>
                <w:color w:val="000000"/>
              </w:rPr>
            </w:pPr>
          </w:p>
          <w:p w14:paraId="16618ED4" w14:textId="77777777" w:rsidR="001144DD" w:rsidRDefault="001144DD">
            <w:pPr>
              <w:pBdr>
                <w:top w:val="nil"/>
                <w:left w:val="nil"/>
                <w:bottom w:val="nil"/>
                <w:right w:val="nil"/>
                <w:between w:val="nil"/>
              </w:pBdr>
              <w:spacing w:after="0" w:line="240" w:lineRule="auto"/>
              <w:jc w:val="both"/>
              <w:rPr>
                <w:color w:val="000000"/>
              </w:rPr>
            </w:pPr>
          </w:p>
          <w:p w14:paraId="37B120ED" w14:textId="77777777" w:rsidR="001144DD" w:rsidRDefault="002002E0">
            <w:pPr>
              <w:pBdr>
                <w:top w:val="nil"/>
                <w:left w:val="nil"/>
                <w:bottom w:val="nil"/>
                <w:right w:val="nil"/>
                <w:between w:val="nil"/>
              </w:pBdr>
              <w:spacing w:after="0" w:line="240" w:lineRule="auto"/>
              <w:ind w:left="1107" w:hanging="567"/>
              <w:jc w:val="center"/>
              <w:rPr>
                <w:color w:val="000000"/>
              </w:rPr>
            </w:pPr>
            <w:r>
              <w:rPr>
                <w:color w:val="000000"/>
              </w:rPr>
              <w:t>……………………………………………………</w:t>
            </w:r>
          </w:p>
          <w:p w14:paraId="2148E9A2" w14:textId="77777777" w:rsidR="001144DD" w:rsidRDefault="002002E0">
            <w:pPr>
              <w:pBdr>
                <w:top w:val="nil"/>
                <w:left w:val="nil"/>
                <w:bottom w:val="nil"/>
                <w:right w:val="nil"/>
                <w:between w:val="nil"/>
              </w:pBdr>
              <w:spacing w:after="0" w:line="240" w:lineRule="auto"/>
              <w:ind w:left="1107" w:hanging="567"/>
              <w:jc w:val="center"/>
              <w:rPr>
                <w:color w:val="000000"/>
              </w:rPr>
            </w:pPr>
            <w:r>
              <w:rPr>
                <w:color w:val="000000"/>
              </w:rPr>
              <w:t>Poskytovatel</w:t>
            </w:r>
          </w:p>
          <w:p w14:paraId="0537B4E9" w14:textId="77777777" w:rsidR="001144DD" w:rsidRDefault="002002E0">
            <w:pPr>
              <w:pBdr>
                <w:top w:val="nil"/>
                <w:left w:val="nil"/>
                <w:bottom w:val="nil"/>
                <w:right w:val="nil"/>
                <w:between w:val="nil"/>
              </w:pBdr>
              <w:spacing w:after="0" w:line="240" w:lineRule="auto"/>
              <w:ind w:left="1107" w:hanging="567"/>
              <w:jc w:val="center"/>
              <w:rPr>
                <w:b/>
                <w:color w:val="000000"/>
              </w:rPr>
            </w:pPr>
            <w:r>
              <w:rPr>
                <w:b/>
                <w:color w:val="000000"/>
              </w:rPr>
              <w:t>Monitora media, s.r.o.</w:t>
            </w:r>
          </w:p>
          <w:p w14:paraId="452405F1" w14:textId="77777777" w:rsidR="001144DD" w:rsidRDefault="002002E0">
            <w:pPr>
              <w:pBdr>
                <w:top w:val="nil"/>
                <w:left w:val="nil"/>
                <w:bottom w:val="nil"/>
                <w:right w:val="nil"/>
                <w:between w:val="nil"/>
              </w:pBdr>
              <w:spacing w:after="0" w:line="240" w:lineRule="auto"/>
              <w:ind w:left="1107" w:hanging="567"/>
              <w:jc w:val="center"/>
              <w:rPr>
                <w:b/>
                <w:color w:val="000000"/>
              </w:rPr>
            </w:pPr>
            <w:r>
              <w:rPr>
                <w:b/>
                <w:color w:val="000000"/>
              </w:rPr>
              <w:t>Tomáš Berger, jednatel</w:t>
            </w:r>
          </w:p>
        </w:tc>
        <w:tc>
          <w:tcPr>
            <w:tcW w:w="4531" w:type="dxa"/>
          </w:tcPr>
          <w:p w14:paraId="1204CA57" w14:textId="35D9A3C0" w:rsidR="001144DD" w:rsidRDefault="002002E0">
            <w:pPr>
              <w:pBdr>
                <w:top w:val="nil"/>
                <w:left w:val="nil"/>
                <w:bottom w:val="nil"/>
                <w:right w:val="nil"/>
                <w:between w:val="nil"/>
              </w:pBdr>
              <w:spacing w:after="0" w:line="240" w:lineRule="auto"/>
              <w:ind w:left="1107" w:hanging="567"/>
              <w:jc w:val="center"/>
              <w:rPr>
                <w:color w:val="000000"/>
              </w:rPr>
            </w:pPr>
            <w:r>
              <w:t>Plzeň</w:t>
            </w:r>
            <w:r>
              <w:rPr>
                <w:color w:val="000000"/>
              </w:rPr>
              <w:t xml:space="preserve">, dne </w:t>
            </w:r>
            <w:proofErr w:type="gramStart"/>
            <w:r w:rsidR="001824CC">
              <w:rPr>
                <w:color w:val="000000"/>
              </w:rPr>
              <w:t>…./07/2023</w:t>
            </w:r>
            <w:proofErr w:type="gramEnd"/>
          </w:p>
          <w:p w14:paraId="5CD332A3" w14:textId="77777777" w:rsidR="001144DD" w:rsidRDefault="001144DD">
            <w:pPr>
              <w:pBdr>
                <w:top w:val="nil"/>
                <w:left w:val="nil"/>
                <w:bottom w:val="nil"/>
                <w:right w:val="nil"/>
                <w:between w:val="nil"/>
              </w:pBdr>
              <w:spacing w:after="0" w:line="240" w:lineRule="auto"/>
              <w:ind w:left="1107" w:hanging="567"/>
              <w:jc w:val="center"/>
              <w:rPr>
                <w:color w:val="000000"/>
              </w:rPr>
            </w:pPr>
          </w:p>
          <w:p w14:paraId="2D4A788C" w14:textId="77777777" w:rsidR="001144DD" w:rsidRDefault="001144DD">
            <w:pPr>
              <w:pBdr>
                <w:top w:val="nil"/>
                <w:left w:val="nil"/>
                <w:bottom w:val="nil"/>
                <w:right w:val="nil"/>
                <w:between w:val="nil"/>
              </w:pBdr>
              <w:spacing w:after="0" w:line="240" w:lineRule="auto"/>
              <w:ind w:left="1107" w:hanging="567"/>
              <w:jc w:val="center"/>
              <w:rPr>
                <w:color w:val="000000"/>
              </w:rPr>
            </w:pPr>
          </w:p>
          <w:p w14:paraId="1CFF6AD4" w14:textId="77777777" w:rsidR="001144DD" w:rsidRDefault="001144DD">
            <w:pPr>
              <w:pBdr>
                <w:top w:val="nil"/>
                <w:left w:val="nil"/>
                <w:bottom w:val="nil"/>
                <w:right w:val="nil"/>
                <w:between w:val="nil"/>
              </w:pBdr>
              <w:spacing w:after="0" w:line="240" w:lineRule="auto"/>
              <w:ind w:left="1107" w:hanging="567"/>
              <w:jc w:val="center"/>
              <w:rPr>
                <w:color w:val="000000"/>
              </w:rPr>
            </w:pPr>
          </w:p>
          <w:p w14:paraId="0DB203F0" w14:textId="77777777" w:rsidR="001144DD" w:rsidRDefault="001144DD">
            <w:pPr>
              <w:pBdr>
                <w:top w:val="nil"/>
                <w:left w:val="nil"/>
                <w:bottom w:val="nil"/>
                <w:right w:val="nil"/>
                <w:between w:val="nil"/>
              </w:pBdr>
              <w:spacing w:after="0" w:line="240" w:lineRule="auto"/>
              <w:ind w:left="1107" w:hanging="567"/>
              <w:jc w:val="center"/>
              <w:rPr>
                <w:color w:val="000000"/>
              </w:rPr>
            </w:pPr>
          </w:p>
          <w:p w14:paraId="014DB528" w14:textId="77777777" w:rsidR="001144DD" w:rsidRDefault="001144DD">
            <w:pPr>
              <w:pBdr>
                <w:top w:val="nil"/>
                <w:left w:val="nil"/>
                <w:bottom w:val="nil"/>
                <w:right w:val="nil"/>
                <w:between w:val="nil"/>
              </w:pBdr>
              <w:spacing w:after="0" w:line="240" w:lineRule="auto"/>
              <w:ind w:left="1107" w:hanging="567"/>
              <w:jc w:val="center"/>
              <w:rPr>
                <w:color w:val="000000"/>
              </w:rPr>
            </w:pPr>
          </w:p>
          <w:p w14:paraId="1D2B5E08" w14:textId="77777777" w:rsidR="001144DD" w:rsidRDefault="001144DD">
            <w:pPr>
              <w:pBdr>
                <w:top w:val="nil"/>
                <w:left w:val="nil"/>
                <w:bottom w:val="nil"/>
                <w:right w:val="nil"/>
                <w:between w:val="nil"/>
              </w:pBdr>
              <w:spacing w:after="0" w:line="240" w:lineRule="auto"/>
              <w:ind w:left="1107" w:hanging="567"/>
              <w:jc w:val="center"/>
              <w:rPr>
                <w:color w:val="000000"/>
              </w:rPr>
            </w:pPr>
          </w:p>
          <w:p w14:paraId="23C3099D" w14:textId="77777777" w:rsidR="001144DD" w:rsidRDefault="001144DD">
            <w:pPr>
              <w:pBdr>
                <w:top w:val="nil"/>
                <w:left w:val="nil"/>
                <w:bottom w:val="nil"/>
                <w:right w:val="nil"/>
                <w:between w:val="nil"/>
              </w:pBdr>
              <w:spacing w:after="0" w:line="240" w:lineRule="auto"/>
              <w:rPr>
                <w:color w:val="000000"/>
              </w:rPr>
            </w:pPr>
          </w:p>
          <w:p w14:paraId="0C548D90" w14:textId="77777777" w:rsidR="001144DD" w:rsidRDefault="002002E0">
            <w:pPr>
              <w:pBdr>
                <w:top w:val="nil"/>
                <w:left w:val="nil"/>
                <w:bottom w:val="nil"/>
                <w:right w:val="nil"/>
                <w:between w:val="nil"/>
              </w:pBdr>
              <w:spacing w:after="0" w:line="240" w:lineRule="auto"/>
              <w:ind w:left="1107" w:hanging="567"/>
              <w:jc w:val="center"/>
              <w:rPr>
                <w:color w:val="000000"/>
              </w:rPr>
            </w:pPr>
            <w:r>
              <w:rPr>
                <w:color w:val="000000"/>
              </w:rPr>
              <w:t>……………………………………………………</w:t>
            </w:r>
          </w:p>
          <w:p w14:paraId="22C78E04" w14:textId="77777777" w:rsidR="001144DD" w:rsidRDefault="002002E0">
            <w:pPr>
              <w:pBdr>
                <w:top w:val="nil"/>
                <w:left w:val="nil"/>
                <w:bottom w:val="nil"/>
                <w:right w:val="nil"/>
                <w:between w:val="nil"/>
              </w:pBdr>
              <w:spacing w:after="0" w:line="240" w:lineRule="auto"/>
              <w:ind w:left="1107" w:hanging="567"/>
              <w:jc w:val="center"/>
              <w:rPr>
                <w:color w:val="000000"/>
              </w:rPr>
            </w:pPr>
            <w:r>
              <w:rPr>
                <w:color w:val="000000"/>
              </w:rPr>
              <w:t>Nabyvatel</w:t>
            </w:r>
          </w:p>
          <w:p w14:paraId="5C9FF03A" w14:textId="77777777" w:rsidR="001144DD" w:rsidRDefault="002002E0">
            <w:pPr>
              <w:pBdr>
                <w:top w:val="nil"/>
                <w:left w:val="nil"/>
                <w:bottom w:val="nil"/>
                <w:right w:val="nil"/>
                <w:between w:val="nil"/>
              </w:pBdr>
              <w:spacing w:after="0" w:line="240" w:lineRule="auto"/>
              <w:ind w:left="1107" w:hanging="567"/>
              <w:jc w:val="center"/>
              <w:rPr>
                <w:b/>
                <w:color w:val="000000"/>
              </w:rPr>
            </w:pPr>
            <w:r>
              <w:rPr>
                <w:b/>
              </w:rPr>
              <w:t>Krajský soud v Plzni</w:t>
            </w:r>
          </w:p>
          <w:p w14:paraId="7ECFCF2D" w14:textId="796BDE14" w:rsidR="001144DD" w:rsidRDefault="005D2E0D">
            <w:pPr>
              <w:pBdr>
                <w:top w:val="nil"/>
                <w:left w:val="nil"/>
                <w:bottom w:val="nil"/>
                <w:right w:val="nil"/>
                <w:between w:val="nil"/>
              </w:pBdr>
              <w:spacing w:after="0" w:line="240" w:lineRule="auto"/>
              <w:ind w:left="1107" w:hanging="567"/>
              <w:jc w:val="center"/>
              <w:rPr>
                <w:b/>
                <w:color w:val="000000"/>
              </w:rPr>
            </w:pPr>
            <w:r>
              <w:t>JUDr. Věra Oravcová, Ph.D., předsedkyně Krajského soudu v Plzni</w:t>
            </w:r>
            <w:r w:rsidRPr="009B05D2" w:rsidDel="005D2E0D">
              <w:rPr>
                <w:b/>
                <w:color w:val="000000"/>
                <w:highlight w:val="yellow"/>
              </w:rPr>
              <w:t xml:space="preserve"> </w:t>
            </w:r>
          </w:p>
        </w:tc>
      </w:tr>
    </w:tbl>
    <w:p w14:paraId="4A28C674" w14:textId="77777777" w:rsidR="001144DD" w:rsidRDefault="001144DD"/>
    <w:p w14:paraId="66DD9BC2" w14:textId="77777777" w:rsidR="009B05D2" w:rsidRDefault="009B05D2"/>
    <w:p w14:paraId="3BF9685A" w14:textId="77777777" w:rsidR="009B05D2" w:rsidRDefault="009B05D2"/>
    <w:p w14:paraId="296269DD" w14:textId="77777777" w:rsidR="009B05D2" w:rsidRDefault="009B05D2"/>
    <w:p w14:paraId="45E619C5" w14:textId="77777777" w:rsidR="009B05D2" w:rsidRDefault="009B05D2"/>
    <w:p w14:paraId="74079F60" w14:textId="77777777" w:rsidR="0074509E" w:rsidRDefault="0074509E">
      <w:pPr>
        <w:rPr>
          <w:b/>
          <w:bCs/>
          <w:sz w:val="22"/>
          <w:szCs w:val="22"/>
        </w:rPr>
      </w:pPr>
    </w:p>
    <w:p w14:paraId="5E4A9380" w14:textId="77777777" w:rsidR="0074509E" w:rsidRDefault="0074509E">
      <w:pPr>
        <w:rPr>
          <w:b/>
          <w:bCs/>
          <w:sz w:val="22"/>
          <w:szCs w:val="22"/>
        </w:rPr>
      </w:pPr>
    </w:p>
    <w:p w14:paraId="7B65C9BF" w14:textId="77777777" w:rsidR="0074509E" w:rsidRDefault="0074509E">
      <w:pPr>
        <w:rPr>
          <w:b/>
          <w:bCs/>
          <w:sz w:val="22"/>
          <w:szCs w:val="22"/>
        </w:rPr>
      </w:pPr>
    </w:p>
    <w:p w14:paraId="277F3758" w14:textId="77777777" w:rsidR="0074509E" w:rsidRDefault="0074509E">
      <w:pPr>
        <w:rPr>
          <w:b/>
          <w:bCs/>
          <w:sz w:val="22"/>
          <w:szCs w:val="22"/>
        </w:rPr>
      </w:pPr>
    </w:p>
    <w:p w14:paraId="458BCC5E" w14:textId="77777777" w:rsidR="0074509E" w:rsidRDefault="0074509E">
      <w:pPr>
        <w:rPr>
          <w:b/>
          <w:bCs/>
          <w:sz w:val="22"/>
          <w:szCs w:val="22"/>
        </w:rPr>
      </w:pPr>
    </w:p>
    <w:p w14:paraId="76BDE720" w14:textId="77777777" w:rsidR="0074509E" w:rsidRDefault="0074509E">
      <w:pPr>
        <w:rPr>
          <w:b/>
          <w:bCs/>
          <w:sz w:val="22"/>
          <w:szCs w:val="22"/>
        </w:rPr>
      </w:pPr>
    </w:p>
    <w:p w14:paraId="5903BBDF" w14:textId="77777777" w:rsidR="0074509E" w:rsidRDefault="0074509E">
      <w:pPr>
        <w:rPr>
          <w:b/>
          <w:bCs/>
          <w:sz w:val="22"/>
          <w:szCs w:val="22"/>
        </w:rPr>
      </w:pPr>
    </w:p>
    <w:p w14:paraId="062A602D" w14:textId="77777777" w:rsidR="0074509E" w:rsidRDefault="0074509E">
      <w:pPr>
        <w:rPr>
          <w:b/>
          <w:bCs/>
          <w:sz w:val="22"/>
          <w:szCs w:val="22"/>
        </w:rPr>
      </w:pPr>
    </w:p>
    <w:p w14:paraId="1621C691" w14:textId="77777777" w:rsidR="0074509E" w:rsidRDefault="0074509E">
      <w:pPr>
        <w:rPr>
          <w:b/>
          <w:bCs/>
          <w:sz w:val="22"/>
          <w:szCs w:val="22"/>
        </w:rPr>
      </w:pPr>
    </w:p>
    <w:p w14:paraId="1D13D069" w14:textId="77777777" w:rsidR="0074509E" w:rsidRDefault="0074509E">
      <w:pPr>
        <w:rPr>
          <w:b/>
          <w:bCs/>
          <w:sz w:val="22"/>
          <w:szCs w:val="22"/>
        </w:rPr>
      </w:pPr>
    </w:p>
    <w:p w14:paraId="2B3E1C87" w14:textId="28CB5F4D" w:rsidR="009B05D2" w:rsidRDefault="009B05D2">
      <w:pPr>
        <w:rPr>
          <w:b/>
          <w:bCs/>
          <w:sz w:val="22"/>
          <w:szCs w:val="22"/>
        </w:rPr>
      </w:pPr>
      <w:r w:rsidRPr="009B05D2">
        <w:rPr>
          <w:b/>
          <w:bCs/>
          <w:sz w:val="22"/>
          <w:szCs w:val="22"/>
        </w:rPr>
        <w:t>Příloha č. 1</w:t>
      </w:r>
    </w:p>
    <w:p w14:paraId="27109B2D" w14:textId="77777777" w:rsidR="009B05D2" w:rsidRPr="00530899" w:rsidRDefault="009B05D2" w:rsidP="009B05D2">
      <w:pPr>
        <w:pStyle w:val="Odstavecseseznamem"/>
        <w:numPr>
          <w:ilvl w:val="0"/>
          <w:numId w:val="2"/>
        </w:numPr>
        <w:spacing w:after="0" w:line="240" w:lineRule="auto"/>
      </w:pPr>
      <w:r w:rsidRPr="00530899">
        <w:t>CZ monitoring tisku a online zdrojů (vč. článků za paywallem), TV, rádia a podcastů</w:t>
      </w:r>
    </w:p>
    <w:p w14:paraId="431DC3BF" w14:textId="77777777" w:rsidR="009B05D2" w:rsidRPr="00530899" w:rsidRDefault="009B05D2" w:rsidP="009B05D2">
      <w:pPr>
        <w:pStyle w:val="Odstavecseseznamem"/>
        <w:numPr>
          <w:ilvl w:val="0"/>
          <w:numId w:val="2"/>
        </w:numPr>
        <w:spacing w:after="0" w:line="240" w:lineRule="auto"/>
      </w:pPr>
      <w:r w:rsidRPr="00530899">
        <w:t>Mediální archiv – neomezeně od roku 1990 i nad rámec klíčových slov</w:t>
      </w:r>
    </w:p>
    <w:p w14:paraId="67EB4B47" w14:textId="77777777" w:rsidR="009B05D2" w:rsidRPr="00530899" w:rsidRDefault="009B05D2" w:rsidP="009B05D2">
      <w:pPr>
        <w:pStyle w:val="Odstavecseseznamem"/>
        <w:numPr>
          <w:ilvl w:val="0"/>
          <w:numId w:val="2"/>
        </w:numPr>
        <w:spacing w:after="0" w:line="240" w:lineRule="auto"/>
      </w:pPr>
      <w:r w:rsidRPr="00530899">
        <w:t>Analytika, měření a analýza mediálního zásahu</w:t>
      </w:r>
    </w:p>
    <w:p w14:paraId="48B3DB47" w14:textId="77777777" w:rsidR="009B05D2" w:rsidRPr="00530899" w:rsidRDefault="009B05D2" w:rsidP="009B05D2">
      <w:pPr>
        <w:pStyle w:val="Odstavecseseznamem"/>
        <w:numPr>
          <w:ilvl w:val="0"/>
          <w:numId w:val="2"/>
        </w:numPr>
        <w:spacing w:after="0" w:line="240" w:lineRule="auto"/>
      </w:pPr>
      <w:r w:rsidRPr="00530899">
        <w:t>Reporting – neomezený počet příjemců i typů reportů (email, sms, notifikace)</w:t>
      </w:r>
    </w:p>
    <w:p w14:paraId="36F00FA1" w14:textId="77777777" w:rsidR="009B05D2" w:rsidRPr="00530899" w:rsidRDefault="009B05D2" w:rsidP="009B05D2">
      <w:pPr>
        <w:pStyle w:val="Odstavecseseznamem"/>
        <w:numPr>
          <w:ilvl w:val="0"/>
          <w:numId w:val="2"/>
        </w:numPr>
        <w:spacing w:after="0" w:line="240" w:lineRule="auto"/>
      </w:pPr>
      <w:r w:rsidRPr="00530899">
        <w:t>Dashboardy – analytické zobrazení vybraných informací s automatickou nonstop aktualizací</w:t>
      </w:r>
    </w:p>
    <w:p w14:paraId="32946F5A" w14:textId="77777777" w:rsidR="009B05D2" w:rsidRPr="00530899" w:rsidRDefault="009B05D2" w:rsidP="009B05D2">
      <w:pPr>
        <w:pStyle w:val="Odstavecseseznamem"/>
        <w:numPr>
          <w:ilvl w:val="0"/>
          <w:numId w:val="2"/>
        </w:numPr>
        <w:spacing w:after="0" w:line="240" w:lineRule="auto"/>
      </w:pPr>
      <w:r w:rsidRPr="00530899">
        <w:t>Aktuální mediální hodnoty (dosah, GRP, OTS, AVE, interakce)</w:t>
      </w:r>
    </w:p>
    <w:p w14:paraId="03809DB3" w14:textId="77777777" w:rsidR="009B05D2" w:rsidRPr="00530899" w:rsidRDefault="009B05D2" w:rsidP="009B05D2">
      <w:pPr>
        <w:pStyle w:val="Odstavecseseznamem"/>
        <w:numPr>
          <w:ilvl w:val="0"/>
          <w:numId w:val="2"/>
        </w:numPr>
        <w:spacing w:after="0" w:line="240" w:lineRule="auto"/>
      </w:pPr>
      <w:r w:rsidRPr="00530899">
        <w:t>CZ sociodemografická data o čtenářích</w:t>
      </w:r>
    </w:p>
    <w:p w14:paraId="782E92DF" w14:textId="77777777" w:rsidR="009B05D2" w:rsidRPr="00530899" w:rsidRDefault="009B05D2" w:rsidP="009B05D2">
      <w:pPr>
        <w:pStyle w:val="Odstavecseseznamem"/>
        <w:numPr>
          <w:ilvl w:val="0"/>
          <w:numId w:val="2"/>
        </w:numPr>
        <w:spacing w:after="0" w:line="240" w:lineRule="auto"/>
      </w:pPr>
      <w:r w:rsidRPr="00530899">
        <w:t>Automatické určování sentimentu výstupů (tonality)</w:t>
      </w:r>
    </w:p>
    <w:p w14:paraId="2DC573B8" w14:textId="77777777" w:rsidR="009B05D2" w:rsidRPr="00530899" w:rsidRDefault="009B05D2" w:rsidP="009B05D2">
      <w:pPr>
        <w:pStyle w:val="Odstavecseseznamem"/>
        <w:numPr>
          <w:ilvl w:val="0"/>
          <w:numId w:val="2"/>
        </w:numPr>
        <w:spacing w:after="0" w:line="240" w:lineRule="auto"/>
      </w:pPr>
      <w:r w:rsidRPr="00530899">
        <w:t>Neomezený počet uživatelských přístupů vč. individuálního nastavení práv</w:t>
      </w:r>
    </w:p>
    <w:p w14:paraId="0AF51351" w14:textId="77777777" w:rsidR="009B05D2" w:rsidRPr="00530899" w:rsidRDefault="009B05D2" w:rsidP="009B05D2">
      <w:pPr>
        <w:pStyle w:val="Odstavecseseznamem"/>
        <w:numPr>
          <w:ilvl w:val="0"/>
          <w:numId w:val="2"/>
        </w:numPr>
        <w:spacing w:after="0" w:line="240" w:lineRule="auto"/>
      </w:pPr>
      <w:r w:rsidRPr="00530899">
        <w:t>Mobilní aplikace s notifikacemi</w:t>
      </w:r>
    </w:p>
    <w:p w14:paraId="76F2CA1D" w14:textId="77777777" w:rsidR="009B05D2" w:rsidRDefault="009B05D2" w:rsidP="009B05D2">
      <w:pPr>
        <w:pStyle w:val="Odstavecseseznamem"/>
        <w:numPr>
          <w:ilvl w:val="0"/>
          <w:numId w:val="2"/>
        </w:numPr>
        <w:spacing w:after="0" w:line="240" w:lineRule="auto"/>
      </w:pPr>
      <w:r w:rsidRPr="00530899">
        <w:t>Komplexní zaškolení a skvělý zákaznický servis</w:t>
      </w:r>
    </w:p>
    <w:p w14:paraId="5B40A382" w14:textId="77777777" w:rsidR="009B05D2" w:rsidRPr="00530899" w:rsidRDefault="009B05D2" w:rsidP="009B05D2">
      <w:pPr>
        <w:pStyle w:val="Odstavecseseznamem"/>
        <w:numPr>
          <w:ilvl w:val="0"/>
          <w:numId w:val="2"/>
        </w:numPr>
        <w:spacing w:after="0" w:line="240" w:lineRule="auto"/>
      </w:pPr>
      <w:r w:rsidRPr="00530899">
        <w:t xml:space="preserve">CZ monitoring sociálních médií – sociální sítě, online diskuze a veřejná fóra </w:t>
      </w:r>
    </w:p>
    <w:p w14:paraId="40E4029B" w14:textId="59CD9E7F" w:rsidR="009B05D2" w:rsidRPr="009B05D2" w:rsidRDefault="009B05D2" w:rsidP="009B05D2">
      <w:pPr>
        <w:pStyle w:val="Odstavecseseznamem"/>
        <w:numPr>
          <w:ilvl w:val="0"/>
          <w:numId w:val="2"/>
        </w:numPr>
        <w:rPr>
          <w:b/>
          <w:bCs/>
          <w:sz w:val="22"/>
          <w:szCs w:val="22"/>
        </w:rPr>
      </w:pPr>
      <w:r w:rsidRPr="00530899">
        <w:t>Medialist – zobrazení novinářů aktivních v rámci vašich témat nebo hledání v archivu</w:t>
      </w:r>
    </w:p>
    <w:sectPr w:rsidR="009B05D2" w:rsidRPr="009B05D2">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4A401" w14:textId="77777777" w:rsidR="00F41785" w:rsidRDefault="00F41785">
      <w:pPr>
        <w:spacing w:after="0" w:line="240" w:lineRule="auto"/>
      </w:pPr>
      <w:r>
        <w:separator/>
      </w:r>
    </w:p>
  </w:endnote>
  <w:endnote w:type="continuationSeparator" w:id="0">
    <w:p w14:paraId="48025205" w14:textId="77777777" w:rsidR="00F41785" w:rsidRDefault="00F4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3AFF" w14:textId="77777777" w:rsidR="001144DD" w:rsidRDefault="002002E0">
    <w:pPr>
      <w:tabs>
        <w:tab w:val="center" w:pos="4536"/>
        <w:tab w:val="right" w:pos="9072"/>
      </w:tabs>
      <w:spacing w:before="100" w:after="280" w:line="240" w:lineRule="auto"/>
      <w:jc w:val="center"/>
    </w:pPr>
    <w:r>
      <w:rPr>
        <w:rFonts w:ascii="Arial" w:eastAsia="Arial" w:hAnsi="Arial" w:cs="Arial"/>
        <w:b/>
        <w:color w:val="434343"/>
        <w:sz w:val="16"/>
        <w:szCs w:val="16"/>
      </w:rPr>
      <w:t>Monitora media, s.r.o. (IČ: 3980481)      Nádražní 762/32, Praha 5 155 00       www.monitora.cz</w:t>
    </w:r>
  </w:p>
  <w:p w14:paraId="3C992420" w14:textId="77777777" w:rsidR="001144DD" w:rsidRDefault="001144D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D72FD" w14:textId="77777777" w:rsidR="00F41785" w:rsidRDefault="00F41785">
      <w:pPr>
        <w:spacing w:after="0" w:line="240" w:lineRule="auto"/>
      </w:pPr>
      <w:r>
        <w:separator/>
      </w:r>
    </w:p>
  </w:footnote>
  <w:footnote w:type="continuationSeparator" w:id="0">
    <w:p w14:paraId="4E2E67D5" w14:textId="77777777" w:rsidR="00F41785" w:rsidRDefault="00F4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AF67" w14:textId="77777777" w:rsidR="001144DD" w:rsidRDefault="002002E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13371C72" wp14:editId="444B0C6B">
          <wp:simplePos x="0" y="0"/>
          <wp:positionH relativeFrom="column">
            <wp:posOffset>-370389</wp:posOffset>
          </wp:positionH>
          <wp:positionV relativeFrom="paragraph">
            <wp:posOffset>-162455</wp:posOffset>
          </wp:positionV>
          <wp:extent cx="1905635" cy="434340"/>
          <wp:effectExtent l="0" t="0" r="0" b="0"/>
          <wp:wrapSquare wrapText="bothSides" distT="0" distB="0" distL="114300" distR="114300"/>
          <wp:docPr id="1" name="image1.png"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klipart&#10;&#10;Popis byl vytvořen automaticky"/>
                  <pic:cNvPicPr preferRelativeResize="0"/>
                </pic:nvPicPr>
                <pic:blipFill>
                  <a:blip r:embed="rId1"/>
                  <a:srcRect/>
                  <a:stretch>
                    <a:fillRect/>
                  </a:stretch>
                </pic:blipFill>
                <pic:spPr>
                  <a:xfrm>
                    <a:off x="0" y="0"/>
                    <a:ext cx="1905635" cy="434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3726"/>
    <w:multiLevelType w:val="multilevel"/>
    <w:tmpl w:val="FB5E054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EEC42B4"/>
    <w:multiLevelType w:val="multilevel"/>
    <w:tmpl w:val="8ACAF2E6"/>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abstractNum w:abstractNumId="2" w15:restartNumberingAfterBreak="0">
    <w:nsid w:val="715B0F74"/>
    <w:multiLevelType w:val="multilevel"/>
    <w:tmpl w:val="1C22C8E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861551"/>
    <w:multiLevelType w:val="hybridMultilevel"/>
    <w:tmpl w:val="7730D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DD"/>
    <w:rsid w:val="001144DD"/>
    <w:rsid w:val="001824CC"/>
    <w:rsid w:val="001D3272"/>
    <w:rsid w:val="002002E0"/>
    <w:rsid w:val="00256C75"/>
    <w:rsid w:val="0037388B"/>
    <w:rsid w:val="00391720"/>
    <w:rsid w:val="00520FF4"/>
    <w:rsid w:val="005D2E0D"/>
    <w:rsid w:val="006529DB"/>
    <w:rsid w:val="006E5E5B"/>
    <w:rsid w:val="006F32BF"/>
    <w:rsid w:val="0074509E"/>
    <w:rsid w:val="007676CA"/>
    <w:rsid w:val="007C3E07"/>
    <w:rsid w:val="007E3048"/>
    <w:rsid w:val="009B05D2"/>
    <w:rsid w:val="009C60B7"/>
    <w:rsid w:val="009F41E5"/>
    <w:rsid w:val="00A26D69"/>
    <w:rsid w:val="00A76823"/>
    <w:rsid w:val="00AE5D39"/>
    <w:rsid w:val="00D121BF"/>
    <w:rsid w:val="00D25734"/>
    <w:rsid w:val="00F41785"/>
    <w:rsid w:val="00F97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098F"/>
  <w15:docId w15:val="{D67F460A-F6F3-C844-B557-ECA0BC4C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paragraph" w:styleId="Odstavecseseznamem">
    <w:name w:val="List Paragraph"/>
    <w:basedOn w:val="Normln"/>
    <w:uiPriority w:val="34"/>
    <w:qFormat/>
    <w:rsid w:val="009B05D2"/>
    <w:pPr>
      <w:ind w:left="720"/>
      <w:contextualSpacing/>
    </w:pPr>
  </w:style>
  <w:style w:type="paragraph" w:styleId="Revize">
    <w:name w:val="Revision"/>
    <w:hidden/>
    <w:uiPriority w:val="99"/>
    <w:semiHidden/>
    <w:rsid w:val="009C60B7"/>
    <w:pPr>
      <w:spacing w:after="0" w:line="240" w:lineRule="auto"/>
    </w:pPr>
  </w:style>
  <w:style w:type="character" w:customStyle="1" w:styleId="slovanodstavecChar">
    <w:name w:val="Číslovaný odstavec Char"/>
    <w:link w:val="slovanodstavec"/>
    <w:locked/>
    <w:rsid w:val="006529DB"/>
    <w:rPr>
      <w:rFonts w:ascii="Garamond" w:hAnsi="Garamond"/>
      <w:color w:val="000000"/>
      <w:lang w:eastAsia="en-US"/>
    </w:rPr>
  </w:style>
  <w:style w:type="paragraph" w:customStyle="1" w:styleId="slovanodstavec">
    <w:name w:val="Číslovaný odstavec"/>
    <w:basedOn w:val="Normln"/>
    <w:link w:val="slovanodstavecChar"/>
    <w:qFormat/>
    <w:rsid w:val="006529DB"/>
    <w:pPr>
      <w:suppressAutoHyphens/>
      <w:spacing w:after="240" w:line="276" w:lineRule="auto"/>
      <w:jc w:val="both"/>
    </w:pPr>
    <w:rPr>
      <w:rFonts w:ascii="Garamond" w:hAnsi="Garamond"/>
      <w:color w:val="000000"/>
      <w:lang w:eastAsia="en-US"/>
    </w:rPr>
  </w:style>
  <w:style w:type="paragraph" w:styleId="Textbubliny">
    <w:name w:val="Balloon Text"/>
    <w:basedOn w:val="Normln"/>
    <w:link w:val="TextbublinyChar"/>
    <w:uiPriority w:val="99"/>
    <w:semiHidden/>
    <w:unhideWhenUsed/>
    <w:rsid w:val="007E30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3048"/>
    <w:rPr>
      <w:rFonts w:ascii="Segoe UI" w:hAnsi="Segoe UI" w:cs="Segoe UI"/>
      <w:sz w:val="18"/>
      <w:szCs w:val="18"/>
    </w:rPr>
  </w:style>
  <w:style w:type="character" w:styleId="Odkaznakoment">
    <w:name w:val="annotation reference"/>
    <w:basedOn w:val="Standardnpsmoodstavce"/>
    <w:uiPriority w:val="99"/>
    <w:semiHidden/>
    <w:unhideWhenUsed/>
    <w:rsid w:val="007E3048"/>
    <w:rPr>
      <w:sz w:val="16"/>
      <w:szCs w:val="16"/>
    </w:rPr>
  </w:style>
  <w:style w:type="paragraph" w:styleId="Textkomente">
    <w:name w:val="annotation text"/>
    <w:basedOn w:val="Normln"/>
    <w:link w:val="TextkomenteChar"/>
    <w:uiPriority w:val="99"/>
    <w:semiHidden/>
    <w:unhideWhenUsed/>
    <w:rsid w:val="007E3048"/>
    <w:pPr>
      <w:spacing w:line="240" w:lineRule="auto"/>
    </w:pPr>
    <w:rPr>
      <w:sz w:val="20"/>
      <w:szCs w:val="20"/>
    </w:rPr>
  </w:style>
  <w:style w:type="character" w:customStyle="1" w:styleId="TextkomenteChar">
    <w:name w:val="Text komentáře Char"/>
    <w:basedOn w:val="Standardnpsmoodstavce"/>
    <w:link w:val="Textkomente"/>
    <w:uiPriority w:val="99"/>
    <w:semiHidden/>
    <w:rsid w:val="007E3048"/>
    <w:rPr>
      <w:sz w:val="20"/>
      <w:szCs w:val="20"/>
    </w:rPr>
  </w:style>
  <w:style w:type="paragraph" w:styleId="Pedmtkomente">
    <w:name w:val="annotation subject"/>
    <w:basedOn w:val="Textkomente"/>
    <w:next w:val="Textkomente"/>
    <w:link w:val="PedmtkomenteChar"/>
    <w:uiPriority w:val="99"/>
    <w:semiHidden/>
    <w:unhideWhenUsed/>
    <w:rsid w:val="007E3048"/>
    <w:rPr>
      <w:b/>
      <w:bCs/>
    </w:rPr>
  </w:style>
  <w:style w:type="character" w:customStyle="1" w:styleId="PedmtkomenteChar">
    <w:name w:val="Předmět komentáře Char"/>
    <w:basedOn w:val="TextkomenteChar"/>
    <w:link w:val="Pedmtkomente"/>
    <w:uiPriority w:val="99"/>
    <w:semiHidden/>
    <w:rsid w:val="007E30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708A-902C-4230-9E63-02637620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1846</Words>
  <Characters>10897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Stehlík Jiří Mgr. Bc.</dc:creator>
  <cp:lastModifiedBy>Polanová Ilona Bc.</cp:lastModifiedBy>
  <cp:revision>4</cp:revision>
  <dcterms:created xsi:type="dcterms:W3CDTF">2023-07-13T12:42:00Z</dcterms:created>
  <dcterms:modified xsi:type="dcterms:W3CDTF">2023-07-14T06:16:00Z</dcterms:modified>
</cp:coreProperties>
</file>