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bookmarkStart w:id="0" w:name="bookmark0"/>
      <w:r>
        <w:rPr>
          <w:rStyle w:val="CharStyle5"/>
        </w:rPr>
        <w:t>■■lim</w:t>
      </w:r>
      <w:bookmarkEnd w:id="0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1220" w:firstLine="0"/>
        <w:jc w:val="right"/>
      </w:pPr>
      <w:r>
        <w:rPr>
          <w:rStyle w:val="CharStyle11"/>
          <w:color w:val="000000"/>
        </w:rPr>
        <w:t>2023004561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4"/>
          <w:b/>
          <w:bCs/>
        </w:rPr>
        <w:t>Smlouva o nájmu prostoru sloužícího k podnikání</w:t>
      </w:r>
      <w:bookmarkEnd w:id="2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980"/>
        <w:jc w:val="left"/>
      </w:pPr>
      <w:bookmarkStart w:id="4" w:name="bookmark4"/>
      <w:r>
        <w:rPr>
          <w:rStyle w:val="CharStyle16"/>
          <w:b/>
          <w:bCs/>
        </w:rPr>
        <w:t>uzavřená podle ustanovení § 2302 a násl. zákona č. 89/2012 Sb., občanského zákoníku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300"/>
        <w:jc w:val="left"/>
      </w:pPr>
      <w:r>
        <w:rPr>
          <w:rStyle w:val="CharStyle3"/>
        </w:rPr>
        <w:t>mezi</w:t>
      </w:r>
    </w:p>
    <w:tbl>
      <w:tblPr>
        <w:tblOverlap w:val="never"/>
        <w:jc w:val="left"/>
        <w:tblLayout w:type="fixed"/>
      </w:tblPr>
      <w:tblGrid>
        <w:gridCol w:w="2170"/>
        <w:gridCol w:w="3581"/>
      </w:tblGrid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0"/>
              </w:rPr>
              <w:t>pronajímatelem: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0"/>
                <w:b/>
                <w:bCs/>
              </w:rPr>
              <w:t>Město Miroslav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0"/>
              </w:rPr>
              <w:t>zastupující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0"/>
                <w:b/>
                <w:bCs/>
              </w:rPr>
              <w:t>Ing. Martin Plechatý, starosta města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0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0"/>
                <w:b/>
                <w:bCs/>
              </w:rPr>
              <w:t>nám. Svobody 1/1,67172 Miroslav</w:t>
            </w:r>
          </w:p>
        </w:tc>
      </w:tr>
      <w:tr>
        <w:trPr>
          <w:trHeight w:val="5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0"/>
              </w:rPr>
              <w:t>IČ: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0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0"/>
                <w:b/>
                <w:bCs/>
              </w:rPr>
              <w:t>00293164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20"/>
                <w:b/>
                <w:bCs/>
              </w:rPr>
              <w:t>CZ00293164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0"/>
              </w:rPr>
              <w:t>bankovní spojení: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  <w:b/>
                <w:bCs/>
              </w:rPr>
              <w:t>Komerční banka, a.s.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</w:rPr>
              <w:t>.číslo účtu: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  <w:b/>
                <w:bCs/>
              </w:rPr>
              <w:t>3927741/0100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2" w:right="0" w:firstLine="0"/>
        <w:jc w:val="left"/>
      </w:pPr>
      <w:r>
        <w:rPr>
          <w:rStyle w:val="CharStyle18"/>
        </w:rPr>
        <w:t>(dále jen „pronajímatel") na straně jedné</w:t>
      </w:r>
    </w:p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a</w:t>
      </w:r>
    </w:p>
    <w:tbl>
      <w:tblPr>
        <w:tblOverlap w:val="never"/>
        <w:jc w:val="center"/>
        <w:tblLayout w:type="fixed"/>
      </w:tblPr>
      <w:tblGrid>
        <w:gridCol w:w="1862"/>
        <w:gridCol w:w="7325"/>
      </w:tblGrid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nájemcem: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zastupující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  <w:b/>
                <w:bCs/>
              </w:rPr>
              <w:t>MUDr. Hana Albrechtová, ředitelka organizace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  <w:b/>
                <w:bCs/>
              </w:rPr>
              <w:t>Kamenice 798/ld, Bohunice, 625 00 Brno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IČ: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bankovní spojení: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rStyle w:val="CharStyle20"/>
                <w:b/>
                <w:bCs/>
              </w:rPr>
              <w:t>00346292 117203514/0600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číslo účtu: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  <w:b/>
                <w:bCs/>
              </w:rPr>
              <w:t>MONETA Money Bank, a.s.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8"/>
        </w:rPr>
        <w:t>(dále jen „nájemce") na straně druhé</w:t>
      </w:r>
    </w:p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300"/>
        <w:jc w:val="left"/>
      </w:pPr>
      <w:r>
        <w:rPr>
          <w:rStyle w:val="CharStyle3"/>
        </w:rPr>
        <w:t>o následujícím obsahu.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r>
        <w:rPr>
          <w:rStyle w:val="CharStyle16"/>
          <w:b/>
          <w:bCs/>
        </w:rPr>
        <w:t>Článek I.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0"/>
        <w:jc w:val="center"/>
      </w:pPr>
      <w:r>
        <w:rPr>
          <w:rStyle w:val="CharStyle3"/>
        </w:rPr>
        <w:t>Předmět a účel nájmu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300" w:right="0" w:firstLine="720"/>
        <w:jc w:val="both"/>
      </w:pPr>
      <w:r>
        <w:rPr>
          <w:rStyle w:val="CharStyle3"/>
        </w:rPr>
        <w:t>Pronajímatel prohlašuje, že je výlučným vlastníkem budovy zdravotního střediska č.p. 182 na ul. Kostelní č. or. 1 v Miroslavi, postavené na pozemku p.č. 816/2, v katastrálním území Miroslav, zapsané na listu vlastnictví č. 1822.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300" w:right="0" w:firstLine="720"/>
        <w:jc w:val="both"/>
      </w:pPr>
      <w:r>
        <w:rPr>
          <w:rStyle w:val="CharStyle3"/>
        </w:rPr>
        <w:t>V uvedené budově přenechává pronajímatel nájemci do nájmu nebytové prostory o celkové výměře 123,17 m</w:t>
      </w:r>
      <w:r>
        <w:rPr>
          <w:rStyle w:val="CharStyle3"/>
          <w:vertAlign w:val="superscript"/>
        </w:rPr>
        <w:t>2</w:t>
      </w:r>
      <w:r>
        <w:rPr>
          <w:rStyle w:val="CharStyle3"/>
        </w:rPr>
        <w:t>, za účelem zřízení a provozování Výjezdové základny Zdravotnické záchranné služby Jihomoravského kraje. Celková plocha výše uvedených nebytových prostor je položkově rozepsána ve výpočtovém listu nájemného, který je nedílnou součástí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300" w:right="0" w:firstLine="720"/>
        <w:jc w:val="both"/>
      </w:pPr>
      <w:r>
        <w:rPr>
          <w:rStyle w:val="CharStyle3"/>
        </w:rPr>
        <w:t>Předmět nájmu je způsobilý k užívání, je bez právních vad a jeho užívání nebrání žádná věcná břemena či závazky.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62" w:lineRule="auto"/>
        <w:ind w:left="300" w:right="0" w:firstLine="720"/>
        <w:jc w:val="both"/>
      </w:pPr>
      <w:r>
        <w:rPr>
          <w:rStyle w:val="CharStyle3"/>
        </w:rPr>
        <w:t>Nájemce prohlašuje, že se plně seznámil se stavem prostoru sloužícího k podnikání před podpisem této smlouvy a prohlašuje, že předmětné prostory jsou vhodné pro účely jeho činnost.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r>
        <w:rPr>
          <w:rStyle w:val="CharStyle16"/>
          <w:b/>
          <w:bCs/>
        </w:rPr>
        <w:t>Článek II.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0"/>
        <w:jc w:val="center"/>
      </w:pPr>
      <w:r>
        <w:rPr>
          <w:rStyle w:val="CharStyle3"/>
        </w:rPr>
        <w:t>Doba nájmu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980"/>
        <w:jc w:val="left"/>
      </w:pPr>
      <w:bookmarkStart w:id="10" w:name="bookmark10"/>
      <w:r>
        <w:rPr>
          <w:rStyle w:val="CharStyle16"/>
          <w:b/>
          <w:bCs/>
        </w:rPr>
        <w:t>Tato smlouva se uzavírá na dobu určitou, a to na dobu 5 let, počínaje dnem 1.7.2023.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300" w:right="0" w:firstLine="720"/>
        <w:jc w:val="both"/>
      </w:pPr>
      <w:r>
        <w:rPr>
          <w:rStyle w:val="CharStyle3"/>
        </w:rPr>
        <w:t>Nájemní vztah může být ukončen na základě vzájemné písemné dohody nebo výpovědí kterékoliv ze smluvních stran v souladu s ustanoveními § 2308 a násl. zákona č. 89/2012 Sb., občanský zákoník. Výpovědní lhůta je tříměsíční a počíná běžet od prvního dne měsíce následujícího po doručení výpovědi druhé smluvní straně.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66" w:lineRule="auto"/>
        <w:ind w:left="4340" w:right="0" w:firstLine="0"/>
        <w:jc w:val="left"/>
      </w:pPr>
      <w:bookmarkStart w:id="12" w:name="bookmark12"/>
      <w:r>
        <w:rPr>
          <w:rStyle w:val="CharStyle16"/>
          <w:b/>
          <w:bCs/>
        </w:rPr>
        <w:t>Článek III.</w:t>
      </w:r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66" w:lineRule="auto"/>
        <w:ind w:left="3640" w:right="0" w:firstLine="0"/>
        <w:jc w:val="left"/>
      </w:pPr>
      <w:r>
        <w:rPr>
          <w:rStyle w:val="CharStyle3"/>
        </w:rPr>
        <w:t>Nájemné a způsob úhrady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220" w:right="0" w:firstLine="700"/>
        <w:jc w:val="both"/>
      </w:pPr>
      <w:r>
        <w:rPr>
          <w:rStyle w:val="CharStyle3"/>
        </w:rPr>
        <w:t xml:space="preserve">Nájemné za shora uvedené nebytové prostory se sjednává dohodou a činí </w:t>
      </w:r>
      <w:r>
        <w:rPr>
          <w:rStyle w:val="CharStyle3"/>
          <w:b/>
          <w:bCs/>
        </w:rPr>
        <w:t xml:space="preserve">120 000,- Kč ročně bez DPH, </w:t>
      </w:r>
      <w:r>
        <w:rPr>
          <w:rStyle w:val="CharStyle3"/>
        </w:rPr>
        <w:t>nájemné je osvobozeno od daně dle § 56a zákona o dani z přidané hodnoty.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66" w:lineRule="auto"/>
        <w:ind w:left="220" w:right="0" w:firstLine="700"/>
        <w:jc w:val="both"/>
      </w:pPr>
      <w:r>
        <w:rPr>
          <w:rStyle w:val="CharStyle3"/>
        </w:rPr>
        <w:t>Nájemce se dále zavazuje podílet se na úhradě nákladů za služby spojené s užíváním pronajatých nebytových prostor. Výpočet nájemného a záloh na služby je uveden ve výpočtovém listu nájemného. Zálohová platba na úklid, vodné a stočné je uvedena včetně DPH, u zálohové platby na elektřinu je postupováno v souladu s ust. § 36 odst. 13 zákona o dani z přidané hodnoty v platném znění.</w:t>
      </w:r>
    </w:p>
    <w:tbl>
      <w:tblPr>
        <w:tblOverlap w:val="never"/>
        <w:jc w:val="left"/>
        <w:tblLayout w:type="fixed"/>
      </w:tblPr>
      <w:tblGrid>
        <w:gridCol w:w="4114"/>
        <w:gridCol w:w="2539"/>
      </w:tblGrid>
      <w:tr>
        <w:trPr>
          <w:trHeight w:val="403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0"/>
                <w:b/>
                <w:bCs/>
              </w:rPr>
              <w:t>Roční nájemné a zálohy na služby činí: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0"/>
                <w:b/>
                <w:bCs/>
              </w:rPr>
              <w:t xml:space="preserve">1/ </w:t>
            </w:r>
            <w:r>
              <w:rPr>
                <w:rStyle w:val="CharStyle20"/>
                <w:b/>
                <w:bCs/>
                <w:i/>
                <w:iCs/>
              </w:rPr>
              <w:t>roční nájemné</w:t>
            </w:r>
            <w:r>
              <w:rPr>
                <w:rStyle w:val="CharStyle20"/>
                <w:b/>
                <w:bCs/>
              </w:rPr>
              <w:t xml:space="preserve"> za nebytové prostory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0"/>
                <w:b/>
                <w:bCs/>
              </w:rPr>
              <w:t>120 000,- Kč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0"/>
                <w:b/>
                <w:bCs/>
              </w:rPr>
              <w:t>2/ roční záloha na úklid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0"/>
                <w:b/>
                <w:bCs/>
              </w:rPr>
              <w:t>85 300,-Kč včetně DPH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0"/>
                <w:b/>
                <w:bCs/>
              </w:rPr>
              <w:t>3/ roční záloha na vodné a stočné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20"/>
                <w:b/>
                <w:bCs/>
              </w:rPr>
              <w:t>6 300,- Kč včetně DPH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0"/>
                <w:b/>
                <w:bCs/>
              </w:rPr>
              <w:t>4/ roční záloha na elektřinu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0"/>
                <w:b/>
                <w:bCs/>
              </w:rPr>
              <w:t>22 400,- Kč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0"/>
                <w:b/>
                <w:bCs/>
              </w:rPr>
              <w:t>Celkem ročně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0"/>
                <w:b/>
                <w:bCs/>
              </w:rPr>
              <w:t>234 000,- Kč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rStyle w:val="CharStyle20"/>
                <w:b/>
                <w:bCs/>
              </w:rPr>
              <w:t>měsíčně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0"/>
                <w:b/>
                <w:bCs/>
              </w:rPr>
              <w:t>19 500,- Kč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220" w:right="0" w:firstLine="20"/>
        <w:jc w:val="both"/>
      </w:pPr>
      <w:r>
        <w:rPr>
          <w:rStyle w:val="CharStyle3"/>
          <w:b/>
          <w:bCs/>
        </w:rPr>
        <w:t>Způsob úhrady: měsíčně, částkou 19 500,- Kč, vždy do 25-tého dne měsíce, za který se platí nájemné, převodním příkazem na účet Správy majetku města Miroslav!, č. ú. 23733741/0100 u Komerční banky, a.s., variabilní symbol 14650205.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firstLine="700"/>
        <w:jc w:val="both"/>
      </w:pPr>
      <w:r>
        <w:rPr>
          <w:rStyle w:val="CharStyle3"/>
        </w:rPr>
        <w:t>Vyúčtování služeb spojených s užíváním nebytových prostor bude fakturováno Ix ročně (v měsíci březen - duben) po provedeném rozúčtování skutečně vynaložených nákladů, dle faktur dodavatelů, a to vždy za účetní období leden - prosinec. Nedoplatky nebo přeplatky z vyúčtování služeb jsou splatné do 15-ti dnů po doručení vyúčtování nájemci.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firstLine="700"/>
        <w:jc w:val="both"/>
      </w:pPr>
      <w:r>
        <w:rPr>
          <w:rStyle w:val="CharStyle3"/>
        </w:rPr>
        <w:t>V případě prodlení s úhradou nájemného a stanovených záloh nebo vyúčtovaných plateb, se nájemce zavazuje zaplatit pronajímateli úrok z prodlení, popřípadě poplatek z prodlení v souladu s platnými právními předpisy.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firstLine="700"/>
        <w:jc w:val="both"/>
      </w:pPr>
      <w:r>
        <w:rPr>
          <w:rStyle w:val="CharStyle3"/>
        </w:rPr>
        <w:t>V nájemném nejsou zahrnuty úhrady za služby spojené s užíváním pronajatých nebytových prostor, a to za odvoz a likvidace infekčního odpadu a telekomunikační služby. Dodávky těchto služeb si zajišťuje a hradí nájemce sám, a to podle faktur dodavatelů těchto služeb. Odvoz TKO a papíru bude zajišťovat pronajímatel.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firstLine="700"/>
        <w:jc w:val="both"/>
      </w:pPr>
      <w:r>
        <w:rPr>
          <w:rStyle w:val="CharStyle3"/>
        </w:rPr>
        <w:t>Součástí úklidu je provádění dezinfekcí dle úklidového pasportu a dezinfekčního řádu, které tvoří nedílnou přílohu této smlouvy. Součástí úklidu není dodávka náplní do zásobníku, ale pouze jejich doplňování. Úklidovou chemii a technické zabezpečení (kbelík, mop apod.) zabezpečí pronajímatel, dezinfekci dodá nájemce.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/>
        <w:ind w:left="220" w:right="0" w:firstLine="700"/>
        <w:jc w:val="both"/>
      </w:pPr>
      <w:r>
        <w:rPr>
          <w:rStyle w:val="CharStyle3"/>
        </w:rPr>
        <w:t>Současně se nájemce a pronajímatel dohodli, že náklady spojené s vytápěním nebytových prostor bude hradit pronajímatel.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64" w:lineRule="auto"/>
        <w:ind w:left="4340" w:right="0" w:firstLine="0"/>
        <w:jc w:val="left"/>
      </w:pPr>
      <w:bookmarkStart w:id="14" w:name="bookmark14"/>
      <w:r>
        <w:rPr>
          <w:rStyle w:val="CharStyle16"/>
          <w:b/>
          <w:bCs/>
        </w:rPr>
        <w:t>Článek IV.</w:t>
      </w:r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center"/>
      </w:pPr>
      <w:r>
        <w:rPr>
          <w:rStyle w:val="CharStyle3"/>
        </w:rPr>
        <w:t>Práva a povinnosti stran smlouvy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20" w:right="0" w:firstLine="700"/>
        <w:jc w:val="both"/>
      </w:pPr>
      <w:r>
        <w:rPr>
          <w:rStyle w:val="CharStyle3"/>
        </w:rPr>
        <w:t>Nájemce je oprávněn užívat nebytové prostory obvyklým způsobem, odpovídající účelu využití nebytových prostor. Stavební úpravy může nájemce provádět jen s předchozím písemným souhlasem pronajímatele.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220" w:right="0" w:firstLine="700"/>
        <w:jc w:val="both"/>
      </w:pPr>
      <w:r>
        <w:rPr>
          <w:rStyle w:val="CharStyle3"/>
        </w:rPr>
        <w:t>Nájemce je povinen hradit náklady spojené s běžnou údržbou nebytových prostor a je povinen dodržovat obecně závazné předpisy upravující požární ochranu, bezpečnost a hygienu.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200" w:right="0" w:firstLine="720"/>
        <w:jc w:val="both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1652270</wp:posOffset>
            </wp:positionH>
            <wp:positionV relativeFrom="margin">
              <wp:posOffset>7821295</wp:posOffset>
            </wp:positionV>
            <wp:extent cx="1627505" cy="154241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27505" cy="15424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</w:rPr>
        <w:t>Obě smluvní strany se dohodly na tom, že pronajímatel vybaví pronajaté nebytové prostory potřebným množstvím hasicích přístrojů, a to v souladu se zákonem č. 133/1985 Sb., o požární ochraně (ve znění pozdějších předpisů). Nájemce bude zajišťovat jejich pravidelné revize a kontroly a plnit všechny povinnosti na úseku požární ochrany.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200" w:right="0" w:firstLine="720"/>
        <w:jc w:val="both"/>
      </w:pPr>
      <w:r>
        <w:rPr>
          <w:rStyle w:val="CharStyle3"/>
        </w:rPr>
        <w:t>Nájemce je povinen bez zbytečného odkladu oznámit pronajímateli potřebu oprav, které má pronajímatel provést a umožnit provedení těchto a jiných nezbytných oprav, jinak nájemce odpovídá za škodu, která nesplněním uvedené povinnosti vznikla. Pronajímatel bude zajišťovat též výměnu žárovek v pronajatých prostorách.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200" w:right="0" w:firstLine="720"/>
        <w:jc w:val="both"/>
      </w:pPr>
      <w:r>
        <w:rPr>
          <w:rStyle w:val="CharStyle3"/>
        </w:rPr>
        <w:t>Pronajímatel je oprávněn z vážných důvodů vstupovat do pronajatých nebytových prostor. Nájemce je povinen umožnit pronajímateli přístup do všech prostor, jež jsou předmětem nájmu, k provedení kontroly, provozní údržby, likvidaci havárií apod.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200" w:right="0" w:firstLine="720"/>
        <w:jc w:val="both"/>
      </w:pPr>
      <w:r>
        <w:rPr>
          <w:rStyle w:val="CharStyle3"/>
        </w:rPr>
        <w:t>Nájemce je oprávněn přenechat nebytové prostory do podnájmu jen s písemným souhlasem pronajímatele.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66" w:lineRule="auto"/>
        <w:ind w:left="200" w:right="0" w:firstLine="720"/>
        <w:jc w:val="both"/>
      </w:pPr>
      <w:r>
        <w:rPr>
          <w:rStyle w:val="CharStyle3"/>
        </w:rPr>
        <w:t>Nebude-li dohodnuto jinak, je nájemce povinen v případě skončení nájmu, vrátit nebytové prostory ve stavu v jakém je převzal, s přihlédnutím k obvyklému opotřebení.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4340" w:right="0" w:firstLine="0"/>
        <w:jc w:val="left"/>
      </w:pPr>
      <w:bookmarkStart w:id="16" w:name="bookmark16"/>
      <w:r>
        <w:rPr>
          <w:rStyle w:val="CharStyle16"/>
          <w:b/>
          <w:bCs/>
        </w:rPr>
        <w:t>Článek V.</w:t>
      </w:r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3"/>
        </w:rPr>
        <w:t>Další ujednání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00" w:right="0" w:firstLine="720"/>
        <w:jc w:val="both"/>
      </w:pPr>
      <w:r>
        <w:rPr>
          <w:rStyle w:val="CharStyle3"/>
        </w:rPr>
        <w:t>Nájemce může nemovitou věc, kde se nalézá prostor sloužící podnikání, opatřit se souhlasem pronajímatele v přiměřeném rozsahu štíty, návěstími a podobnými znameními. Po skončení nájmu odstraní nájemce znamení, kterými nemovitou věc opatřil, a uvede dotčenou část nemovité věci do původního stavu.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200" w:right="0" w:firstLine="720"/>
        <w:jc w:val="both"/>
      </w:pPr>
      <w:r>
        <w:rPr>
          <w:rStyle w:val="CharStyle3"/>
        </w:rPr>
        <w:t>Tato smlouva může být změněna na návrh kterékoliv ze smluvních stran pouze písemnou formou. S ohledem na možný pohyb cen a míry inflace, se smluvní strany dohodly, že výše nájemného může být v tomto směru upravována, a to vždy písemnou formou.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4340" w:right="0" w:firstLine="0"/>
        <w:jc w:val="left"/>
      </w:pPr>
      <w:bookmarkStart w:id="18" w:name="bookmark18"/>
      <w:r>
        <w:rPr>
          <w:rStyle w:val="CharStyle16"/>
          <w:b/>
          <w:bCs/>
        </w:rPr>
        <w:t>Článek VI.</w:t>
      </w:r>
      <w:bookmarkEnd w:id="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3"/>
        </w:rPr>
        <w:t>Závěrečná ustanovení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00" w:right="0" w:firstLine="720"/>
        <w:jc w:val="both"/>
      </w:pPr>
      <w:r>
        <w:rPr>
          <w:rStyle w:val="CharStyle3"/>
        </w:rPr>
        <w:t>Tato smlouva nabývá platnosti dnem podpisu oběma smluvními stranami a účinnosti dnem 1. 7. 2023.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00" w:right="0" w:firstLine="720"/>
        <w:jc w:val="both"/>
      </w:pPr>
      <w:r>
        <w:rPr>
          <w:rStyle w:val="CharStyle3"/>
        </w:rPr>
        <w:t>Smluvní strany prohlašují, že jsou způsobilé uzavřít tuto smlouvu, stejně jako způsobilé nabývat v rámci právního řádu vlastním právním jednáním práva a povinnosti. Dále prohlašují, že smlouva byla sepsána podle jejich pravé a svobodné vůle, určitě, vážně a srozumitelně, nikoliv v tísni a za nápadně nevýhodných podmínek. Smluvní strany se před podpisem této smlouvy seznámily s jejím obsahem a bez výhrad s ním souhlasí, což stvrzují vlastnoručními podpisy.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00" w:right="0" w:firstLine="720"/>
        <w:jc w:val="both"/>
      </w:pPr>
      <w:r>
        <w:rPr>
          <w:rStyle w:val="CharStyle3"/>
        </w:rPr>
        <w:t>Pokud tato smlouva nestanoví jinak, platí pro nájemní poměr příslušná ustanovení občanského zákoníku; to platí i tam, kde smlouva upravuje některá práva či povinnosti jen částečně.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900"/>
        <w:jc w:val="left"/>
      </w:pPr>
      <w:r>
        <w:rPr>
          <w:rStyle w:val="CharStyle3"/>
        </w:rPr>
        <w:t>Smlouva je vyhotovena ve čtyřech stejnopisech, z nichž každá strana obdrží po dvou.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200"/>
        <w:jc w:val="left"/>
      </w:pPr>
      <w:r>
        <w:rPr>
          <w:rStyle w:val="CharStyle3"/>
        </w:rPr>
        <w:t>V Miroslavi dne 16. 6. 2023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  <w:rPr>
          <w:sz w:val="18"/>
          <w:szCs w:val="18"/>
        </w:rPr>
      </w:pPr>
      <w:r>
        <w:rPr>
          <w:rStyle w:val="CharStyle11"/>
          <w:b/>
          <w:bCs/>
        </w:rPr>
        <w:t xml:space="preserve">Zdravotnická </w:t>
      </w:r>
      <w:r>
        <w:rPr>
          <w:rStyle w:val="CharStyle11"/>
          <w:b/>
          <w:bCs/>
          <w:sz w:val="18"/>
          <w:szCs w:val="18"/>
        </w:rPr>
        <w:t>záchranná služba</w:t>
        <w:br/>
      </w:r>
      <w:r>
        <w:rPr>
          <w:rStyle w:val="CharStyle11"/>
          <w:b/>
          <w:bCs/>
        </w:rPr>
        <w:t xml:space="preserve">Jihomoravského kraje, </w:t>
      </w:r>
      <w:r>
        <w:rPr>
          <w:rStyle w:val="CharStyle11"/>
          <w:b/>
          <w:bCs/>
          <w:sz w:val="18"/>
          <w:szCs w:val="18"/>
        </w:rPr>
        <w:t>p.o.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center"/>
        <w:rPr>
          <w:sz w:val="18"/>
          <w:szCs w:val="18"/>
        </w:rPr>
      </w:pPr>
      <w:r>
        <w:rPr>
          <w:rStyle w:val="CharStyle11"/>
          <w:b/>
          <w:bCs/>
        </w:rPr>
        <w:t xml:space="preserve">Kamenice 798/1 d, 625 </w:t>
      </w:r>
      <w:r>
        <w:rPr>
          <w:rStyle w:val="CharStyle11"/>
          <w:b/>
          <w:bCs/>
          <w:sz w:val="18"/>
          <w:szCs w:val="18"/>
        </w:rPr>
        <w:t>00 Brno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744" w:val="left"/>
        </w:tabs>
        <w:bidi w:val="0"/>
        <w:spacing w:before="0" w:after="660" w:line="283" w:lineRule="auto"/>
        <w:ind w:left="0" w:right="1540" w:firstLine="0"/>
        <w:jc w:val="right"/>
      </w:pPr>
      <w:r>
        <w:rPr>
          <w:rStyle w:val="CharStyle11"/>
          <w:b/>
          <w:bCs/>
        </w:rPr>
        <w:t>/</w:t>
        <w:tab/>
        <w:t>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3600" w:right="0" w:firstLine="0"/>
        <w:jc w:val="left"/>
      </w:pPr>
      <w:r>
        <mc:AlternateContent>
          <mc:Choice Requires="wps">
            <w:drawing>
              <wp:anchor distT="0" distB="362585" distL="114300" distR="894715" simplePos="0" relativeHeight="125829378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margin">
                  <wp:posOffset>9287510</wp:posOffset>
                </wp:positionV>
                <wp:extent cx="384175" cy="16446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17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Za pro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2.pt;margin-top:731.30000000000007pt;width:30.25pt;height:12.950000000000001pt;z-index:-125829375;mso-wrap-distance-left:9.pt;mso-wrap-distance-right:70.450000000000003pt;mso-wrap-distance-bottom:28.5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 pro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67640" distB="0" distL="114300" distR="114300" simplePos="0" relativeHeight="125829380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margin">
                  <wp:posOffset>9455150</wp:posOffset>
                </wp:positionV>
                <wp:extent cx="1164590" cy="35941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459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Martin Plechatý starosta městó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2.pt;margin-top:744.5pt;width:91.700000000000003pt;height:28.300000000000001pt;z-index:-125829373;mso-wrap-distance-left:9.pt;mso-wrap-distance-top:13.200000000000001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Martin Plechatý starosta městó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CharStyle3"/>
        </w:rPr>
        <w:t>Za nájemce: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3600" w:right="0" w:firstLine="0"/>
        <w:jc w:val="left"/>
      </w:pPr>
      <w:r>
        <w:rPr>
          <w:rStyle w:val="CharStyle3"/>
        </w:rPr>
        <w:t>MUDr. Hana Albrechtová ředitelka organizace</w:t>
      </w:r>
      <w:r>
        <w:br w:type="page"/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left"/>
      </w:pPr>
      <w:r>
        <w:rPr>
          <w:rStyle w:val="CharStyle26"/>
          <w:b/>
          <w:bCs/>
        </w:rPr>
        <w:t>Výpočtový list nájemného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380" w:right="0" w:firstLine="0"/>
        <w:jc w:val="both"/>
      </w:pPr>
      <w:r>
        <w:rPr>
          <w:rStyle w:val="CharStyle3"/>
        </w:rPr>
        <w:t>ke smlouvě ó nájmu prostoru sloužícího k podnikání v budově zdravotního střediska č.p. 182 na ul. Kostelní č.or. 1 v Miroslavi, postavené na pozemku p.č. 816/2, v katastrálním území Miroslav, uzavřené mezi městem Miroslav, jako pronajímatelem a Zdravotnickou záchranou službou Jihomoravského kraje, r *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180" w:lineRule="auto"/>
        <w:ind w:left="0" w:right="0" w:firstLine="380"/>
        <w:jc w:val="left"/>
      </w:pPr>
      <w:r>
        <w:rPr>
          <w:rStyle w:val="CharStyle3"/>
        </w:rPr>
        <w:t>příspěvkovou organizací, jako nájemcem.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left"/>
      </w:pPr>
      <w:r>
        <w:rPr>
          <w:rStyle w:val="CharStyle26"/>
          <w:b/>
          <w:bCs/>
        </w:rPr>
        <w:t>Výměra nebytových prostor:</w:t>
      </w:r>
    </w:p>
    <w:tbl>
      <w:tblPr>
        <w:tblOverlap w:val="never"/>
        <w:jc w:val="left"/>
        <w:tblLayout w:type="fixed"/>
      </w:tblPr>
      <w:tblGrid>
        <w:gridCol w:w="3504"/>
        <w:gridCol w:w="5851"/>
      </w:tblGrid>
      <w:tr>
        <w:trPr>
          <w:trHeight w:val="44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1/chodba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2/ předsíňka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3/WC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4/ sprcha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5/ šatna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6/ denní místnost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7/ místnost záchranáře 1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8/ místnost záchranáře 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9/ archiv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10/ místnost datového uzlu IKO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11/ prádlo čisté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12/ zdravotnický materiál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13/ chodba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14/ úklidová komora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15/ úklid sanitka + prádlo špinavé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16/odpad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300"/>
              <w:jc w:val="both"/>
            </w:pPr>
            <w:r>
              <w:rPr>
                <w:rStyle w:val="CharStyle20"/>
                <w:b/>
                <w:bCs/>
              </w:rPr>
              <w:t>22,72 m2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/>
              <w:jc w:val="both"/>
            </w:pPr>
            <w:r>
              <w:rPr>
                <w:rStyle w:val="CharStyle20"/>
                <w:b/>
                <w:bCs/>
              </w:rPr>
              <w:t>1,42 m2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/>
              <w:jc w:val="both"/>
            </w:pPr>
            <w:r>
              <w:rPr>
                <w:rStyle w:val="CharStyle20"/>
                <w:b/>
                <w:bCs/>
              </w:rPr>
              <w:t>1,34 m2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/>
              <w:jc w:val="both"/>
            </w:pPr>
            <w:r>
              <w:rPr>
                <w:rStyle w:val="CharStyle20"/>
                <w:b/>
                <w:bCs/>
              </w:rPr>
              <w:t>2,72 m2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both"/>
            </w:pPr>
            <w:r>
              <w:rPr>
                <w:rStyle w:val="CharStyle20"/>
                <w:b/>
                <w:bCs/>
              </w:rPr>
              <w:t>19,52 m2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both"/>
            </w:pPr>
            <w:r>
              <w:rPr>
                <w:rStyle w:val="CharStyle20"/>
                <w:b/>
                <w:bCs/>
              </w:rPr>
              <w:t>19,16 m2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2729" w:val="left"/>
              </w:tabs>
              <w:bidi w:val="0"/>
              <w:spacing w:before="0" w:after="0" w:line="262" w:lineRule="auto"/>
              <w:ind w:left="300" w:right="0" w:firstLine="0"/>
              <w:jc w:val="both"/>
            </w:pPr>
            <w:r>
              <w:rPr>
                <w:rStyle w:val="CharStyle20"/>
                <w:b/>
                <w:bCs/>
              </w:rPr>
              <w:t>10,68 m2 12,05 m2</w:t>
              <w:tab/>
              <w:t>।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400" w:right="0" w:firstLine="0"/>
              <w:jc w:val="both"/>
            </w:pPr>
            <w:r>
              <w:rPr>
                <w:rStyle w:val="CharStyle20"/>
                <w:b/>
                <w:bCs/>
              </w:rPr>
              <w:t>6,27 m2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400" w:right="0" w:firstLine="0"/>
              <w:jc w:val="both"/>
            </w:pPr>
            <w:r>
              <w:rPr>
                <w:rStyle w:val="CharStyle20"/>
                <w:b/>
                <w:bCs/>
              </w:rPr>
              <w:t>2,55 m2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400" w:right="0" w:firstLine="0"/>
              <w:jc w:val="both"/>
            </w:pPr>
            <w:r>
              <w:rPr>
                <w:rStyle w:val="CharStyle20"/>
                <w:b/>
                <w:bCs/>
              </w:rPr>
              <w:t>3,87 m2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400" w:right="0" w:firstLine="0"/>
              <w:jc w:val="both"/>
            </w:pPr>
            <w:r>
              <w:rPr>
                <w:rStyle w:val="CharStyle20"/>
                <w:b/>
                <w:bCs/>
              </w:rPr>
              <w:t>3,85 m2 5,03 m2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400" w:right="0" w:firstLine="0"/>
              <w:jc w:val="both"/>
            </w:pPr>
            <w:r>
              <w:rPr>
                <w:rStyle w:val="CharStyle20"/>
                <w:b/>
                <w:bCs/>
              </w:rPr>
              <w:t>1,49 m2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400" w:right="0" w:firstLine="0"/>
              <w:jc w:val="both"/>
            </w:pPr>
            <w:r>
              <w:rPr>
                <w:rStyle w:val="CharStyle20"/>
                <w:b/>
                <w:bCs/>
              </w:rPr>
              <w:t>9,20 m2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400" w:right="0" w:firstLine="0"/>
              <w:jc w:val="both"/>
            </w:pPr>
            <w:r>
              <w:rPr>
                <w:rStyle w:val="CharStyle20"/>
                <w:b/>
                <w:bCs/>
              </w:rPr>
              <w:t>1,30 m2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Celková výměra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20"/>
              <w:jc w:val="both"/>
            </w:pPr>
            <w:r>
              <w:rPr>
                <w:rStyle w:val="CharStyle20"/>
                <w:b/>
                <w:bCs/>
              </w:rPr>
              <w:t>123,17 m2</w:t>
            </w:r>
          </w:p>
        </w:tc>
      </w:tr>
      <w:tr>
        <w:trPr>
          <w:trHeight w:val="81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Nájemné: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Style w:val="CharStyle20"/>
                <w:b/>
                <w:bCs/>
              </w:rPr>
              <w:t>120 000,- Kč/rok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Záloha na úklid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rStyle w:val="CharStyle20"/>
                <w:b/>
                <w:bCs/>
              </w:rPr>
              <w:t>85 300,- Kč/rok včetně DPH 21 %</w:t>
            </w:r>
          </w:p>
        </w:tc>
      </w:tr>
      <w:tr>
        <w:trPr>
          <w:trHeight w:val="53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Záloha na vodné a stočné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rStyle w:val="CharStyle20"/>
                <w:b/>
                <w:bCs/>
              </w:rPr>
              <w:t>6 300,- Kč/rok včetně DPH 10 %</w:t>
            </w:r>
          </w:p>
        </w:tc>
      </w:tr>
      <w:tr>
        <w:trPr>
          <w:trHeight w:val="53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</w:rPr>
              <w:t>Záloha na elektřinu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rStyle w:val="CharStyle20"/>
                <w:b/>
                <w:bCs/>
              </w:rPr>
              <w:t>22 400,- Kč/rok</w:t>
            </w:r>
          </w:p>
        </w:tc>
      </w:tr>
      <w:tr>
        <w:trPr>
          <w:trHeight w:val="403" w:hRule="exact"/>
        </w:trPr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  <w:b/>
                <w:bCs/>
                <w:u w:val="single"/>
              </w:rPr>
              <w:t>Celkem: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Style w:val="CharStyle20"/>
                <w:b/>
                <w:bCs/>
              </w:rPr>
              <w:t>234 000,- Kč/rok</w:t>
            </w:r>
          </w:p>
        </w:tc>
      </w:tr>
    </w:tbl>
    <w:p>
      <w:pPr>
        <w:widowControl w:val="0"/>
        <w:spacing w:after="7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380"/>
        <w:jc w:val="left"/>
      </w:pPr>
      <w:r>
        <w:rPr>
          <w:rStyle w:val="CharStyle3"/>
        </w:rPr>
        <w:t>Nájemné je osvobozeno od daně dle § 56a zákona o dani z přidané hodnoty.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57" w:lineRule="auto"/>
        <w:ind w:left="380" w:right="0" w:firstLine="0"/>
        <w:jc w:val="left"/>
      </w:pPr>
      <w:r>
        <w:rPr>
          <w:rStyle w:val="CharStyle3"/>
        </w:rPr>
        <w:t>Zálohová platba na úklid, vodné a stočné je uvedena včetně DPH, u zálohové platby na elektřinu je postupováno v souladu s ust. § 36 odst. 13 zákona o dani z přidané hodnoty v platném znění.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380"/>
        <w:jc w:val="left"/>
      </w:pPr>
      <w:r>
        <w:rPr>
          <w:rStyle w:val="CharStyle3"/>
        </w:rPr>
        <w:t>V Miroslavi dne 16. 6. 2023</w:t>
      </w:r>
    </w:p>
    <w:sectPr>
      <w:headerReference w:type="default" r:id="rId7"/>
      <w:headerReference w:type="first" r:id="rId8"/>
      <w:footnotePr>
        <w:pos w:val="pageBottom"/>
        <w:numFmt w:val="decimal"/>
        <w:numRestart w:val="continuous"/>
      </w:footnotePr>
      <w:pgSz w:w="11900" w:h="16840"/>
      <w:pgMar w:top="202" w:right="378" w:bottom="1213" w:left="1024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340360</wp:posOffset>
              </wp:positionV>
              <wp:extent cx="944880" cy="12827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448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8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i</w:t>
                            <w:tab/>
                          </w:r>
                          <w:r>
                            <w:rPr>
                              <w:rStyle w:val="CharStyle7"/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neb236.sml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4.pt;margin-top:26.800000000000001pt;width:74.400000000000006pt;height:10.1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8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t>i</w:t>
                      <w:tab/>
                    </w:r>
                    <w:r>
                      <w:rPr>
                        <w:rStyle w:val="CharStyle7"/>
                        <w:rFonts w:ascii="Calibri" w:eastAsia="Calibri" w:hAnsi="Calibri" w:cs="Calibri"/>
                        <w:sz w:val="20"/>
                        <w:szCs w:val="20"/>
                      </w:rPr>
                      <w:t>neb236.sml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 (2)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color w:val="5F6FAA"/>
      <w:sz w:val="16"/>
      <w:szCs w:val="16"/>
      <w:u w:val="none"/>
    </w:rPr>
  </w:style>
  <w:style w:type="character" w:customStyle="1" w:styleId="CharStyle14">
    <w:name w:val="Nadpis #2_"/>
    <w:basedOn w:val="DefaultParagraphFont"/>
    <w:link w:val="Style13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16">
    <w:name w:val="Nadpis #3_"/>
    <w:basedOn w:val="DefaultParagraphFont"/>
    <w:link w:val="Style1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Titulek tabulky_"/>
    <w:basedOn w:val="DefaultParagraphFont"/>
    <w:link w:val="Style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Jiné_"/>
    <w:basedOn w:val="DefaultParagraphFont"/>
    <w:link w:val="Style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">
    <w:name w:val="Základní text (3)_"/>
    <w:basedOn w:val="DefaultParagraphFont"/>
    <w:link w:val="Style2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singl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line="264" w:lineRule="auto"/>
      <w:ind w:firstLine="4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ind w:right="122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 (2)"/>
    <w:basedOn w:val="Normal"/>
    <w:link w:val="CharStyle11"/>
    <w:pPr>
      <w:widowControl w:val="0"/>
      <w:shd w:val="clear" w:color="auto" w:fill="auto"/>
      <w:spacing w:after="30" w:line="274" w:lineRule="auto"/>
      <w:ind w:right="61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5F6FAA"/>
      <w:sz w:val="16"/>
      <w:szCs w:val="16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auto"/>
      <w:spacing w:after="400"/>
      <w:jc w:val="center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15">
    <w:name w:val="Nadpis #3"/>
    <w:basedOn w:val="Normal"/>
    <w:link w:val="CharStyle16"/>
    <w:pPr>
      <w:widowControl w:val="0"/>
      <w:shd w:val="clear" w:color="auto" w:fill="auto"/>
      <w:spacing w:line="262" w:lineRule="auto"/>
      <w:ind w:left="2170"/>
      <w:outlineLvl w:val="2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Jiné"/>
    <w:basedOn w:val="Normal"/>
    <w:link w:val="CharStyle20"/>
    <w:pPr>
      <w:widowControl w:val="0"/>
      <w:shd w:val="clear" w:color="auto" w:fill="auto"/>
      <w:spacing w:line="264" w:lineRule="auto"/>
      <w:ind w:firstLine="4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5">
    <w:name w:val="Základní text (3)"/>
    <w:basedOn w:val="Normal"/>
    <w:link w:val="CharStyle26"/>
    <w:pPr>
      <w:widowControl w:val="0"/>
      <w:shd w:val="clear" w:color="auto" w:fill="auto"/>
      <w:spacing w:after="320" w:line="173" w:lineRule="auto"/>
      <w:ind w:firstLine="380"/>
    </w:pPr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sing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