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F1" w:rsidRDefault="00722A7D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5211200165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714F1" w:rsidRDefault="00722A7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714F1" w:rsidRDefault="009714F1">
      <w:pPr>
        <w:pStyle w:val="Zkladntext"/>
        <w:ind w:left="0"/>
        <w:jc w:val="left"/>
        <w:rPr>
          <w:sz w:val="60"/>
        </w:rPr>
      </w:pPr>
    </w:p>
    <w:p w:rsidR="009714F1" w:rsidRDefault="00722A7D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714F1" w:rsidRDefault="009714F1">
      <w:pPr>
        <w:pStyle w:val="Zkladntext"/>
        <w:spacing w:before="1"/>
        <w:ind w:left="0"/>
        <w:jc w:val="left"/>
      </w:pPr>
    </w:p>
    <w:p w:rsidR="009714F1" w:rsidRDefault="00722A7D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714F1" w:rsidRDefault="00722A7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714F1" w:rsidRDefault="00722A7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714F1" w:rsidRDefault="00722A7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9714F1" w:rsidRDefault="00722A7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714F1" w:rsidRDefault="00722A7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14F1" w:rsidRDefault="00722A7D">
      <w:pPr>
        <w:pStyle w:val="Zkladntext"/>
        <w:tabs>
          <w:tab w:val="left" w:pos="3262"/>
        </w:tabs>
        <w:spacing w:before="4" w:line="237" w:lineRule="auto"/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714F1" w:rsidRDefault="009714F1">
      <w:pPr>
        <w:pStyle w:val="Zkladntext"/>
        <w:spacing w:before="1"/>
        <w:ind w:left="0"/>
        <w:jc w:val="left"/>
      </w:pPr>
    </w:p>
    <w:p w:rsidR="009714F1" w:rsidRDefault="00722A7D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9714F1" w:rsidRDefault="009714F1">
      <w:pPr>
        <w:pStyle w:val="Zkladntext"/>
        <w:ind w:left="0"/>
        <w:jc w:val="left"/>
      </w:pPr>
    </w:p>
    <w:p w:rsidR="009714F1" w:rsidRDefault="00722A7D">
      <w:pPr>
        <w:pStyle w:val="Nadpis2"/>
        <w:jc w:val="left"/>
      </w:pPr>
      <w:r>
        <w:t>Fakultní</w:t>
      </w:r>
      <w:r>
        <w:rPr>
          <w:spacing w:val="-2"/>
        </w:rPr>
        <w:t xml:space="preserve"> </w:t>
      </w:r>
      <w:r>
        <w:t>nemocnice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Motole</w:t>
      </w:r>
    </w:p>
    <w:p w:rsidR="009714F1" w:rsidRDefault="00722A7D">
      <w:pPr>
        <w:pStyle w:val="Zkladntext"/>
        <w:spacing w:before="1" w:line="265" w:lineRule="exact"/>
        <w:ind w:left="38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9714F1" w:rsidRDefault="00722A7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</w:t>
      </w:r>
      <w:r>
        <w:rPr>
          <w:spacing w:val="-1"/>
        </w:rPr>
        <w:t xml:space="preserve"> </w:t>
      </w:r>
      <w:r>
        <w:t>úvalu</w:t>
      </w:r>
      <w:r>
        <w:rPr>
          <w:spacing w:val="-1"/>
        </w:rPr>
        <w:t xml:space="preserve"> </w:t>
      </w:r>
      <w:r>
        <w:t>84/1,</w:t>
      </w:r>
      <w:r>
        <w:rPr>
          <w:spacing w:val="-3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Motol</w:t>
      </w:r>
    </w:p>
    <w:p w:rsidR="009714F1" w:rsidRDefault="00722A7D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00064203</w:t>
      </w:r>
    </w:p>
    <w:p w:rsidR="009714F1" w:rsidRDefault="00722A7D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JUDr.</w:t>
      </w:r>
      <w:r>
        <w:rPr>
          <w:spacing w:val="-3"/>
        </w:rPr>
        <w:t xml:space="preserve"> </w:t>
      </w:r>
      <w:r>
        <w:t>Ing. Miloslavem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v 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MBA,</w:t>
      </w:r>
      <w:r>
        <w:rPr>
          <w:spacing w:val="-2"/>
        </w:rPr>
        <w:t xml:space="preserve"> </w:t>
      </w:r>
      <w:r>
        <w:t>ředitelem</w:t>
      </w:r>
    </w:p>
    <w:p w:rsidR="009714F1" w:rsidRDefault="00722A7D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14F1" w:rsidRDefault="00722A7D">
      <w:pPr>
        <w:pStyle w:val="Zkladntext"/>
        <w:tabs>
          <w:tab w:val="left" w:pos="3262"/>
        </w:tabs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30007-17937051/0710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714F1" w:rsidRDefault="009714F1">
      <w:pPr>
        <w:pStyle w:val="Zkladntext"/>
        <w:spacing w:before="12"/>
        <w:ind w:left="0"/>
        <w:jc w:val="left"/>
        <w:rPr>
          <w:sz w:val="19"/>
        </w:rPr>
      </w:pPr>
    </w:p>
    <w:p w:rsidR="009714F1" w:rsidRDefault="00722A7D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714F1" w:rsidRDefault="009714F1">
      <w:pPr>
        <w:pStyle w:val="Zkladntext"/>
        <w:spacing w:before="1"/>
        <w:ind w:left="0"/>
        <w:jc w:val="left"/>
        <w:rPr>
          <w:sz w:val="36"/>
        </w:rPr>
      </w:pPr>
    </w:p>
    <w:p w:rsidR="009714F1" w:rsidRDefault="00722A7D">
      <w:pPr>
        <w:pStyle w:val="Nadpis1"/>
      </w:pPr>
      <w:r>
        <w:t>I.</w:t>
      </w:r>
    </w:p>
    <w:p w:rsidR="009714F1" w:rsidRDefault="00722A7D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714F1" w:rsidRDefault="009714F1">
      <w:pPr>
        <w:pStyle w:val="Zkladntext"/>
        <w:ind w:left="0"/>
        <w:jc w:val="left"/>
        <w:rPr>
          <w:b/>
          <w:sz w:val="18"/>
        </w:rPr>
      </w:pPr>
    </w:p>
    <w:p w:rsidR="009714F1" w:rsidRDefault="00722A7D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714F1" w:rsidRDefault="00722A7D">
      <w:pPr>
        <w:pStyle w:val="Zkladntext"/>
        <w:ind w:right="130"/>
      </w:pPr>
      <w:r>
        <w:t>„Smlouva“) se uzavírá na základě Rozhodnutí ministra životního prostředí č. 5211200165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30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714F1" w:rsidRDefault="00722A7D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714F1" w:rsidRDefault="00722A7D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714F1" w:rsidRDefault="009714F1">
      <w:pPr>
        <w:jc w:val="both"/>
        <w:rPr>
          <w:sz w:val="20"/>
        </w:rPr>
        <w:sectPr w:rsidR="009714F1">
          <w:footerReference w:type="default" r:id="rId7"/>
          <w:type w:val="continuous"/>
          <w:pgSz w:w="12240" w:h="15840"/>
          <w:pgMar w:top="1060" w:right="1000" w:bottom="1620" w:left="1320" w:header="0" w:footer="1425" w:gutter="0"/>
          <w:pgNumType w:start="1"/>
          <w:cols w:space="708"/>
        </w:sectPr>
      </w:pPr>
    </w:p>
    <w:p w:rsidR="009714F1" w:rsidRDefault="00722A7D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714F1" w:rsidRDefault="00722A7D">
      <w:pPr>
        <w:pStyle w:val="Nadpis2"/>
        <w:spacing w:before="120"/>
        <w:ind w:left="427"/>
        <w:jc w:val="both"/>
      </w:pPr>
      <w:r>
        <w:t>„Snížení</w:t>
      </w:r>
      <w:r>
        <w:rPr>
          <w:spacing w:val="-3"/>
        </w:rPr>
        <w:t xml:space="preserve"> </w:t>
      </w:r>
      <w:r>
        <w:t>energetické</w:t>
      </w:r>
      <w:r>
        <w:rPr>
          <w:spacing w:val="-3"/>
        </w:rPr>
        <w:t xml:space="preserve"> </w:t>
      </w:r>
      <w:r>
        <w:t>náročnosti</w:t>
      </w:r>
      <w:r>
        <w:rPr>
          <w:spacing w:val="-1"/>
        </w:rPr>
        <w:t xml:space="preserve"> </w:t>
      </w:r>
      <w:r>
        <w:t>budovy</w:t>
      </w:r>
      <w:r>
        <w:rPr>
          <w:spacing w:val="-3"/>
        </w:rPr>
        <w:t xml:space="preserve"> </w:t>
      </w:r>
      <w:r>
        <w:t>Pneumologické</w:t>
      </w:r>
      <w:r>
        <w:rPr>
          <w:spacing w:val="-2"/>
        </w:rPr>
        <w:t xml:space="preserve"> </w:t>
      </w:r>
      <w:r>
        <w:t>kliniky -</w:t>
      </w:r>
      <w:r>
        <w:rPr>
          <w:spacing w:val="-2"/>
        </w:rPr>
        <w:t xml:space="preserve"> </w:t>
      </w:r>
      <w:r>
        <w:t>Fakultní</w:t>
      </w:r>
      <w:r>
        <w:rPr>
          <w:spacing w:val="-3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t>Motol,</w:t>
      </w:r>
      <w:r>
        <w:rPr>
          <w:spacing w:val="-5"/>
        </w:rPr>
        <w:t xml:space="preserve"> </w:t>
      </w:r>
      <w:r>
        <w:t>Praha“</w:t>
      </w:r>
    </w:p>
    <w:p w:rsidR="009714F1" w:rsidRDefault="00722A7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 kombinovaná.</w:t>
      </w:r>
    </w:p>
    <w:p w:rsidR="009714F1" w:rsidRDefault="00722A7D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3"/>
          <w:sz w:val="20"/>
        </w:rPr>
        <w:t xml:space="preserve"> </w:t>
      </w:r>
      <w:r>
        <w:rPr>
          <w:sz w:val="20"/>
        </w:rPr>
        <w:t>režimu</w:t>
      </w:r>
      <w:r>
        <w:rPr>
          <w:spacing w:val="41"/>
          <w:sz w:val="20"/>
        </w:rPr>
        <w:t xml:space="preserve"> </w:t>
      </w:r>
      <w:r>
        <w:rPr>
          <w:sz w:val="20"/>
        </w:rPr>
        <w:t>vyrovnávací</w:t>
      </w:r>
      <w:r>
        <w:rPr>
          <w:spacing w:val="40"/>
          <w:sz w:val="20"/>
        </w:rPr>
        <w:t xml:space="preserve"> </w:t>
      </w:r>
      <w:r>
        <w:rPr>
          <w:sz w:val="20"/>
        </w:rPr>
        <w:t>platby</w:t>
      </w:r>
      <w:r>
        <w:rPr>
          <w:spacing w:val="41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závazek</w:t>
      </w:r>
      <w:r>
        <w:rPr>
          <w:spacing w:val="41"/>
          <w:sz w:val="20"/>
        </w:rPr>
        <w:t xml:space="preserve"> </w:t>
      </w:r>
      <w:r>
        <w:rPr>
          <w:sz w:val="20"/>
        </w:rPr>
        <w:t>veřejné</w:t>
      </w:r>
      <w:r>
        <w:rPr>
          <w:spacing w:val="39"/>
          <w:sz w:val="20"/>
        </w:rPr>
        <w:t xml:space="preserve"> </w:t>
      </w:r>
      <w:r>
        <w:rPr>
          <w:sz w:val="20"/>
        </w:rPr>
        <w:t>služby,</w:t>
      </w:r>
      <w:r>
        <w:rPr>
          <w:spacing w:val="41"/>
          <w:sz w:val="20"/>
        </w:rPr>
        <w:t xml:space="preserve"> </w:t>
      </w:r>
      <w:r>
        <w:rPr>
          <w:sz w:val="20"/>
        </w:rPr>
        <w:t>který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 Rozhodnutím Komise ze dne 20. 12. 2011 o použití čl. 106 odst. 2 Smlouvy o fungování Evropské unie</w:t>
      </w:r>
      <w:r>
        <w:rPr>
          <w:spacing w:val="-52"/>
          <w:sz w:val="20"/>
        </w:rPr>
        <w:t xml:space="preserve"> </w:t>
      </w:r>
      <w:r>
        <w:rPr>
          <w:sz w:val="20"/>
        </w:rPr>
        <w:t>na státní podporu ve formě vyrovnávací platby za závazek veřejné služby udělené určitým podnikům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poskytováním</w:t>
      </w:r>
      <w:r>
        <w:rPr>
          <w:spacing w:val="1"/>
          <w:sz w:val="20"/>
        </w:rPr>
        <w:t xml:space="preserve"> </w:t>
      </w:r>
      <w:r>
        <w:rPr>
          <w:sz w:val="20"/>
        </w:rPr>
        <w:t>služeb</w:t>
      </w:r>
      <w:r>
        <w:rPr>
          <w:spacing w:val="1"/>
          <w:sz w:val="20"/>
        </w:rPr>
        <w:t xml:space="preserve"> </w:t>
      </w:r>
      <w:r>
        <w:rPr>
          <w:sz w:val="20"/>
        </w:rPr>
        <w:t>obecného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hospodářského</w:t>
      </w:r>
      <w:r>
        <w:rPr>
          <w:spacing w:val="1"/>
          <w:sz w:val="20"/>
        </w:rPr>
        <w:t xml:space="preserve"> </w:t>
      </w:r>
      <w:r>
        <w:rPr>
          <w:sz w:val="20"/>
        </w:rPr>
        <w:t>zájmu</w:t>
      </w:r>
      <w:r>
        <w:rPr>
          <w:spacing w:val="1"/>
          <w:sz w:val="20"/>
        </w:rPr>
        <w:t xml:space="preserve"> </w:t>
      </w:r>
      <w:r>
        <w:rPr>
          <w:sz w:val="20"/>
        </w:rPr>
        <w:t>(č.</w:t>
      </w:r>
      <w:r>
        <w:rPr>
          <w:spacing w:val="1"/>
          <w:sz w:val="20"/>
        </w:rPr>
        <w:t xml:space="preserve"> </w:t>
      </w:r>
      <w:r>
        <w:rPr>
          <w:sz w:val="20"/>
        </w:rPr>
        <w:t>K(2011)</w:t>
      </w:r>
      <w:r>
        <w:rPr>
          <w:spacing w:val="1"/>
          <w:sz w:val="20"/>
        </w:rPr>
        <w:t xml:space="preserve"> </w:t>
      </w:r>
      <w:r>
        <w:rPr>
          <w:sz w:val="20"/>
        </w:rPr>
        <w:t>9380),</w:t>
      </w:r>
      <w:r>
        <w:rPr>
          <w:spacing w:val="1"/>
          <w:sz w:val="20"/>
        </w:rPr>
        <w:t xml:space="preserve"> </w:t>
      </w:r>
      <w:r>
        <w:rPr>
          <w:sz w:val="20"/>
        </w:rPr>
        <w:t>2012/21/EU,</w:t>
      </w:r>
      <w:r>
        <w:rPr>
          <w:spacing w:val="1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3"/>
          <w:sz w:val="20"/>
        </w:rPr>
        <w:t xml:space="preserve"> </w:t>
      </w:r>
      <w:r>
        <w:rPr>
          <w:sz w:val="20"/>
        </w:rPr>
        <w:t>v Úředním</w:t>
      </w:r>
      <w:r>
        <w:rPr>
          <w:spacing w:val="-2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11.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2012.</w:t>
      </w:r>
    </w:p>
    <w:p w:rsidR="009714F1" w:rsidRDefault="009714F1">
      <w:pPr>
        <w:pStyle w:val="Zkladntext"/>
        <w:ind w:left="0"/>
        <w:jc w:val="left"/>
        <w:rPr>
          <w:sz w:val="26"/>
        </w:rPr>
      </w:pPr>
    </w:p>
    <w:p w:rsidR="009714F1" w:rsidRDefault="009714F1">
      <w:pPr>
        <w:pStyle w:val="Zkladntext"/>
        <w:spacing w:before="1"/>
        <w:ind w:left="0"/>
        <w:jc w:val="left"/>
        <w:rPr>
          <w:sz w:val="30"/>
        </w:rPr>
      </w:pPr>
    </w:p>
    <w:p w:rsidR="009714F1" w:rsidRDefault="00722A7D">
      <w:pPr>
        <w:pStyle w:val="Nadpis1"/>
      </w:pPr>
      <w:r>
        <w:t>II.</w:t>
      </w:r>
    </w:p>
    <w:p w:rsidR="009714F1" w:rsidRDefault="00722A7D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714F1" w:rsidRDefault="009714F1">
      <w:pPr>
        <w:pStyle w:val="Zkladntext"/>
        <w:spacing w:before="1"/>
        <w:ind w:left="0"/>
        <w:jc w:val="left"/>
        <w:rPr>
          <w:b/>
          <w:sz w:val="18"/>
        </w:rPr>
      </w:pP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65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524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380,00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milionů pět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tisíce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7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2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65 524 380,00 Kč (z toho 65 517 680,00 Kč odpovídá investičním výdajům a 6 700,00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8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</w:t>
      </w:r>
      <w:r>
        <w:rPr>
          <w:sz w:val="20"/>
        </w:rPr>
        <w:t>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714F1" w:rsidRDefault="00722A7D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714F1" w:rsidRDefault="009714F1">
      <w:pPr>
        <w:pStyle w:val="Zkladntext"/>
        <w:spacing w:before="2"/>
        <w:ind w:left="0"/>
        <w:jc w:val="left"/>
        <w:rPr>
          <w:sz w:val="36"/>
        </w:rPr>
      </w:pPr>
    </w:p>
    <w:p w:rsidR="009714F1" w:rsidRDefault="00722A7D">
      <w:pPr>
        <w:pStyle w:val="Nadpis1"/>
        <w:ind w:left="3415"/>
      </w:pPr>
      <w:r>
        <w:t>III.</w:t>
      </w:r>
    </w:p>
    <w:p w:rsidR="009714F1" w:rsidRDefault="00722A7D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714F1" w:rsidRDefault="009714F1">
      <w:pPr>
        <w:pStyle w:val="Zkladntext"/>
        <w:ind w:left="0"/>
        <w:jc w:val="left"/>
        <w:rPr>
          <w:b/>
          <w:sz w:val="18"/>
        </w:rPr>
      </w:pP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9714F1" w:rsidRDefault="009714F1">
      <w:pPr>
        <w:jc w:val="both"/>
        <w:rPr>
          <w:sz w:val="20"/>
        </w:rPr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714F1" w:rsidRDefault="009714F1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4897"/>
      </w:tblGrid>
      <w:tr w:rsidR="009714F1">
        <w:trPr>
          <w:trHeight w:val="506"/>
        </w:trPr>
        <w:tc>
          <w:tcPr>
            <w:tcW w:w="3939" w:type="dxa"/>
          </w:tcPr>
          <w:p w:rsidR="009714F1" w:rsidRDefault="00722A7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97" w:type="dxa"/>
          </w:tcPr>
          <w:p w:rsidR="009714F1" w:rsidRDefault="00722A7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714F1">
        <w:trPr>
          <w:trHeight w:val="505"/>
        </w:trPr>
        <w:tc>
          <w:tcPr>
            <w:tcW w:w="3939" w:type="dxa"/>
          </w:tcPr>
          <w:p w:rsidR="009714F1" w:rsidRDefault="00722A7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97" w:type="dxa"/>
          </w:tcPr>
          <w:p w:rsidR="009714F1" w:rsidRDefault="00722A7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189 965,01</w:t>
            </w:r>
          </w:p>
        </w:tc>
      </w:tr>
      <w:tr w:rsidR="009714F1">
        <w:trPr>
          <w:trHeight w:val="508"/>
        </w:trPr>
        <w:tc>
          <w:tcPr>
            <w:tcW w:w="3939" w:type="dxa"/>
          </w:tcPr>
          <w:p w:rsidR="009714F1" w:rsidRDefault="00722A7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97" w:type="dxa"/>
          </w:tcPr>
          <w:p w:rsidR="009714F1" w:rsidRDefault="00722A7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334 414,99</w:t>
            </w:r>
          </w:p>
        </w:tc>
      </w:tr>
    </w:tbl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</w:t>
      </w:r>
      <w:r>
        <w:rPr>
          <w:sz w:val="20"/>
        </w:rPr>
        <w:t>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</w:t>
      </w:r>
      <w:r>
        <w:rPr>
          <w:sz w:val="20"/>
        </w:rPr>
        <w:t>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9714F1" w:rsidRDefault="00722A7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</w:t>
      </w:r>
      <w:r>
        <w:rPr>
          <w:sz w:val="20"/>
        </w:rPr>
        <w:t>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4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vztahu</w:t>
      </w:r>
      <w:r>
        <w:rPr>
          <w:spacing w:val="9"/>
          <w:sz w:val="20"/>
        </w:rPr>
        <w:t xml:space="preserve"> </w:t>
      </w:r>
      <w:r>
        <w:rPr>
          <w:sz w:val="20"/>
        </w:rPr>
        <w:t>mezi</w:t>
      </w:r>
      <w:r>
        <w:rPr>
          <w:spacing w:val="6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faktury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5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6"/>
          <w:sz w:val="20"/>
        </w:rPr>
        <w:t xml:space="preserve"> </w:t>
      </w:r>
      <w:r>
        <w:rPr>
          <w:sz w:val="20"/>
        </w:rPr>
        <w:t>podepsanou</w:t>
      </w:r>
      <w:r>
        <w:rPr>
          <w:spacing w:val="7"/>
          <w:sz w:val="20"/>
        </w:rPr>
        <w:t xml:space="preserve"> </w:t>
      </w:r>
      <w:r>
        <w:rPr>
          <w:sz w:val="20"/>
        </w:rPr>
        <w:t>příjemcem</w:t>
      </w:r>
    </w:p>
    <w:p w:rsidR="009714F1" w:rsidRDefault="009714F1">
      <w:pPr>
        <w:jc w:val="both"/>
        <w:rPr>
          <w:sz w:val="20"/>
        </w:rPr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p w:rsidR="009714F1" w:rsidRDefault="00722A7D">
      <w:pPr>
        <w:pStyle w:val="Zkladntext"/>
        <w:spacing w:before="73"/>
        <w:ind w:right="130"/>
      </w:pPr>
      <w:r>
        <w:lastRenderedPageBreak/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faktura/y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 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9714F1" w:rsidRDefault="009714F1">
      <w:pPr>
        <w:pStyle w:val="Zkladntext"/>
        <w:spacing w:before="10"/>
        <w:ind w:left="0"/>
        <w:jc w:val="left"/>
        <w:rPr>
          <w:sz w:val="28"/>
        </w:rPr>
      </w:pPr>
    </w:p>
    <w:p w:rsidR="009714F1" w:rsidRDefault="009714F1">
      <w:pPr>
        <w:rPr>
          <w:sz w:val="28"/>
        </w:rPr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p w:rsidR="009714F1" w:rsidRDefault="009714F1">
      <w:pPr>
        <w:pStyle w:val="Zkladntext"/>
        <w:ind w:left="0"/>
        <w:jc w:val="left"/>
        <w:rPr>
          <w:sz w:val="26"/>
        </w:rPr>
      </w:pPr>
    </w:p>
    <w:p w:rsidR="009714F1" w:rsidRDefault="009714F1">
      <w:pPr>
        <w:pStyle w:val="Zkladntext"/>
        <w:ind w:left="0"/>
        <w:jc w:val="left"/>
        <w:rPr>
          <w:sz w:val="26"/>
        </w:rPr>
      </w:pPr>
    </w:p>
    <w:p w:rsidR="009714F1" w:rsidRDefault="00722A7D">
      <w:pPr>
        <w:pStyle w:val="Odstavecseseznamem"/>
        <w:numPr>
          <w:ilvl w:val="0"/>
          <w:numId w:val="7"/>
        </w:numPr>
        <w:tabs>
          <w:tab w:val="left" w:pos="666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714F1" w:rsidRDefault="00722A7D">
      <w:pPr>
        <w:spacing w:before="9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714F1" w:rsidRDefault="00722A7D">
      <w:pPr>
        <w:pStyle w:val="Nadpis2"/>
        <w:spacing w:before="1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</w:t>
      </w:r>
      <w:r>
        <w:t>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714F1" w:rsidRDefault="009714F1">
      <w:pPr>
        <w:sectPr w:rsidR="009714F1">
          <w:type w:val="continuous"/>
          <w:pgSz w:w="12240" w:h="15840"/>
          <w:pgMar w:top="1060" w:right="1000" w:bottom="1620" w:left="1320" w:header="0" w:footer="1425" w:gutter="0"/>
          <w:cols w:num="2" w:space="708" w:equalWidth="0">
            <w:col w:w="2266" w:space="40"/>
            <w:col w:w="7614"/>
          </w:cols>
        </w:sectPr>
      </w:pP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1"/>
          <w:sz w:val="20"/>
        </w:rPr>
        <w:t xml:space="preserve"> </w:t>
      </w:r>
      <w:r>
        <w:rPr>
          <w:sz w:val="20"/>
        </w:rPr>
        <w:t>že: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8" w:hanging="286"/>
        <w:rPr>
          <w:sz w:val="20"/>
        </w:rPr>
      </w:pPr>
      <w:r>
        <w:rPr>
          <w:sz w:val="20"/>
        </w:rPr>
        <w:t>dojde k zateplení svislých obvodových konstrukcí, zateplení střech, výměně výplní otvorů, instalaci</w:t>
      </w:r>
      <w:r>
        <w:rPr>
          <w:spacing w:val="1"/>
          <w:sz w:val="20"/>
        </w:rPr>
        <w:t xml:space="preserve"> </w:t>
      </w:r>
      <w:r>
        <w:rPr>
          <w:sz w:val="20"/>
        </w:rPr>
        <w:t>vnějších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pohyblivých</w:t>
      </w:r>
      <w:r>
        <w:rPr>
          <w:spacing w:val="1"/>
          <w:sz w:val="20"/>
        </w:rPr>
        <w:t xml:space="preserve"> </w:t>
      </w:r>
      <w:r>
        <w:rPr>
          <w:sz w:val="20"/>
        </w:rPr>
        <w:t>stínících</w:t>
      </w:r>
      <w:r>
        <w:rPr>
          <w:spacing w:val="-1"/>
          <w:sz w:val="20"/>
        </w:rPr>
        <w:t xml:space="preserve"> </w:t>
      </w:r>
      <w:r>
        <w:rPr>
          <w:sz w:val="20"/>
        </w:rPr>
        <w:t>prvků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celkové</w:t>
      </w:r>
      <w:r>
        <w:rPr>
          <w:spacing w:val="-1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-1"/>
          <w:sz w:val="20"/>
        </w:rPr>
        <w:t xml:space="preserve"> </w:t>
      </w:r>
      <w:r>
        <w:rPr>
          <w:sz w:val="20"/>
        </w:rPr>
        <w:t>osvětlovací</w:t>
      </w:r>
      <w:r>
        <w:rPr>
          <w:spacing w:val="-2"/>
          <w:sz w:val="20"/>
        </w:rPr>
        <w:t xml:space="preserve"> </w:t>
      </w:r>
      <w:r>
        <w:rPr>
          <w:sz w:val="20"/>
        </w:rPr>
        <w:t>soustavy.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6"/>
        <w:rPr>
          <w:sz w:val="20"/>
        </w:rPr>
      </w:pPr>
      <w:r>
        <w:rPr>
          <w:sz w:val="20"/>
        </w:rPr>
        <w:t>k termínu pro předlože</w:t>
      </w:r>
      <w:r>
        <w:rPr>
          <w:sz w:val="20"/>
        </w:rPr>
        <w:t>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1"/>
          <w:sz w:val="20"/>
        </w:rPr>
        <w:t xml:space="preserve"> </w:t>
      </w:r>
      <w:r>
        <w:rPr>
          <w:sz w:val="20"/>
        </w:rPr>
        <w:t>indikátory:</w:t>
      </w:r>
    </w:p>
    <w:p w:rsidR="009714F1" w:rsidRDefault="009714F1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1670"/>
        <w:gridCol w:w="1867"/>
        <w:gridCol w:w="1792"/>
      </w:tblGrid>
      <w:tr w:rsidR="009714F1">
        <w:trPr>
          <w:trHeight w:val="505"/>
        </w:trPr>
        <w:tc>
          <w:tcPr>
            <w:tcW w:w="3497" w:type="dxa"/>
          </w:tcPr>
          <w:p w:rsidR="009714F1" w:rsidRDefault="00722A7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0" w:type="dxa"/>
          </w:tcPr>
          <w:p w:rsidR="009714F1" w:rsidRDefault="00722A7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67" w:type="dxa"/>
          </w:tcPr>
          <w:p w:rsidR="009714F1" w:rsidRDefault="00722A7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92" w:type="dxa"/>
          </w:tcPr>
          <w:p w:rsidR="009714F1" w:rsidRDefault="00722A7D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714F1">
        <w:trPr>
          <w:trHeight w:val="506"/>
        </w:trPr>
        <w:tc>
          <w:tcPr>
            <w:tcW w:w="3497" w:type="dxa"/>
          </w:tcPr>
          <w:p w:rsidR="009714F1" w:rsidRDefault="00722A7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0" w:type="dxa"/>
          </w:tcPr>
          <w:p w:rsidR="009714F1" w:rsidRDefault="00722A7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67" w:type="dxa"/>
          </w:tcPr>
          <w:p w:rsidR="009714F1" w:rsidRDefault="00722A7D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299.54</w:t>
            </w:r>
          </w:p>
        </w:tc>
        <w:tc>
          <w:tcPr>
            <w:tcW w:w="1792" w:type="dxa"/>
          </w:tcPr>
          <w:p w:rsidR="009714F1" w:rsidRDefault="00722A7D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211.34</w:t>
            </w:r>
          </w:p>
        </w:tc>
      </w:tr>
      <w:tr w:rsidR="009714F1">
        <w:trPr>
          <w:trHeight w:val="506"/>
        </w:trPr>
        <w:tc>
          <w:tcPr>
            <w:tcW w:w="3497" w:type="dxa"/>
          </w:tcPr>
          <w:p w:rsidR="009714F1" w:rsidRDefault="00722A7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70" w:type="dxa"/>
          </w:tcPr>
          <w:p w:rsidR="009714F1" w:rsidRDefault="00722A7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9714F1" w:rsidRDefault="00722A7D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3482.67</w:t>
            </w:r>
          </w:p>
        </w:tc>
        <w:tc>
          <w:tcPr>
            <w:tcW w:w="1792" w:type="dxa"/>
          </w:tcPr>
          <w:p w:rsidR="009714F1" w:rsidRDefault="00722A7D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2342.06</w:t>
            </w:r>
          </w:p>
        </w:tc>
      </w:tr>
      <w:tr w:rsidR="009714F1">
        <w:trPr>
          <w:trHeight w:val="532"/>
        </w:trPr>
        <w:tc>
          <w:tcPr>
            <w:tcW w:w="3497" w:type="dxa"/>
          </w:tcPr>
          <w:p w:rsidR="009714F1" w:rsidRDefault="00722A7D">
            <w:pPr>
              <w:pStyle w:val="TableParagraph"/>
              <w:spacing w:line="266" w:lineRule="exact"/>
              <w:ind w:left="388" w:right="811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0" w:type="dxa"/>
          </w:tcPr>
          <w:p w:rsidR="009714F1" w:rsidRDefault="00722A7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7" w:type="dxa"/>
          </w:tcPr>
          <w:p w:rsidR="009714F1" w:rsidRDefault="00722A7D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4192.92</w:t>
            </w:r>
          </w:p>
        </w:tc>
        <w:tc>
          <w:tcPr>
            <w:tcW w:w="1792" w:type="dxa"/>
          </w:tcPr>
          <w:p w:rsidR="009714F1" w:rsidRDefault="00722A7D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2886.12</w:t>
            </w:r>
          </w:p>
        </w:tc>
      </w:tr>
    </w:tbl>
    <w:p w:rsidR="009714F1" w:rsidRDefault="009714F1">
      <w:pPr>
        <w:pStyle w:val="Zkladntext"/>
        <w:spacing w:before="2"/>
        <w:ind w:left="0"/>
        <w:jc w:val="left"/>
        <w:rPr>
          <w:sz w:val="29"/>
        </w:rPr>
      </w:pP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1"/>
          <w:sz w:val="20"/>
        </w:rPr>
        <w:t xml:space="preserve"> </w:t>
      </w:r>
      <w:r>
        <w:rPr>
          <w:sz w:val="20"/>
        </w:rPr>
        <w:t>(zákon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9714F1" w:rsidRDefault="009714F1">
      <w:pPr>
        <w:jc w:val="both"/>
        <w:rPr>
          <w:sz w:val="20"/>
        </w:rPr>
        <w:sectPr w:rsidR="009714F1">
          <w:type w:val="continuous"/>
          <w:pgSz w:w="12240" w:h="15840"/>
          <w:pgMar w:top="1060" w:right="1000" w:bottom="1620" w:left="1320" w:header="0" w:footer="1425" w:gutter="0"/>
          <w:cols w:space="708"/>
        </w:sectPr>
      </w:pP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lhůtu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714F1" w:rsidRDefault="00722A7D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4" w:hanging="286"/>
        <w:rPr>
          <w:sz w:val="20"/>
        </w:rPr>
      </w:pPr>
      <w:r>
        <w:rPr>
          <w:sz w:val="20"/>
        </w:rPr>
        <w:t>termín dokončení akce do konce 09/2024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>uvedení</w:t>
      </w:r>
      <w:r>
        <w:rPr>
          <w:spacing w:val="-12"/>
          <w:sz w:val="20"/>
        </w:rPr>
        <w:t xml:space="preserve"> </w:t>
      </w:r>
      <w:r>
        <w:rPr>
          <w:sz w:val="20"/>
        </w:rPr>
        <w:t>stavby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trvalému</w:t>
      </w:r>
      <w:r>
        <w:rPr>
          <w:spacing w:val="-12"/>
          <w:sz w:val="20"/>
        </w:rPr>
        <w:t xml:space="preserve"> </w:t>
      </w:r>
      <w:r>
        <w:rPr>
          <w:sz w:val="20"/>
        </w:rPr>
        <w:t>provozu,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zákonem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183/2006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uzemním</w:t>
      </w:r>
      <w:r>
        <w:rPr>
          <w:spacing w:val="16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stavebním</w:t>
      </w:r>
      <w:r>
        <w:rPr>
          <w:spacing w:val="15"/>
          <w:sz w:val="20"/>
        </w:rPr>
        <w:t xml:space="preserve"> </w:t>
      </w:r>
      <w:r>
        <w:rPr>
          <w:sz w:val="20"/>
        </w:rPr>
        <w:t>řádu</w:t>
      </w:r>
      <w:r>
        <w:rPr>
          <w:spacing w:val="18"/>
          <w:sz w:val="20"/>
        </w:rPr>
        <w:t xml:space="preserve"> </w:t>
      </w:r>
      <w:r>
        <w:rPr>
          <w:sz w:val="20"/>
        </w:rPr>
        <w:t>(stavební</w:t>
      </w:r>
      <w:r>
        <w:rPr>
          <w:spacing w:val="17"/>
          <w:sz w:val="20"/>
        </w:rPr>
        <w:t xml:space="preserve"> </w:t>
      </w:r>
      <w:r>
        <w:rPr>
          <w:sz w:val="20"/>
        </w:rPr>
        <w:t>zákon),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0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užívat)),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12/2024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714F1" w:rsidRDefault="00722A7D">
      <w:pPr>
        <w:pStyle w:val="Zkladntext"/>
        <w:spacing w:before="121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9714F1" w:rsidRDefault="00722A7D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42"/>
          <w:sz w:val="20"/>
        </w:rPr>
        <w:t xml:space="preserve"> </w:t>
      </w:r>
      <w:r>
        <w:rPr>
          <w:sz w:val="20"/>
        </w:rPr>
        <w:t>vycházejí</w:t>
      </w:r>
      <w:r>
        <w:rPr>
          <w:sz w:val="20"/>
        </w:rPr>
        <w:t>cí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7"/>
          <w:sz w:val="20"/>
        </w:rPr>
        <w:t xml:space="preserve"> </w:t>
      </w:r>
      <w:r>
        <w:rPr>
          <w:sz w:val="20"/>
        </w:rPr>
        <w:t>jím</w:t>
      </w:r>
      <w:r>
        <w:rPr>
          <w:spacing w:val="44"/>
          <w:sz w:val="20"/>
        </w:rPr>
        <w:t xml:space="preserve"> </w:t>
      </w:r>
      <w:r>
        <w:rPr>
          <w:sz w:val="20"/>
        </w:rPr>
        <w:t>podané</w:t>
      </w:r>
      <w:r>
        <w:rPr>
          <w:spacing w:val="43"/>
          <w:sz w:val="20"/>
        </w:rPr>
        <w:t xml:space="preserve"> </w:t>
      </w:r>
      <w:r>
        <w:rPr>
          <w:sz w:val="20"/>
        </w:rPr>
        <w:t>informace)</w:t>
      </w:r>
      <w:r>
        <w:rPr>
          <w:spacing w:val="43"/>
          <w:sz w:val="20"/>
        </w:rPr>
        <w:t xml:space="preserve"> </w:t>
      </w:r>
      <w:r>
        <w:rPr>
          <w:sz w:val="20"/>
        </w:rPr>
        <w:t>uvedené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4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není</w:t>
      </w:r>
      <w:r>
        <w:rPr>
          <w:spacing w:val="42"/>
          <w:sz w:val="20"/>
        </w:rPr>
        <w:t xml:space="preserve"> </w:t>
      </w:r>
      <w:r>
        <w:rPr>
          <w:sz w:val="20"/>
        </w:rPr>
        <w:t>pravdivé,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</w:p>
    <w:p w:rsidR="009714F1" w:rsidRDefault="009714F1">
      <w:pPr>
        <w:jc w:val="both"/>
        <w:rPr>
          <w:sz w:val="20"/>
        </w:rPr>
        <w:sectPr w:rsidR="009714F1">
          <w:pgSz w:w="12240" w:h="15840"/>
          <w:pgMar w:top="1060" w:right="1000" w:bottom="1620" w:left="1320" w:header="0" w:footer="1425" w:gutter="0"/>
          <w:cols w:space="708"/>
        </w:sectPr>
      </w:pPr>
    </w:p>
    <w:p w:rsidR="009714F1" w:rsidRDefault="00722A7D">
      <w:pPr>
        <w:pStyle w:val="Zkladntext"/>
        <w:spacing w:before="73"/>
        <w:ind w:left="0" w:right="2942"/>
        <w:jc w:val="right"/>
      </w:pPr>
      <w:r>
        <w:lastRenderedPageBreak/>
        <w:t>považováno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9714F1" w:rsidRDefault="009714F1">
      <w:pPr>
        <w:pStyle w:val="Zkladntext"/>
        <w:spacing w:before="1"/>
        <w:ind w:left="0"/>
        <w:jc w:val="left"/>
        <w:rPr>
          <w:sz w:val="38"/>
        </w:rPr>
      </w:pPr>
    </w:p>
    <w:p w:rsidR="009714F1" w:rsidRDefault="00722A7D">
      <w:pPr>
        <w:pStyle w:val="Odstavecseseznamem"/>
        <w:numPr>
          <w:ilvl w:val="1"/>
          <w:numId w:val="7"/>
        </w:numPr>
        <w:tabs>
          <w:tab w:val="left" w:pos="949"/>
        </w:tabs>
        <w:spacing w:before="0"/>
        <w:ind w:right="131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714F1" w:rsidRDefault="009714F1">
      <w:pPr>
        <w:pStyle w:val="Zkladntext"/>
        <w:spacing w:before="2"/>
        <w:ind w:left="0"/>
        <w:jc w:val="left"/>
        <w:rPr>
          <w:sz w:val="36"/>
        </w:rPr>
      </w:pPr>
    </w:p>
    <w:p w:rsidR="009714F1" w:rsidRDefault="00722A7D">
      <w:pPr>
        <w:pStyle w:val="Nadpis1"/>
        <w:ind w:left="3414"/>
      </w:pPr>
      <w:r>
        <w:t>V.</w:t>
      </w:r>
    </w:p>
    <w:p w:rsidR="009714F1" w:rsidRDefault="00722A7D">
      <w:pPr>
        <w:pStyle w:val="Nadpis2"/>
        <w:spacing w:before="1"/>
        <w:ind w:left="0" w:right="2996"/>
        <w:jc w:val="right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714F1" w:rsidRDefault="009714F1">
      <w:pPr>
        <w:pStyle w:val="Zkladntext"/>
        <w:spacing w:before="11"/>
        <w:ind w:left="0"/>
        <w:jc w:val="left"/>
        <w:rPr>
          <w:b/>
          <w:sz w:val="17"/>
        </w:rPr>
      </w:pPr>
    </w:p>
    <w:p w:rsidR="009714F1" w:rsidRDefault="00722A7D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ind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714F1" w:rsidRDefault="00722A7D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714F1" w:rsidRDefault="00722A7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9714F1" w:rsidRDefault="00722A7D">
      <w:pPr>
        <w:pStyle w:val="Zkladntext"/>
        <w:spacing w:before="2"/>
        <w:ind w:right="131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 xml:space="preserve">v </w:t>
      </w:r>
      <w:r>
        <w:t>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9714F1" w:rsidRDefault="00722A7D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68"/>
          <w:sz w:val="20"/>
        </w:rPr>
        <w:t xml:space="preserve"> </w:t>
      </w:r>
      <w:r>
        <w:rPr>
          <w:sz w:val="20"/>
        </w:rPr>
        <w:t>10</w:t>
      </w:r>
      <w:r>
        <w:rPr>
          <w:spacing w:val="6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8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4F1" w:rsidRDefault="00722A7D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9714F1" w:rsidRDefault="00722A7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714F1" w:rsidRDefault="009714F1">
      <w:pPr>
        <w:pStyle w:val="Zkladntext"/>
        <w:spacing w:before="1"/>
        <w:ind w:left="0"/>
        <w:jc w:val="left"/>
        <w:rPr>
          <w:sz w:val="36"/>
        </w:rPr>
      </w:pPr>
    </w:p>
    <w:p w:rsidR="009714F1" w:rsidRDefault="00722A7D">
      <w:pPr>
        <w:pStyle w:val="Nadpis1"/>
        <w:spacing w:before="1"/>
        <w:ind w:left="3417"/>
      </w:pPr>
      <w:r>
        <w:t>VI.</w:t>
      </w:r>
    </w:p>
    <w:p w:rsidR="009714F1" w:rsidRDefault="00722A7D">
      <w:pPr>
        <w:pStyle w:val="Nadpis2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9714F1" w:rsidRDefault="009714F1">
      <w:pPr>
        <w:pStyle w:val="Zkladntext"/>
        <w:spacing w:before="3"/>
        <w:ind w:left="0"/>
        <w:jc w:val="left"/>
        <w:rPr>
          <w:b/>
        </w:rPr>
      </w:pPr>
    </w:p>
    <w:p w:rsidR="009714F1" w:rsidRDefault="00722A7D">
      <w:pPr>
        <w:pStyle w:val="Odstavecseseznamem"/>
        <w:numPr>
          <w:ilvl w:val="0"/>
          <w:numId w:val="5"/>
        </w:numPr>
        <w:tabs>
          <w:tab w:val="left" w:pos="666"/>
        </w:tabs>
        <w:spacing w:before="0" w:line="237" w:lineRule="auto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714F1" w:rsidRDefault="00722A7D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</w:t>
      </w:r>
      <w:r>
        <w:rPr>
          <w:sz w:val="20"/>
        </w:rPr>
        <w:t>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9714F1" w:rsidRDefault="009714F1">
      <w:pPr>
        <w:jc w:val="both"/>
        <w:rPr>
          <w:sz w:val="20"/>
        </w:rPr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p w:rsidR="009714F1" w:rsidRDefault="00722A7D">
      <w:pPr>
        <w:pStyle w:val="Nadpis1"/>
        <w:spacing w:before="73"/>
        <w:ind w:left="3419"/>
      </w:pPr>
      <w:r>
        <w:lastRenderedPageBreak/>
        <w:t>VII.</w:t>
      </w:r>
    </w:p>
    <w:p w:rsidR="009714F1" w:rsidRDefault="00722A7D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714F1" w:rsidRDefault="009714F1">
      <w:pPr>
        <w:pStyle w:val="Zkladntext"/>
        <w:spacing w:before="1"/>
        <w:ind w:left="0"/>
        <w:jc w:val="left"/>
        <w:rPr>
          <w:b/>
          <w:sz w:val="18"/>
        </w:rPr>
      </w:pP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>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714F1" w:rsidRDefault="00722A7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9714F1" w:rsidRDefault="009714F1">
      <w:pPr>
        <w:pStyle w:val="Zkladntext"/>
        <w:ind w:left="0"/>
        <w:jc w:val="left"/>
        <w:rPr>
          <w:sz w:val="36"/>
        </w:rPr>
      </w:pPr>
    </w:p>
    <w:p w:rsidR="009714F1" w:rsidRDefault="00722A7D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714F1" w:rsidRDefault="009714F1">
      <w:pPr>
        <w:pStyle w:val="Zkladntext"/>
        <w:ind w:left="0"/>
        <w:jc w:val="left"/>
        <w:rPr>
          <w:sz w:val="18"/>
        </w:rPr>
      </w:pPr>
    </w:p>
    <w:p w:rsidR="009714F1" w:rsidRDefault="00722A7D">
      <w:pPr>
        <w:pStyle w:val="Zkladntext"/>
        <w:spacing w:before="1"/>
        <w:ind w:left="382"/>
        <w:jc w:val="left"/>
      </w:pPr>
      <w:r>
        <w:t>dne:</w:t>
      </w:r>
    </w:p>
    <w:p w:rsidR="009714F1" w:rsidRDefault="009714F1">
      <w:pPr>
        <w:pStyle w:val="Zkladntext"/>
        <w:ind w:left="0"/>
        <w:jc w:val="left"/>
        <w:rPr>
          <w:sz w:val="26"/>
        </w:rPr>
      </w:pPr>
    </w:p>
    <w:p w:rsidR="009714F1" w:rsidRDefault="009714F1">
      <w:pPr>
        <w:pStyle w:val="Zkladntext"/>
        <w:spacing w:before="2"/>
        <w:ind w:left="0"/>
        <w:jc w:val="left"/>
        <w:rPr>
          <w:sz w:val="28"/>
        </w:rPr>
      </w:pPr>
    </w:p>
    <w:p w:rsidR="009714F1" w:rsidRDefault="00722A7D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714F1" w:rsidRDefault="00722A7D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714F1" w:rsidRDefault="009714F1">
      <w:pPr>
        <w:pStyle w:val="Zkladntext"/>
        <w:ind w:left="0"/>
        <w:jc w:val="left"/>
        <w:rPr>
          <w:sz w:val="26"/>
        </w:rPr>
      </w:pPr>
    </w:p>
    <w:p w:rsidR="009714F1" w:rsidRDefault="009714F1">
      <w:pPr>
        <w:pStyle w:val="Zkladntext"/>
        <w:ind w:left="0"/>
        <w:jc w:val="left"/>
        <w:rPr>
          <w:sz w:val="32"/>
        </w:rPr>
      </w:pPr>
    </w:p>
    <w:p w:rsidR="009714F1" w:rsidRDefault="00722A7D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714F1" w:rsidRDefault="009714F1">
      <w:pPr>
        <w:spacing w:line="264" w:lineRule="auto"/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p w:rsidR="009714F1" w:rsidRDefault="00722A7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714F1" w:rsidRDefault="009714F1">
      <w:pPr>
        <w:pStyle w:val="Zkladntext"/>
        <w:ind w:left="0"/>
        <w:jc w:val="left"/>
        <w:rPr>
          <w:sz w:val="26"/>
        </w:rPr>
      </w:pPr>
    </w:p>
    <w:p w:rsidR="009714F1" w:rsidRDefault="009714F1">
      <w:pPr>
        <w:pStyle w:val="Zkladntext"/>
        <w:spacing w:before="2"/>
        <w:ind w:left="0"/>
        <w:jc w:val="left"/>
        <w:rPr>
          <w:sz w:val="32"/>
        </w:rPr>
      </w:pPr>
    </w:p>
    <w:p w:rsidR="009714F1" w:rsidRDefault="00722A7D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9714F1" w:rsidRDefault="009714F1">
      <w:pPr>
        <w:pStyle w:val="Zkladntext"/>
        <w:spacing w:before="1"/>
        <w:ind w:left="0"/>
        <w:jc w:val="left"/>
        <w:rPr>
          <w:b/>
          <w:sz w:val="27"/>
        </w:rPr>
      </w:pPr>
    </w:p>
    <w:p w:rsidR="009714F1" w:rsidRDefault="00722A7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714F1" w:rsidRDefault="009714F1">
      <w:pPr>
        <w:pStyle w:val="Zkladntext"/>
        <w:spacing w:before="1"/>
        <w:ind w:left="0"/>
        <w:jc w:val="left"/>
        <w:rPr>
          <w:b/>
          <w:sz w:val="29"/>
        </w:rPr>
      </w:pP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714F1" w:rsidRDefault="00722A7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9714F1" w:rsidRDefault="009714F1">
      <w:pPr>
        <w:spacing w:line="312" w:lineRule="auto"/>
        <w:jc w:val="both"/>
        <w:rPr>
          <w:sz w:val="20"/>
        </w:rPr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p w:rsidR="009714F1" w:rsidRDefault="00722A7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714F1" w:rsidRDefault="009714F1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714F1" w:rsidRDefault="00722A7D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714F1" w:rsidRDefault="00722A7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714F1" w:rsidRDefault="00722A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4F1" w:rsidRDefault="00722A7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714F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714F1" w:rsidRDefault="00722A7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714F1" w:rsidRDefault="00722A7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714F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714F1" w:rsidRDefault="00722A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714F1" w:rsidRDefault="00722A7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714F1" w:rsidRDefault="00722A7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714F1" w:rsidRDefault="00722A7D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714F1" w:rsidRDefault="00722A7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714F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714F1" w:rsidRDefault="00722A7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714F1" w:rsidRDefault="00722A7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714F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714F1" w:rsidRDefault="00722A7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714F1" w:rsidRDefault="00722A7D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714F1" w:rsidRDefault="00722A7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714F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714F1" w:rsidRDefault="00722A7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714F1" w:rsidRDefault="00722A7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714F1" w:rsidRDefault="00722A7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714F1" w:rsidRDefault="009714F1">
      <w:pPr>
        <w:rPr>
          <w:sz w:val="20"/>
        </w:rPr>
        <w:sectPr w:rsidR="009714F1">
          <w:pgSz w:w="12240" w:h="15840"/>
          <w:pgMar w:top="106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714F1" w:rsidRDefault="00722A7D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714F1" w:rsidRDefault="00722A7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714F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714F1" w:rsidRDefault="00722A7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714F1" w:rsidRDefault="00722A7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714F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714F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714F1" w:rsidRDefault="00722A7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714F1" w:rsidRDefault="00722A7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714F1" w:rsidRDefault="00722A7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714F1" w:rsidRDefault="00722A7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714F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714F1" w:rsidRDefault="00722A7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714F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714F1" w:rsidRDefault="00722A7D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714F1" w:rsidRDefault="00722A7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714F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714F1" w:rsidRDefault="00722A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714F1" w:rsidRDefault="009714F1">
      <w:pPr>
        <w:rPr>
          <w:sz w:val="20"/>
        </w:rPr>
        <w:sectPr w:rsidR="009714F1">
          <w:pgSz w:w="12240" w:h="15840"/>
          <w:pgMar w:top="1140" w:right="1000" w:bottom="1897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714F1" w:rsidRDefault="00722A7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714F1" w:rsidRDefault="00722A7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714F1" w:rsidRDefault="00722A7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714F1" w:rsidRDefault="00722A7D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714F1" w:rsidRDefault="00722A7D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714F1" w:rsidRDefault="00722A7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714F1" w:rsidRDefault="00722A7D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714F1" w:rsidRDefault="00722A7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714F1" w:rsidRDefault="00722A7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714F1" w:rsidRDefault="00722A7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714F1" w:rsidRDefault="00722A7D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714F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714F1" w:rsidRDefault="00722A7D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714F1" w:rsidRDefault="00722A7D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714F1" w:rsidRDefault="00722A7D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714F1" w:rsidRDefault="00722A7D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714F1" w:rsidRDefault="00722A7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714F1" w:rsidRDefault="00722A7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714F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714F1" w:rsidRDefault="00722A7D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4F1" w:rsidRDefault="00722A7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714F1" w:rsidRDefault="009714F1">
      <w:pPr>
        <w:pStyle w:val="Zkladntext"/>
        <w:ind w:left="0"/>
        <w:jc w:val="left"/>
        <w:rPr>
          <w:b/>
        </w:rPr>
      </w:pPr>
    </w:p>
    <w:p w:rsidR="009714F1" w:rsidRDefault="00CB1027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583F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714F1" w:rsidRDefault="009714F1">
      <w:pPr>
        <w:pStyle w:val="Zkladntext"/>
        <w:ind w:left="0"/>
        <w:jc w:val="left"/>
        <w:rPr>
          <w:b/>
        </w:rPr>
      </w:pPr>
    </w:p>
    <w:p w:rsidR="009714F1" w:rsidRDefault="009714F1">
      <w:pPr>
        <w:pStyle w:val="Zkladntext"/>
        <w:spacing w:before="3"/>
        <w:ind w:left="0"/>
        <w:jc w:val="left"/>
        <w:rPr>
          <w:b/>
          <w:sz w:val="14"/>
        </w:rPr>
      </w:pPr>
    </w:p>
    <w:p w:rsidR="009714F1" w:rsidRDefault="00722A7D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714F1" w:rsidRDefault="009714F1">
      <w:pPr>
        <w:rPr>
          <w:sz w:val="16"/>
        </w:rPr>
        <w:sectPr w:rsidR="009714F1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714F1" w:rsidRDefault="00722A7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714F1" w:rsidRDefault="00722A7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714F1" w:rsidRDefault="00722A7D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714F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714F1" w:rsidRDefault="00722A7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714F1" w:rsidRDefault="00722A7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714F1" w:rsidRDefault="00722A7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714F1" w:rsidRDefault="00722A7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714F1" w:rsidRDefault="00722A7D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714F1" w:rsidRDefault="00722A7D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714F1" w:rsidRDefault="00722A7D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714F1" w:rsidRDefault="00722A7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714F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714F1" w:rsidRDefault="00722A7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4F1" w:rsidRDefault="00722A7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714F1" w:rsidRDefault="00722A7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714F1" w:rsidRDefault="00722A7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714F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714F1" w:rsidRDefault="00722A7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714F1" w:rsidRDefault="00722A7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714F1" w:rsidRDefault="00722A7D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714F1" w:rsidRDefault="00722A7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714F1" w:rsidRDefault="00722A7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4F1" w:rsidRDefault="00722A7D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4F1" w:rsidRDefault="00722A7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4F1" w:rsidRDefault="00722A7D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714F1" w:rsidRDefault="00722A7D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714F1" w:rsidRDefault="00722A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4F1" w:rsidRDefault="00722A7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714F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714F1" w:rsidRDefault="009714F1">
      <w:pPr>
        <w:rPr>
          <w:sz w:val="20"/>
        </w:rPr>
        <w:sectPr w:rsidR="009714F1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714F1" w:rsidRDefault="00722A7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714F1" w:rsidRDefault="00722A7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714F1" w:rsidRDefault="00722A7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714F1" w:rsidRDefault="00722A7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4F1" w:rsidRDefault="00722A7D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4F1" w:rsidRDefault="00722A7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4F1" w:rsidRDefault="00722A7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714F1" w:rsidRDefault="00722A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714F1" w:rsidRDefault="00722A7D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714F1" w:rsidRDefault="00722A7D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714F1" w:rsidRDefault="00722A7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714F1" w:rsidRDefault="00722A7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714F1" w:rsidRDefault="00722A7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714F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714F1" w:rsidRDefault="00722A7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714F1" w:rsidRDefault="00722A7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714F1" w:rsidRDefault="00722A7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714F1" w:rsidRDefault="00722A7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714F1" w:rsidRDefault="00722A7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714F1" w:rsidRDefault="00722A7D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714F1" w:rsidRDefault="00722A7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714F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714F1" w:rsidRDefault="00722A7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714F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4F1" w:rsidRDefault="00722A7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714F1" w:rsidRDefault="009714F1">
      <w:pPr>
        <w:rPr>
          <w:sz w:val="20"/>
        </w:rPr>
        <w:sectPr w:rsidR="009714F1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714F1" w:rsidRDefault="00722A7D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14F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714F1" w:rsidRDefault="00722A7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714F1" w:rsidRDefault="00722A7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714F1" w:rsidRDefault="00722A7D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714F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714F1" w:rsidRDefault="00722A7D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714F1" w:rsidRDefault="00722A7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714F1" w:rsidRDefault="00722A7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714F1" w:rsidRDefault="00722A7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714F1" w:rsidRDefault="00722A7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4F1" w:rsidRDefault="00722A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714F1" w:rsidRDefault="00722A7D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714F1" w:rsidRDefault="00722A7D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</w:t>
            </w:r>
            <w:r>
              <w:rPr>
                <w:sz w:val="20"/>
              </w:rPr>
              <w:t>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714F1" w:rsidRDefault="00722A7D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714F1" w:rsidRDefault="00722A7D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714F1" w:rsidRDefault="00722A7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714F1" w:rsidRDefault="00722A7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714F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714F1" w:rsidRDefault="00722A7D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714F1" w:rsidRDefault="00722A7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9714F1" w:rsidRDefault="009714F1">
      <w:pPr>
        <w:rPr>
          <w:sz w:val="20"/>
        </w:rPr>
        <w:sectPr w:rsidR="009714F1">
          <w:type w:val="continuous"/>
          <w:pgSz w:w="12240" w:h="15840"/>
          <w:pgMar w:top="1140" w:right="1000" w:bottom="2238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714F1" w:rsidRDefault="00722A7D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714F1" w:rsidRDefault="00722A7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714F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714F1" w:rsidRDefault="00722A7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714F1" w:rsidRDefault="00722A7D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714F1" w:rsidRDefault="00722A7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714F1" w:rsidRDefault="00722A7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714F1" w:rsidRDefault="00722A7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714F1" w:rsidRDefault="00722A7D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714F1" w:rsidRDefault="00722A7D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714F1" w:rsidRDefault="00722A7D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714F1" w:rsidRDefault="00722A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714F1" w:rsidRDefault="00722A7D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714F1" w:rsidRDefault="00722A7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714F1" w:rsidRDefault="00722A7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714F1" w:rsidRDefault="009714F1">
      <w:pPr>
        <w:rPr>
          <w:sz w:val="20"/>
        </w:rPr>
        <w:sectPr w:rsidR="009714F1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714F1" w:rsidRDefault="00722A7D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714F1" w:rsidRDefault="00722A7D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714F1" w:rsidRDefault="00722A7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714F1" w:rsidRDefault="00722A7D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714F1" w:rsidRDefault="00722A7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714F1" w:rsidRDefault="00722A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4F1" w:rsidRDefault="00722A7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714F1" w:rsidRDefault="00722A7D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714F1" w:rsidRDefault="00722A7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714F1" w:rsidRDefault="00722A7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714F1" w:rsidRDefault="00722A7D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714F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714F1" w:rsidRDefault="00CB1027">
      <w:pPr>
        <w:pStyle w:val="Zkladntext"/>
        <w:spacing w:before="9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BF088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714F1" w:rsidRDefault="009714F1">
      <w:pPr>
        <w:pStyle w:val="Zkladntext"/>
        <w:ind w:left="0"/>
        <w:jc w:val="left"/>
      </w:pPr>
    </w:p>
    <w:p w:rsidR="009714F1" w:rsidRDefault="009714F1">
      <w:pPr>
        <w:pStyle w:val="Zkladntext"/>
        <w:spacing w:before="3"/>
        <w:ind w:left="0"/>
        <w:jc w:val="left"/>
        <w:rPr>
          <w:sz w:val="14"/>
        </w:rPr>
      </w:pPr>
    </w:p>
    <w:p w:rsidR="009714F1" w:rsidRDefault="00722A7D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714F1" w:rsidRDefault="009714F1">
      <w:pPr>
        <w:rPr>
          <w:sz w:val="16"/>
        </w:rPr>
        <w:sectPr w:rsidR="009714F1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714F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714F1" w:rsidRDefault="00722A7D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714F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714F1" w:rsidRDefault="00722A7D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714F1" w:rsidRDefault="00722A7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714F1" w:rsidRDefault="00722A7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714F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4F1" w:rsidRDefault="00722A7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4F1" w:rsidRDefault="009714F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714F1" w:rsidRDefault="00722A7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714F1" w:rsidRDefault="009714F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714F1" w:rsidRDefault="00722A7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714F1" w:rsidRDefault="00722A7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714F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4F1" w:rsidRDefault="009714F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714F1" w:rsidRDefault="00722A7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714F1" w:rsidRDefault="009714F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714F1" w:rsidRDefault="00722A7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714F1" w:rsidRDefault="00722A7D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714F1" w:rsidRDefault="00722A7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714F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714F1" w:rsidRDefault="00722A7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4F1" w:rsidRDefault="00722A7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4F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714F1" w:rsidRDefault="009714F1">
      <w:pPr>
        <w:spacing w:line="237" w:lineRule="auto"/>
        <w:rPr>
          <w:sz w:val="20"/>
        </w:rPr>
        <w:sectPr w:rsidR="009714F1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4F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722A7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4F1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4F1" w:rsidRDefault="00722A7D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4F1" w:rsidRDefault="009714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22A7D" w:rsidRDefault="00722A7D"/>
    <w:sectPr w:rsidR="00722A7D">
      <w:type w:val="continuous"/>
      <w:pgSz w:w="12240" w:h="15840"/>
      <w:pgMar w:top="1140" w:right="1000" w:bottom="1660" w:left="1320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7D" w:rsidRDefault="00722A7D">
      <w:r>
        <w:separator/>
      </w:r>
    </w:p>
  </w:endnote>
  <w:endnote w:type="continuationSeparator" w:id="0">
    <w:p w:rsidR="00722A7D" w:rsidRDefault="0072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F1" w:rsidRDefault="00CB102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4F1" w:rsidRDefault="00722A7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10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9714F1" w:rsidRDefault="00722A7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10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7D" w:rsidRDefault="00722A7D">
      <w:r>
        <w:separator/>
      </w:r>
    </w:p>
  </w:footnote>
  <w:footnote w:type="continuationSeparator" w:id="0">
    <w:p w:rsidR="00722A7D" w:rsidRDefault="0072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6A0"/>
    <w:multiLevelType w:val="hybridMultilevel"/>
    <w:tmpl w:val="E8802F48"/>
    <w:lvl w:ilvl="0" w:tplc="6D12CDE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E662CF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C3AFB8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750CD0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ED72C7E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6FABC5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E2BCDCB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D288569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AC3E636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9243AEC"/>
    <w:multiLevelType w:val="hybridMultilevel"/>
    <w:tmpl w:val="497ED1D0"/>
    <w:lvl w:ilvl="0" w:tplc="B4DA8F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9A74B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53C0D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D2B0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29840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E7A51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9CDB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F0EC7A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C7253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C7A01F1"/>
    <w:multiLevelType w:val="hybridMultilevel"/>
    <w:tmpl w:val="6C50AF92"/>
    <w:lvl w:ilvl="0" w:tplc="FE103E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665ED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67016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DAC062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4ECCF6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0EC5F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EE671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10AC4E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29A2FC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39065A3"/>
    <w:multiLevelType w:val="hybridMultilevel"/>
    <w:tmpl w:val="F31873D4"/>
    <w:lvl w:ilvl="0" w:tplc="F3861FB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D5A9EC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47423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A324B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34A18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BDC8FF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CC297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9F21E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D70A54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65B7674"/>
    <w:multiLevelType w:val="hybridMultilevel"/>
    <w:tmpl w:val="299A6B26"/>
    <w:lvl w:ilvl="0" w:tplc="29448A9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94A7E6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3022F36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2A423A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C14731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AD233E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A62374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388395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7985A7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8177AFF"/>
    <w:multiLevelType w:val="hybridMultilevel"/>
    <w:tmpl w:val="B35C7D0A"/>
    <w:lvl w:ilvl="0" w:tplc="4DE0F6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643B9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FC86636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7B698F0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98EE8126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EF90EA6C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F3081668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DFEC09A8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CE4483F2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3F555BD5"/>
    <w:multiLevelType w:val="hybridMultilevel"/>
    <w:tmpl w:val="A0DCAFD0"/>
    <w:lvl w:ilvl="0" w:tplc="662E6DE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922D3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442B1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FB8C83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8DAF62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9D2039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B1499F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C018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5AEE8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17C7A64"/>
    <w:multiLevelType w:val="hybridMultilevel"/>
    <w:tmpl w:val="3160B7F4"/>
    <w:lvl w:ilvl="0" w:tplc="AA74C4C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9E7DA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B2A33D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4FEA17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F147BF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F36BAE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8F258B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E06173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9724A6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7305219"/>
    <w:multiLevelType w:val="hybridMultilevel"/>
    <w:tmpl w:val="BD26D5EC"/>
    <w:lvl w:ilvl="0" w:tplc="8068749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2E56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368DD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126464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C224C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2AFEE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C02F0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7AC37C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C2FA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F5375A9"/>
    <w:multiLevelType w:val="hybridMultilevel"/>
    <w:tmpl w:val="4FE0CC22"/>
    <w:lvl w:ilvl="0" w:tplc="B1F20C2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6441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FE3F7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B64B2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27807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300E22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C4C0F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C30BCD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7E8E7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F1"/>
    <w:rsid w:val="00722A7D"/>
    <w:rsid w:val="009714F1"/>
    <w:rsid w:val="00C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0DE5D1-067B-467A-8534-34981FE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5040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2023-07-19T08:25:00Z</dcterms:created>
  <dcterms:modified xsi:type="dcterms:W3CDTF">2023-07-19T08:25:00Z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</Properties>
</file>