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FF48B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9C14A1">
        <w:rPr>
          <w:b/>
          <w:snapToGrid w:val="0"/>
          <w:sz w:val="28"/>
        </w:rPr>
        <w:t>1</w:t>
      </w:r>
      <w:r w:rsidR="00D22B8F">
        <w:rPr>
          <w:b/>
          <w:snapToGrid w:val="0"/>
          <w:sz w:val="28"/>
        </w:rPr>
        <w:t>2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5.</w:t>
      </w:r>
      <w:r w:rsidR="00FC1F1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E7C38">
        <w:rPr>
          <w:sz w:val="24"/>
        </w:rPr>
        <w:t>Statutární orgán: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č. ú.: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FC1F1E">
        <w:rPr>
          <w:sz w:val="24"/>
        </w:rPr>
        <w:t xml:space="preserve"> </w:t>
      </w:r>
      <w:r>
        <w:rPr>
          <w:sz w:val="24"/>
        </w:rPr>
        <w:t>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 Trezorky 921/2, 158 00 Praha 5-Jinonice</w:t>
      </w:r>
    </w:p>
    <w:p w:rsidR="00B96EB0" w:rsidRPr="00C847D2" w:rsidRDefault="00E92754" w:rsidP="00B96EB0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4F7C75">
        <w:rPr>
          <w:sz w:val="24"/>
        </w:rPr>
        <w:t xml:space="preserve"> </w:t>
      </w:r>
    </w:p>
    <w:p w:rsidR="002A459E" w:rsidRPr="00C847D2" w:rsidRDefault="002A459E" w:rsidP="00D34585">
      <w:pPr>
        <w:ind w:left="708" w:firstLine="708"/>
        <w:rPr>
          <w:sz w:val="24"/>
        </w:rPr>
      </w:pP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r>
        <w:rPr>
          <w:sz w:val="24"/>
        </w:rPr>
        <w:t>č.ú.:</w:t>
      </w:r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FE49DB" w:rsidRDefault="00FE49DB" w:rsidP="00C847D2">
      <w:pPr>
        <w:ind w:left="1416"/>
        <w:rPr>
          <w:sz w:val="24"/>
        </w:rPr>
      </w:pPr>
      <w:r>
        <w:rPr>
          <w:sz w:val="24"/>
        </w:rPr>
        <w:t>Plátce DPH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C554A" w:rsidRDefault="009C554A" w:rsidP="001D3B6A">
      <w:pPr>
        <w:pStyle w:val="Zkladntext"/>
        <w:jc w:val="center"/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69"/>
        <w:gridCol w:w="1115"/>
        <w:gridCol w:w="1178"/>
        <w:gridCol w:w="1051"/>
        <w:gridCol w:w="1115"/>
        <w:gridCol w:w="1043"/>
        <w:gridCol w:w="1186"/>
      </w:tblGrid>
      <w:tr w:rsidR="009C554A" w:rsidRPr="009C554A" w:rsidTr="00B67658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  <w:b/>
                <w:bCs/>
              </w:rPr>
            </w:pPr>
            <w:r w:rsidRPr="009C554A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  <w:sz w:val="16"/>
                <w:szCs w:val="16"/>
              </w:rPr>
            </w:pPr>
            <w:r w:rsidRPr="009C55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Kč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sazba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čtvrtletní úhrada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m</w:t>
            </w:r>
            <w:r w:rsidRPr="009C554A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cena 1 m</w:t>
            </w:r>
            <w:r w:rsidRPr="009C554A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roční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čtvrtletní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DPH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DPH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celkem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1 300,00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78 000,00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4 095,00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23 595,00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parkoviště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351,00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4 387,50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1 096,88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230,34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1 327,22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teplo,vodné</w:t>
            </w:r>
            <w:proofErr w:type="gramEnd"/>
            <w:r w:rsidRPr="009C554A">
              <w:rPr>
                <w:rFonts w:ascii="Arial CE" w:hAnsi="Arial CE" w:cs="Arial CE"/>
              </w:rPr>
              <w:t>,stoč.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282,00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16 920,00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4 230,00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423,00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4 653,00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služby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1 105,00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66 300,00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16 575,00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3 480,75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20 055,75</w:t>
            </w:r>
          </w:p>
        </w:tc>
      </w:tr>
      <w:tr w:rsidR="009C554A" w:rsidRPr="009C554A" w:rsidTr="00B6765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54A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54A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14 969,00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3 742,25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554A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785,87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4 528,12</w:t>
            </w:r>
          </w:p>
        </w:tc>
      </w:tr>
      <w:tr w:rsidR="009C554A" w:rsidRPr="009C554A" w:rsidTr="00B67658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  <w:b/>
                <w:bCs/>
              </w:rPr>
            </w:pPr>
            <w:r w:rsidRPr="009C554A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180 576,50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45 144,13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</w:rPr>
            </w:pPr>
            <w:r w:rsidRPr="009C554A">
              <w:rPr>
                <w:rFonts w:ascii="Arial CE" w:hAnsi="Arial CE" w:cs="Arial CE"/>
              </w:rPr>
              <w:t>9 014,9</w:t>
            </w: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54A" w:rsidRPr="009C554A" w:rsidRDefault="009C554A" w:rsidP="009C554A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9C554A">
              <w:rPr>
                <w:rFonts w:ascii="Arial CE" w:hAnsi="Arial CE" w:cs="Arial CE"/>
                <w:b/>
                <w:bCs/>
              </w:rPr>
              <w:t>54 159,09</w:t>
            </w:r>
          </w:p>
        </w:tc>
      </w:tr>
    </w:tbl>
    <w:p w:rsidR="009C554A" w:rsidRDefault="009C554A" w:rsidP="001D3B6A">
      <w:pPr>
        <w:pStyle w:val="Zkladntext"/>
        <w:jc w:val="center"/>
      </w:pPr>
    </w:p>
    <w:p w:rsidR="000111C5" w:rsidRDefault="000111C5" w:rsidP="00282DCF">
      <w:pPr>
        <w:pStyle w:val="Zkladntext"/>
        <w:jc w:val="both"/>
      </w:pPr>
      <w:bookmarkStart w:id="0" w:name="_MON_1641640931"/>
      <w:bookmarkStart w:id="1" w:name="_MON_1450845726"/>
      <w:bookmarkStart w:id="2" w:name="_MON_1641888679"/>
      <w:bookmarkStart w:id="3" w:name="_MON_1650179619"/>
      <w:bookmarkStart w:id="4" w:name="_MON_1640684411"/>
      <w:bookmarkStart w:id="5" w:name="_MON_1650783504"/>
      <w:bookmarkStart w:id="6" w:name="_MON_1641892522"/>
      <w:bookmarkStart w:id="7" w:name="_MON_1663390489"/>
      <w:bookmarkStart w:id="8" w:name="_MON_1450806325"/>
      <w:bookmarkStart w:id="9" w:name="_MON_1642413936"/>
      <w:bookmarkStart w:id="10" w:name="_MON_16413715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8A1E32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</w:t>
      </w:r>
      <w:r w:rsidR="0058419F">
        <w:t>.</w:t>
      </w:r>
    </w:p>
    <w:p w:rsidR="00452441" w:rsidRDefault="00452441" w:rsidP="00282DCF">
      <w:pPr>
        <w:pStyle w:val="Zkladntext"/>
        <w:jc w:val="both"/>
      </w:pPr>
    </w:p>
    <w:p w:rsidR="00AA4C99" w:rsidRDefault="006D7C54" w:rsidP="00FC31AE">
      <w:pPr>
        <w:jc w:val="center"/>
        <w:rPr>
          <w:b/>
        </w:rPr>
      </w:pPr>
      <w:r>
        <w:rPr>
          <w:b/>
        </w:rPr>
        <w:br w:type="page"/>
      </w:r>
      <w:r w:rsidR="00AA4C99" w:rsidRPr="00FC31AE">
        <w:rPr>
          <w:b/>
          <w:sz w:val="24"/>
        </w:rPr>
        <w:lastRenderedPageBreak/>
        <w:t>V</w:t>
      </w:r>
      <w:r w:rsidR="00EA67EA">
        <w:rPr>
          <w:b/>
          <w:sz w:val="24"/>
        </w:rPr>
        <w:t>I</w:t>
      </w:r>
      <w:r w:rsidR="00AA4C99" w:rsidRPr="00FC31AE">
        <w:rPr>
          <w:b/>
          <w:sz w:val="24"/>
        </w:rPr>
        <w:t>.</w:t>
      </w:r>
      <w:r w:rsidR="00AA4C99" w:rsidRPr="00FC31AE">
        <w:rPr>
          <w:b/>
          <w:sz w:val="24"/>
        </w:rPr>
        <w:tab/>
        <w:t>Splatnost nájemného a ceny služeb</w:t>
      </w:r>
    </w:p>
    <w:p w:rsidR="00AA4C99" w:rsidRDefault="00AA4C99" w:rsidP="00AA4C99">
      <w:pPr>
        <w:pStyle w:val="Zkladntext"/>
        <w:jc w:val="both"/>
        <w:rPr>
          <w:b/>
        </w:rPr>
      </w:pPr>
    </w:p>
    <w:p w:rsidR="00AA4C99" w:rsidRPr="009E4C92" w:rsidRDefault="00AA4C99" w:rsidP="00AA4C99">
      <w:pPr>
        <w:pStyle w:val="Zkladntext2"/>
      </w:pPr>
      <w:r w:rsidRPr="009E4C92">
        <w:t>Vý</w:t>
      </w:r>
      <w:r>
        <w:t>še čtvrtletního nájemného od 1.</w:t>
      </w:r>
      <w:r w:rsidR="0094266D">
        <w:t>1</w:t>
      </w:r>
      <w:r>
        <w:t>.202</w:t>
      </w:r>
      <w:r w:rsidR="0057242F">
        <w:t>3</w:t>
      </w:r>
      <w:r w:rsidRPr="009E4C92">
        <w:t xml:space="preserve"> činí </w:t>
      </w:r>
      <w:r w:rsidR="0094266D">
        <w:t>54 159,09</w:t>
      </w:r>
      <w:r>
        <w:t xml:space="preserve"> Kč vč. DPH. </w:t>
      </w:r>
    </w:p>
    <w:p w:rsidR="00AA4C99" w:rsidRDefault="00AA4C99" w:rsidP="00AA4C99">
      <w:pPr>
        <w:pStyle w:val="Zkladntext"/>
        <w:jc w:val="both"/>
      </w:pPr>
      <w:r>
        <w:t xml:space="preserve"> </w:t>
      </w:r>
    </w:p>
    <w:p w:rsidR="00AA4C99" w:rsidRDefault="00AA4C99" w:rsidP="00AA4C99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 daňového dokladu a údajů v něm uvedených vždy do </w:t>
      </w:r>
      <w:r w:rsidR="00EE3906">
        <w:t>15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 xml:space="preserve"> 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>15. května 202</w:t>
      </w:r>
      <w:r w:rsidR="0052247A">
        <w:t>3</w:t>
      </w:r>
      <w:r>
        <w:tab/>
      </w:r>
      <w:r>
        <w:tab/>
      </w:r>
      <w:r w:rsidR="0052247A">
        <w:t>54 159,09</w:t>
      </w:r>
      <w:r w:rsidRPr="003E2DF4">
        <w:t xml:space="preserve"> </w:t>
      </w:r>
      <w:r>
        <w:t>Kč vč. DPH (nájemné na 3. čtvrtletí 202</w:t>
      </w:r>
      <w:r w:rsidR="004E7135">
        <w:t>3</w:t>
      </w:r>
      <w:r>
        <w:t>)</w:t>
      </w:r>
    </w:p>
    <w:p w:rsidR="00AA4C99" w:rsidRDefault="00AA4C99" w:rsidP="00AA4C99">
      <w:pPr>
        <w:pStyle w:val="Zkladntext"/>
        <w:jc w:val="both"/>
      </w:pPr>
      <w:r>
        <w:t>15. srpna 202</w:t>
      </w:r>
      <w:r w:rsidR="0052247A">
        <w:t>3</w:t>
      </w:r>
      <w:r>
        <w:tab/>
      </w:r>
      <w:r>
        <w:tab/>
      </w:r>
      <w:r w:rsidR="0052247A">
        <w:t>54 159,09</w:t>
      </w:r>
      <w:r w:rsidR="009C14A1" w:rsidRPr="003E2DF4">
        <w:t xml:space="preserve"> </w:t>
      </w:r>
      <w:r>
        <w:t>Kč vč. DPH (nájemné na 4. čtvrtletí 202</w:t>
      </w:r>
      <w:r w:rsidR="004E7135">
        <w:t>3</w:t>
      </w:r>
      <w:r>
        <w:t>) atd.</w:t>
      </w:r>
    </w:p>
    <w:p w:rsidR="00AA4C99" w:rsidRDefault="00AA4C99" w:rsidP="00AA4C99">
      <w:pPr>
        <w:pStyle w:val="Zkladntext"/>
        <w:jc w:val="both"/>
      </w:pPr>
    </w:p>
    <w:p w:rsidR="00EA3D5C" w:rsidRDefault="00EA3D5C" w:rsidP="00EA3D5C">
      <w:pPr>
        <w:pStyle w:val="Odstavecseseznamem"/>
        <w:ind w:left="0"/>
        <w:jc w:val="both"/>
        <w:rPr>
          <w:sz w:val="24"/>
        </w:rPr>
      </w:pPr>
    </w:p>
    <w:p w:rsidR="00EA3D5C" w:rsidRDefault="00EA3D5C" w:rsidP="00EA3D5C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Odstavec 4, změna celého ujednání:</w:t>
      </w:r>
    </w:p>
    <w:p w:rsidR="00EA3D5C" w:rsidRPr="00BD45BF" w:rsidRDefault="00EA3D5C" w:rsidP="00EA3D5C">
      <w:pPr>
        <w:pStyle w:val="Odstavecseseznamem"/>
        <w:ind w:left="0"/>
        <w:jc w:val="both"/>
        <w:rPr>
          <w:sz w:val="24"/>
          <w:szCs w:val="24"/>
        </w:rPr>
      </w:pPr>
    </w:p>
    <w:p w:rsidR="00EA3D5C" w:rsidRPr="00BD45BF" w:rsidRDefault="00EA3D5C" w:rsidP="00EA3D5C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roku 2024 bude výše úhrady nájemného každoročně upravována podle roční míry inflace za předcházející rok, měřené indexem spotřebitelských cen dle Českého statistického úřadu. Tato změna bude realizována </w:t>
      </w:r>
      <w:r w:rsidRPr="00BD45BF">
        <w:rPr>
          <w:sz w:val="24"/>
          <w:szCs w:val="24"/>
        </w:rPr>
        <w:t>o</w:t>
      </w:r>
      <w:r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D22B8F" w:rsidRDefault="00D22B8F" w:rsidP="00AA4C99">
      <w:pPr>
        <w:pStyle w:val="Zkladntext"/>
        <w:jc w:val="both"/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</w:t>
      </w:r>
      <w:r w:rsidR="0052247A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</w:t>
      </w:r>
      <w:r w:rsidR="0052247A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smlouvy č. 1047/2016 nabývá platnosti dnem jeho podpisu poslední ze smluvních stran a účinnosti zveřejněním v Registru smluv.</w:t>
      </w:r>
    </w:p>
    <w:p w:rsidR="00AA4C99" w:rsidRDefault="00AA4C99" w:rsidP="00AA4C99">
      <w:pPr>
        <w:jc w:val="both"/>
        <w:rPr>
          <w:sz w:val="24"/>
        </w:rPr>
      </w:pPr>
    </w:p>
    <w:p w:rsidR="000971ED" w:rsidRDefault="000971ED" w:rsidP="00AA4C99">
      <w:pPr>
        <w:jc w:val="both"/>
        <w:rPr>
          <w:sz w:val="24"/>
        </w:rPr>
      </w:pPr>
    </w:p>
    <w:p w:rsidR="0058419F" w:rsidRDefault="00AA4C99" w:rsidP="00AA4C99">
      <w:pPr>
        <w:jc w:val="both"/>
        <w:rPr>
          <w:sz w:val="24"/>
        </w:rPr>
      </w:pPr>
      <w:r>
        <w:rPr>
          <w:sz w:val="24"/>
        </w:rPr>
        <w:t>V </w:t>
      </w:r>
      <w:r w:rsidR="0058419F">
        <w:rPr>
          <w:sz w:val="24"/>
        </w:rPr>
        <w:t>Praze</w:t>
      </w:r>
      <w:r>
        <w:rPr>
          <w:sz w:val="24"/>
        </w:rPr>
        <w:t xml:space="preserve"> dne: ………………</w:t>
      </w:r>
      <w:r>
        <w:rPr>
          <w:sz w:val="24"/>
        </w:rPr>
        <w:tab/>
      </w:r>
      <w:r>
        <w:rPr>
          <w:sz w:val="24"/>
        </w:rPr>
        <w:tab/>
      </w:r>
      <w:r w:rsidR="0058419F">
        <w:rPr>
          <w:sz w:val="24"/>
        </w:rPr>
        <w:tab/>
      </w:r>
      <w:r w:rsidR="0058419F">
        <w:rPr>
          <w:sz w:val="24"/>
        </w:rPr>
        <w:tab/>
      </w:r>
      <w:r>
        <w:rPr>
          <w:sz w:val="24"/>
        </w:rPr>
        <w:tab/>
        <w:t>V Chomutově dne:</w:t>
      </w:r>
      <w:r w:rsidR="00FC1F1E">
        <w:rPr>
          <w:sz w:val="24"/>
        </w:rPr>
        <w:t xml:space="preserve"> </w:t>
      </w:r>
      <w:r>
        <w:rPr>
          <w:sz w:val="24"/>
        </w:rPr>
        <w:t>……………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FC1F1E" w:rsidRDefault="00FC1F1E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--------------------------------------                                            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6EB0" w:rsidRDefault="0058419F" w:rsidP="00B96EB0">
      <w:pPr>
        <w:jc w:val="both"/>
        <w:rPr>
          <w:sz w:val="24"/>
        </w:rPr>
      </w:pPr>
      <w:r>
        <w:rPr>
          <w:sz w:val="24"/>
        </w:rPr>
        <w:t xml:space="preserve">    </w:t>
      </w:r>
      <w:r w:rsidR="005A224E">
        <w:rPr>
          <w:sz w:val="24"/>
        </w:rPr>
        <w:t xml:space="preserve">       </w:t>
      </w:r>
    </w:p>
    <w:p w:rsidR="0058419F" w:rsidRDefault="0058419F" w:rsidP="005A224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9232DD" w:rsidRDefault="009232DD" w:rsidP="00AA4C99">
      <w:pPr>
        <w:jc w:val="both"/>
        <w:rPr>
          <w:sz w:val="24"/>
        </w:rPr>
      </w:pPr>
    </w:p>
    <w:p w:rsidR="009232DD" w:rsidRDefault="009232DD" w:rsidP="00AA4C99">
      <w:pPr>
        <w:jc w:val="both"/>
        <w:rPr>
          <w:sz w:val="24"/>
        </w:rPr>
      </w:pPr>
    </w:p>
    <w:p w:rsidR="009232DD" w:rsidRDefault="009232DD" w:rsidP="009232DD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                              ------------------------------------------</w:t>
      </w:r>
    </w:p>
    <w:p w:rsidR="009232DD" w:rsidRDefault="009232DD" w:rsidP="009232DD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5A224E">
        <w:rPr>
          <w:sz w:val="24"/>
        </w:rPr>
        <w:tab/>
      </w:r>
      <w:r w:rsidR="005A224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24E">
        <w:rPr>
          <w:sz w:val="24"/>
        </w:rPr>
        <w:t xml:space="preserve">  </w:t>
      </w:r>
      <w:r>
        <w:rPr>
          <w:sz w:val="24"/>
        </w:rPr>
        <w:t>za pronajímatele</w:t>
      </w:r>
    </w:p>
    <w:p w:rsidR="009232DD" w:rsidRDefault="009232DD" w:rsidP="00B96EB0">
      <w:pPr>
        <w:jc w:val="both"/>
        <w:rPr>
          <w:sz w:val="24"/>
        </w:rPr>
      </w:pPr>
      <w:r>
        <w:rPr>
          <w:sz w:val="24"/>
        </w:rPr>
        <w:t xml:space="preserve">    </w:t>
      </w:r>
      <w:r w:rsidR="005A224E">
        <w:rPr>
          <w:sz w:val="24"/>
        </w:rPr>
        <w:tab/>
      </w:r>
      <w:r w:rsidR="005A224E">
        <w:rPr>
          <w:sz w:val="24"/>
        </w:rPr>
        <w:tab/>
      </w:r>
      <w:r w:rsidR="005A224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6EB0" w:rsidRDefault="00B96EB0" w:rsidP="00B96EB0">
      <w:pPr>
        <w:jc w:val="both"/>
        <w:rPr>
          <w:sz w:val="24"/>
        </w:rPr>
      </w:pPr>
    </w:p>
    <w:p w:rsidR="00B96EB0" w:rsidRDefault="00B96EB0" w:rsidP="00B96EB0">
      <w:pPr>
        <w:jc w:val="both"/>
        <w:rPr>
          <w:sz w:val="24"/>
        </w:rPr>
      </w:pPr>
    </w:p>
    <w:p w:rsidR="009232DD" w:rsidRDefault="009232DD" w:rsidP="009232DD">
      <w:pPr>
        <w:jc w:val="both"/>
        <w:rPr>
          <w:sz w:val="24"/>
        </w:rPr>
      </w:pPr>
    </w:p>
    <w:p w:rsidR="009232DD" w:rsidRDefault="009232DD" w:rsidP="009232DD">
      <w:pPr>
        <w:jc w:val="both"/>
        <w:rPr>
          <w:sz w:val="24"/>
        </w:rPr>
      </w:pPr>
      <w:r>
        <w:rPr>
          <w:sz w:val="24"/>
        </w:rPr>
        <w:t xml:space="preserve">--------------------------------------                                            </w:t>
      </w:r>
    </w:p>
    <w:p w:rsidR="009232DD" w:rsidRDefault="009232DD" w:rsidP="009232DD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32DD" w:rsidRPr="00AA4C99" w:rsidRDefault="009232DD" w:rsidP="009232DD">
      <w:pPr>
        <w:jc w:val="both"/>
        <w:rPr>
          <w:sz w:val="24"/>
        </w:rPr>
      </w:pPr>
      <w:bookmarkStart w:id="11" w:name="_GoBack"/>
      <w:bookmarkEnd w:id="1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9232DD" w:rsidRPr="00AA4C99" w:rsidRDefault="009232DD" w:rsidP="009232DD">
      <w:pPr>
        <w:jc w:val="both"/>
        <w:rPr>
          <w:sz w:val="24"/>
        </w:rPr>
      </w:pPr>
    </w:p>
    <w:p w:rsidR="009232DD" w:rsidRPr="00AA4C99" w:rsidRDefault="009232DD" w:rsidP="00AA4C99">
      <w:pPr>
        <w:jc w:val="both"/>
        <w:rPr>
          <w:sz w:val="24"/>
        </w:rPr>
      </w:pPr>
    </w:p>
    <w:sectPr w:rsidR="009232DD" w:rsidRPr="00AA4C99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FB" w:rsidRDefault="007F01FB">
      <w:r>
        <w:separator/>
      </w:r>
    </w:p>
  </w:endnote>
  <w:endnote w:type="continuationSeparator" w:id="0">
    <w:p w:rsidR="007F01FB" w:rsidRDefault="007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FB" w:rsidRDefault="007F01FB">
      <w:r>
        <w:separator/>
      </w:r>
    </w:p>
  </w:footnote>
  <w:footnote w:type="continuationSeparator" w:id="0">
    <w:p w:rsidR="007F01FB" w:rsidRDefault="007F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11C5"/>
    <w:rsid w:val="00017A60"/>
    <w:rsid w:val="000334F7"/>
    <w:rsid w:val="0004749A"/>
    <w:rsid w:val="00056406"/>
    <w:rsid w:val="00061EB0"/>
    <w:rsid w:val="00072D3E"/>
    <w:rsid w:val="0007461A"/>
    <w:rsid w:val="00077AAC"/>
    <w:rsid w:val="000838BB"/>
    <w:rsid w:val="00083B62"/>
    <w:rsid w:val="000971ED"/>
    <w:rsid w:val="000978BF"/>
    <w:rsid w:val="000A3BE2"/>
    <w:rsid w:val="000C1C94"/>
    <w:rsid w:val="000C577B"/>
    <w:rsid w:val="000C5BED"/>
    <w:rsid w:val="000D3BF0"/>
    <w:rsid w:val="000F659A"/>
    <w:rsid w:val="001043AC"/>
    <w:rsid w:val="0010555A"/>
    <w:rsid w:val="00112831"/>
    <w:rsid w:val="001200D2"/>
    <w:rsid w:val="00134D7F"/>
    <w:rsid w:val="00137E96"/>
    <w:rsid w:val="00137F4B"/>
    <w:rsid w:val="00142342"/>
    <w:rsid w:val="00167E9B"/>
    <w:rsid w:val="001722AE"/>
    <w:rsid w:val="00176E79"/>
    <w:rsid w:val="00176F67"/>
    <w:rsid w:val="00191042"/>
    <w:rsid w:val="001934FF"/>
    <w:rsid w:val="00193921"/>
    <w:rsid w:val="001A12C7"/>
    <w:rsid w:val="001B1543"/>
    <w:rsid w:val="001C15B0"/>
    <w:rsid w:val="001C5593"/>
    <w:rsid w:val="001C668F"/>
    <w:rsid w:val="001C6DE0"/>
    <w:rsid w:val="001D037C"/>
    <w:rsid w:val="001D15CC"/>
    <w:rsid w:val="001D3B6A"/>
    <w:rsid w:val="001D5222"/>
    <w:rsid w:val="001E08EF"/>
    <w:rsid w:val="001E220C"/>
    <w:rsid w:val="001E5499"/>
    <w:rsid w:val="001F5F80"/>
    <w:rsid w:val="00234426"/>
    <w:rsid w:val="00236D86"/>
    <w:rsid w:val="002430E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94DB5"/>
    <w:rsid w:val="002A459E"/>
    <w:rsid w:val="002A7EDF"/>
    <w:rsid w:val="002B092F"/>
    <w:rsid w:val="002C4788"/>
    <w:rsid w:val="002C5BD7"/>
    <w:rsid w:val="002C5D13"/>
    <w:rsid w:val="002C6A9D"/>
    <w:rsid w:val="002E20BF"/>
    <w:rsid w:val="002F0A61"/>
    <w:rsid w:val="00301D2C"/>
    <w:rsid w:val="003034F9"/>
    <w:rsid w:val="0031359C"/>
    <w:rsid w:val="00325A18"/>
    <w:rsid w:val="0033102B"/>
    <w:rsid w:val="00331B43"/>
    <w:rsid w:val="0034365F"/>
    <w:rsid w:val="00367F63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71C3E"/>
    <w:rsid w:val="004A45AE"/>
    <w:rsid w:val="004B3B10"/>
    <w:rsid w:val="004B40C9"/>
    <w:rsid w:val="004B69F4"/>
    <w:rsid w:val="004C1853"/>
    <w:rsid w:val="004C7063"/>
    <w:rsid w:val="004D1602"/>
    <w:rsid w:val="004E6374"/>
    <w:rsid w:val="004E7135"/>
    <w:rsid w:val="004F26E3"/>
    <w:rsid w:val="004F2E55"/>
    <w:rsid w:val="004F6BE0"/>
    <w:rsid w:val="004F7C75"/>
    <w:rsid w:val="0050087B"/>
    <w:rsid w:val="0050132F"/>
    <w:rsid w:val="005014AF"/>
    <w:rsid w:val="00503CD8"/>
    <w:rsid w:val="005067D6"/>
    <w:rsid w:val="00514183"/>
    <w:rsid w:val="00514A20"/>
    <w:rsid w:val="00517878"/>
    <w:rsid w:val="0052247A"/>
    <w:rsid w:val="00527A48"/>
    <w:rsid w:val="005427D7"/>
    <w:rsid w:val="0054394A"/>
    <w:rsid w:val="0055737E"/>
    <w:rsid w:val="005634A4"/>
    <w:rsid w:val="00564BB6"/>
    <w:rsid w:val="005664C0"/>
    <w:rsid w:val="00571B13"/>
    <w:rsid w:val="0057242F"/>
    <w:rsid w:val="00572760"/>
    <w:rsid w:val="0058419F"/>
    <w:rsid w:val="00586C90"/>
    <w:rsid w:val="00591225"/>
    <w:rsid w:val="00591A01"/>
    <w:rsid w:val="00593F00"/>
    <w:rsid w:val="0059582A"/>
    <w:rsid w:val="005A0743"/>
    <w:rsid w:val="005A224E"/>
    <w:rsid w:val="005A2339"/>
    <w:rsid w:val="005B126C"/>
    <w:rsid w:val="005D1B15"/>
    <w:rsid w:val="005D71B1"/>
    <w:rsid w:val="005E20F5"/>
    <w:rsid w:val="005F128A"/>
    <w:rsid w:val="00614CA7"/>
    <w:rsid w:val="0062116C"/>
    <w:rsid w:val="006253F6"/>
    <w:rsid w:val="00630D13"/>
    <w:rsid w:val="0063192A"/>
    <w:rsid w:val="00635734"/>
    <w:rsid w:val="00637331"/>
    <w:rsid w:val="00641A53"/>
    <w:rsid w:val="00643008"/>
    <w:rsid w:val="006455A7"/>
    <w:rsid w:val="00652F81"/>
    <w:rsid w:val="0066513D"/>
    <w:rsid w:val="006900E2"/>
    <w:rsid w:val="006959DB"/>
    <w:rsid w:val="006A01A4"/>
    <w:rsid w:val="006A22D1"/>
    <w:rsid w:val="006A37DE"/>
    <w:rsid w:val="006A4B40"/>
    <w:rsid w:val="006B6E01"/>
    <w:rsid w:val="006C4E19"/>
    <w:rsid w:val="006C61C5"/>
    <w:rsid w:val="006C7A14"/>
    <w:rsid w:val="006D7C54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BCA"/>
    <w:rsid w:val="00742C16"/>
    <w:rsid w:val="007545AD"/>
    <w:rsid w:val="00770729"/>
    <w:rsid w:val="00770F93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C7D1A"/>
    <w:rsid w:val="007D2AEA"/>
    <w:rsid w:val="007D5816"/>
    <w:rsid w:val="007D6116"/>
    <w:rsid w:val="007D6AE6"/>
    <w:rsid w:val="007D6B07"/>
    <w:rsid w:val="007E4696"/>
    <w:rsid w:val="007E71B1"/>
    <w:rsid w:val="007E72A1"/>
    <w:rsid w:val="007F01FB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0E46"/>
    <w:rsid w:val="008A1E32"/>
    <w:rsid w:val="008B7FA7"/>
    <w:rsid w:val="008C4AD0"/>
    <w:rsid w:val="008C555B"/>
    <w:rsid w:val="008C5DD5"/>
    <w:rsid w:val="008C6208"/>
    <w:rsid w:val="008C701F"/>
    <w:rsid w:val="008C7B86"/>
    <w:rsid w:val="008E21A3"/>
    <w:rsid w:val="008E4B1A"/>
    <w:rsid w:val="008F1D20"/>
    <w:rsid w:val="00906FA3"/>
    <w:rsid w:val="009139FD"/>
    <w:rsid w:val="00915390"/>
    <w:rsid w:val="009232DD"/>
    <w:rsid w:val="00930F51"/>
    <w:rsid w:val="0093515F"/>
    <w:rsid w:val="0094067F"/>
    <w:rsid w:val="0094266D"/>
    <w:rsid w:val="009860B0"/>
    <w:rsid w:val="00997751"/>
    <w:rsid w:val="009A4F7E"/>
    <w:rsid w:val="009C11D5"/>
    <w:rsid w:val="009C14A1"/>
    <w:rsid w:val="009C554A"/>
    <w:rsid w:val="009E5B53"/>
    <w:rsid w:val="009F5C9E"/>
    <w:rsid w:val="009F7835"/>
    <w:rsid w:val="00A0563D"/>
    <w:rsid w:val="00A06C30"/>
    <w:rsid w:val="00A075A4"/>
    <w:rsid w:val="00A156A3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AF4FF5"/>
    <w:rsid w:val="00B02EAD"/>
    <w:rsid w:val="00B03400"/>
    <w:rsid w:val="00B2067A"/>
    <w:rsid w:val="00B21059"/>
    <w:rsid w:val="00B23B6C"/>
    <w:rsid w:val="00B2508F"/>
    <w:rsid w:val="00B260D5"/>
    <w:rsid w:val="00B300CB"/>
    <w:rsid w:val="00B30A66"/>
    <w:rsid w:val="00B347C8"/>
    <w:rsid w:val="00B34A76"/>
    <w:rsid w:val="00B45240"/>
    <w:rsid w:val="00B56B70"/>
    <w:rsid w:val="00B610D7"/>
    <w:rsid w:val="00B64B0B"/>
    <w:rsid w:val="00B6599C"/>
    <w:rsid w:val="00B66885"/>
    <w:rsid w:val="00B67658"/>
    <w:rsid w:val="00B74EEB"/>
    <w:rsid w:val="00B75378"/>
    <w:rsid w:val="00B87E22"/>
    <w:rsid w:val="00B96EB0"/>
    <w:rsid w:val="00BA16FB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4455E"/>
    <w:rsid w:val="00C53019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304D"/>
    <w:rsid w:val="00CF2969"/>
    <w:rsid w:val="00CF78AE"/>
    <w:rsid w:val="00D1080C"/>
    <w:rsid w:val="00D22B8F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41D7"/>
    <w:rsid w:val="00D961AE"/>
    <w:rsid w:val="00DA12D5"/>
    <w:rsid w:val="00DA22AF"/>
    <w:rsid w:val="00DA74D2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3D5C"/>
    <w:rsid w:val="00EA40CD"/>
    <w:rsid w:val="00EA67EA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E3906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0BFC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A57BE"/>
    <w:rsid w:val="00FB589F"/>
    <w:rsid w:val="00FB6580"/>
    <w:rsid w:val="00FC1F1E"/>
    <w:rsid w:val="00FC31AE"/>
    <w:rsid w:val="00FC3401"/>
    <w:rsid w:val="00FC433A"/>
    <w:rsid w:val="00FE00DE"/>
    <w:rsid w:val="00FE49DB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B480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2023-05-11T10:13:00Z</cp:lastPrinted>
  <dcterms:created xsi:type="dcterms:W3CDTF">2023-07-17T08:42:00Z</dcterms:created>
  <dcterms:modified xsi:type="dcterms:W3CDTF">2023-07-17T08:42:00Z</dcterms:modified>
</cp:coreProperties>
</file>