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i/>
          <w:sz w:val="16"/>
          <w:szCs w:val="16"/>
        </w:rPr>
      </w:pPr>
      <w:r>
        <w:rPr>
          <w:rFonts w:cs="Arial" w:ascii="Arial" w:hAnsi="Arial"/>
          <w:i/>
          <w:sz w:val="16"/>
          <w:szCs w:val="16"/>
        </w:rPr>
        <w:t>PROFI AUTO CZ a.s., obchod</w:t>
      </w:r>
    </w:p>
    <w:p>
      <w:pPr>
        <w:pStyle w:val="Normal"/>
        <w:rPr>
          <w:b/>
        </w:rPr>
      </w:pPr>
      <w:r>
        <w:rPr>
          <w:b/>
        </w:rPr>
        <w:t>KUPNÍ SMLOUVA</w:t>
      </w:r>
    </w:p>
    <w:tbl>
      <w:tblPr>
        <w:jc w:val="left"/>
        <w:tblInd w:w="0" w:type="dxa"/>
        <w:tblBorders>
          <w:top w:val="nil"/>
          <w:left w:val="single" w:sz="4" w:space="0" w:color="FFFFFF"/>
          <w:bottom w:val="single" w:sz="4" w:space="0" w:color="FFFFFF"/>
          <w:insideH w:val="single" w:sz="4" w:space="0" w:color="FFFFFF"/>
          <w:right w:val="nil"/>
          <w:insideV w:val="nil"/>
        </w:tblBorders>
        <w:tblCellMar>
          <w:top w:w="0" w:type="dxa"/>
          <w:left w:w="65" w:type="dxa"/>
          <w:bottom w:w="0" w:type="dxa"/>
          <w:right w:w="70" w:type="dxa"/>
        </w:tblCellMar>
      </w:tblPr>
      <w:tblGrid>
        <w:gridCol w:w="273"/>
        <w:gridCol w:w="984"/>
        <w:gridCol w:w="1581"/>
        <w:gridCol w:w="420"/>
        <w:gridCol w:w="703"/>
        <w:gridCol w:w="1"/>
        <w:gridCol w:w="703"/>
        <w:gridCol w:w="1"/>
        <w:gridCol w:w="561"/>
        <w:gridCol w:w="1"/>
        <w:gridCol w:w="1"/>
        <w:gridCol w:w="574"/>
        <w:gridCol w:w="1"/>
        <w:gridCol w:w="1"/>
        <w:gridCol w:w="193"/>
        <w:gridCol w:w="2"/>
        <w:gridCol w:w="1"/>
        <w:gridCol w:w="1048"/>
        <w:gridCol w:w="1"/>
        <w:gridCol w:w="850"/>
        <w:gridCol w:w="1"/>
        <w:gridCol w:w="1"/>
        <w:gridCol w:w="702"/>
        <w:gridCol w:w="1"/>
        <w:gridCol w:w="1"/>
        <w:gridCol w:w="701"/>
        <w:gridCol w:w="1"/>
        <w:gridCol w:w="1"/>
        <w:gridCol w:w="884"/>
        <w:gridCol w:w="2"/>
        <w:gridCol w:w="2"/>
        <w:gridCol w:w="2"/>
        <w:gridCol w:w="703"/>
        <w:gridCol w:w="2"/>
        <w:gridCol w:w="1"/>
        <w:gridCol w:w="1"/>
        <w:gridCol w:w="1"/>
        <w:gridCol w:w="1"/>
        <w:gridCol w:w="470"/>
      </w:tblGrid>
      <w:tr>
        <w:trPr>
          <w:trHeight w:val="255" w:hRule="atLeast"/>
          <w:cantSplit w:val="false"/>
        </w:trPr>
        <w:tc>
          <w:tcPr>
            <w:tcW w:w="273" w:type="dxa"/>
            <w:tcBorders>
              <w:top w:val="nil"/>
              <w:left w:val="single" w:sz="4" w:space="0" w:color="FFFFFF"/>
              <w:bottom w:val="single" w:sz="4" w:space="0" w:color="FFFFFF"/>
              <w:insideH w:val="single" w:sz="4" w:space="0" w:color="FFFFFF"/>
              <w:right w:val="nil"/>
              <w:insideV w:val="nil"/>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926" w:type="dxa"/>
            <w:gridSpan w:val="31"/>
            <w:tcBorders>
              <w:top w:val="single" w:sz="4" w:space="0" w:color="FFFFFF"/>
              <w:left w:val="nil"/>
              <w:bottom w:val="single" w:sz="4" w:space="0" w:color="FFFFFF"/>
              <w:insideH w:val="single" w:sz="4" w:space="0" w:color="FFFFFF"/>
              <w:right w:val="nil"/>
              <w:insideV w:val="nil"/>
            </w:tcBorders>
            <w:shd w:fill="FFFFFF"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uzavřená podle platných ustanovení 2079 § a následujících zákonů č. 89/2012 Sb., občanského zákoníku (dále jen "občanský zákoník)</w:t>
            </w:r>
          </w:p>
        </w:tc>
        <w:tc>
          <w:tcPr>
            <w:tcW w:w="709" w:type="dxa"/>
            <w:gridSpan w:val="6"/>
            <w:tcBorders>
              <w:top w:val="nil"/>
              <w:left w:val="nil"/>
              <w:bottom w:val="single" w:sz="4" w:space="0" w:color="FFFFFF"/>
              <w:insideH w:val="single" w:sz="4" w:space="0" w:color="FFFFFF"/>
              <w:right w:val="nil"/>
              <w:insideV w:val="nil"/>
            </w:tcBorders>
            <w:shd w:fill="FFFFFF" w:val="clear"/>
            <w:vAlign w:val="bottom"/>
          </w:tcPr>
          <w:p>
            <w:pPr>
              <w:pStyle w:val="Normal"/>
              <w:spacing w:lineRule="auto" w:line="240" w:before="0" w:after="0"/>
              <w:jc w:val="right"/>
              <w:rPr>
                <w:rFonts w:eastAsia="Times New Roman" w:cs="Arial" w:ascii="Arial" w:hAnsi="Arial"/>
                <w:color w:val="FFFFFF"/>
                <w:sz w:val="2"/>
                <w:szCs w:val="2"/>
                <w:lang w:eastAsia="cs-CZ"/>
              </w:rPr>
            </w:pPr>
            <w:r>
              <w:rPr>
                <w:rFonts w:eastAsia="Times New Roman" w:cs="Arial" w:ascii="Arial" w:hAnsi="Arial"/>
                <w:color w:val="FFFFFF"/>
                <w:sz w:val="2"/>
                <w:szCs w:val="2"/>
                <w:lang w:eastAsia="cs-CZ"/>
              </w:rPr>
              <w:t>030-004-2016-10</w:t>
            </w:r>
          </w:p>
        </w:tc>
        <w:tc>
          <w:tcPr>
            <w:tcW w:w="47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90" w:hRule="atLeast"/>
          <w:cantSplit w:val="false"/>
        </w:trPr>
        <w:tc>
          <w:tcPr>
            <w:tcW w:w="273" w:type="dxa"/>
            <w:tcBorders>
              <w:top w:val="nil"/>
              <w:left w:val="single" w:sz="4" w:space="0" w:color="FFFFFF"/>
              <w:bottom w:val="single" w:sz="4" w:space="0" w:color="00000A"/>
              <w:insideH w:val="single" w:sz="4" w:space="0" w:color="00000A"/>
              <w:right w:val="nil"/>
              <w:insideV w:val="nil"/>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7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jc w:val="right"/>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Prodávající:</w:t>
            </w:r>
          </w:p>
        </w:tc>
        <w:tc>
          <w:tcPr>
            <w:tcW w:w="200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PROFI AUTO CZ a.s.</w:t>
            </w:r>
          </w:p>
        </w:tc>
        <w:tc>
          <w:tcPr>
            <w:tcW w:w="703"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 </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Kupující:</w:t>
            </w:r>
          </w:p>
        </w:tc>
        <w:tc>
          <w:tcPr>
            <w:tcW w:w="1556" w:type="dxa"/>
            <w:gridSpan w:val="6"/>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Město Mašťov</w:t>
            </w:r>
          </w:p>
        </w:tc>
        <w:tc>
          <w:tcPr>
            <w:tcW w:w="703"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20"/>
                <w:szCs w:val="20"/>
                <w:lang w:eastAsia="cs-CZ"/>
              </w:rPr>
            </w:pPr>
            <w:r>
              <w:rPr>
                <w:rFonts w:eastAsia="Times New Roman" w:cs="Arial" w:ascii="Arial" w:hAnsi="Arial"/>
                <w:b/>
                <w:bCs/>
                <w:sz w:val="20"/>
                <w:szCs w:val="20"/>
                <w:lang w:eastAsia="cs-CZ"/>
              </w:rPr>
              <w:t> </w:t>
            </w:r>
          </w:p>
        </w:tc>
        <w:tc>
          <w:tcPr>
            <w:tcW w:w="887"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20"/>
                <w:szCs w:val="20"/>
                <w:lang w:eastAsia="cs-CZ"/>
              </w:rPr>
            </w:pPr>
            <w:r>
              <w:rPr>
                <w:rFonts w:eastAsia="Times New Roman" w:cs="Arial" w:ascii="Arial" w:hAnsi="Arial"/>
                <w:b/>
                <w:bCs/>
                <w:sz w:val="20"/>
                <w:szCs w:val="20"/>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20"/>
                <w:szCs w:val="20"/>
                <w:lang w:eastAsia="cs-CZ"/>
              </w:rPr>
            </w:pPr>
            <w:r>
              <w:rPr>
                <w:rFonts w:eastAsia="Times New Roman" w:cs="Arial" w:ascii="Arial" w:hAnsi="Arial"/>
                <w:b/>
                <w:bCs/>
                <w:sz w:val="20"/>
                <w:szCs w:val="20"/>
                <w:lang w:eastAsia="cs-CZ"/>
              </w:rPr>
              <w:t> </w:t>
            </w:r>
          </w:p>
        </w:tc>
        <w:tc>
          <w:tcPr>
            <w:tcW w:w="474" w:type="dxa"/>
            <w:gridSpan w:val="5"/>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b/>
                <w:bCs/>
                <w:sz w:val="20"/>
                <w:szCs w:val="20"/>
                <w:lang w:eastAsia="cs-CZ"/>
              </w:rPr>
            </w:pPr>
            <w:r>
              <w:rPr>
                <w:rFonts w:eastAsia="Times New Roman" w:cs="Arial" w:ascii="Arial" w:hAnsi="Arial"/>
                <w:b/>
                <w:bCs/>
                <w:sz w:val="20"/>
                <w:szCs w:val="20"/>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2704"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Kolovratská 1367, Říčany, 251 01</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2259" w:type="dxa"/>
            <w:gridSpan w:val="9"/>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Náměstí 80, 432 56 Mašťov</w:t>
            </w:r>
          </w:p>
        </w:tc>
        <w:tc>
          <w:tcPr>
            <w:tcW w:w="887"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4" w:type="dxa"/>
            <w:gridSpan w:val="5"/>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IČ:</w:t>
            </w:r>
          </w:p>
        </w:tc>
        <w:tc>
          <w:tcPr>
            <w:tcW w:w="1581"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26178559</w:t>
            </w:r>
          </w:p>
        </w:tc>
        <w:tc>
          <w:tcPr>
            <w:tcW w:w="420" w:type="dxa"/>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DIČ:</w:t>
            </w:r>
          </w:p>
        </w:tc>
        <w:tc>
          <w:tcPr>
            <w:tcW w:w="1408"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CZ26178559</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0" w:type="dxa"/>
            <w:gridSpan w:val="3"/>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IČ:</w:t>
            </w:r>
          </w:p>
        </w:tc>
        <w:tc>
          <w:tcPr>
            <w:tcW w:w="85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00262021</w:t>
            </w:r>
          </w:p>
        </w:tc>
        <w:tc>
          <w:tcPr>
            <w:tcW w:w="704" w:type="dxa"/>
            <w:gridSpan w:val="3"/>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703"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7"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4" w:type="dxa"/>
            <w:gridSpan w:val="5"/>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4956" w:type="dxa"/>
            <w:gridSpan w:val="10"/>
            <w:tcBorders>
              <w:top w:val="nil"/>
              <w:left w:val="nil"/>
              <w:bottom w:val="nil"/>
              <w:insideH w:val="nil"/>
              <w:right w:val="nil"/>
              <w:insideV w:val="nil"/>
            </w:tcBorders>
            <w:shd w:fill="F2F2F2" w:val="cle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zapsaná u Městského soudu v Praze, spis.zn.oddíl B, vl. 6567</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377" w:type="dxa"/>
            <w:gridSpan w:val="22"/>
            <w:tcBorders>
              <w:top w:val="nil"/>
              <w:left w:val="nil"/>
              <w:bottom w:val="nil"/>
              <w:insideH w:val="nil"/>
              <w:right w:val="single" w:sz="4" w:space="0" w:color="000001"/>
              <w:insideV w:val="single" w:sz="4" w:space="0" w:color="000001"/>
            </w:tcBorders>
            <w:shd w:fill="F2F2F2" w:val="cle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zastoupená:</w:t>
            </w:r>
          </w:p>
        </w:tc>
        <w:tc>
          <w:tcPr>
            <w:tcW w:w="3409" w:type="dxa"/>
            <w:gridSpan w:val="6"/>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na základě plné moci JUDr. Jaromír Mlejnský</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0" w:type="dxa"/>
            <w:gridSpan w:val="3"/>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zastoupená:</w:t>
            </w:r>
          </w:p>
        </w:tc>
        <w:tc>
          <w:tcPr>
            <w:tcW w:w="3856" w:type="dxa"/>
            <w:gridSpan w:val="17"/>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Zdeněk Laštovka, starosta města</w:t>
            </w:r>
          </w:p>
        </w:tc>
        <w:tc>
          <w:tcPr>
            <w:tcW w:w="472" w:type="dxa"/>
            <w:gridSpan w:val="3"/>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1581"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 </w:t>
            </w:r>
          </w:p>
        </w:tc>
        <w:tc>
          <w:tcPr>
            <w:tcW w:w="1828" w:type="dxa"/>
            <w:gridSpan w:val="5"/>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0"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3856" w:type="dxa"/>
            <w:gridSpan w:val="17"/>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2" w:type="dxa"/>
            <w:gridSpan w:val="3"/>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bank.spojení:</w:t>
            </w:r>
          </w:p>
        </w:tc>
        <w:tc>
          <w:tcPr>
            <w:tcW w:w="2704"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CZK - 27-6781210277/0100</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3856" w:type="dxa"/>
            <w:gridSpan w:val="17"/>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3" w:type="dxa"/>
            <w:gridSpan w:val="4"/>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3409" w:type="dxa"/>
            <w:gridSpan w:val="6"/>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EUR - IBAN: CZ1201000000278879070267</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0"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3856" w:type="dxa"/>
            <w:gridSpan w:val="17"/>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2" w:type="dxa"/>
            <w:gridSpan w:val="3"/>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200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SWIFT: KOMBCZPPXXX</w:t>
            </w:r>
          </w:p>
        </w:tc>
        <w:tc>
          <w:tcPr>
            <w:tcW w:w="703"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85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90"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1581"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 </w:t>
            </w:r>
          </w:p>
        </w:tc>
        <w:tc>
          <w:tcPr>
            <w:tcW w:w="420"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85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prodejce:</w:t>
            </w:r>
          </w:p>
        </w:tc>
        <w:tc>
          <w:tcPr>
            <w:tcW w:w="200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Nedvěd Stanislav</w:t>
            </w:r>
          </w:p>
        </w:tc>
        <w:tc>
          <w:tcPr>
            <w:tcW w:w="703"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jc w:val="right"/>
              <w:rPr>
                <w:rFonts w:eastAsia="Times New Roman" w:cs="Arial" w:ascii="Arial" w:hAnsi="Arial"/>
                <w:sz w:val="14"/>
                <w:szCs w:val="14"/>
                <w:lang w:eastAsia="cs-CZ"/>
              </w:rPr>
            </w:pPr>
            <w:r>
              <w:rPr>
                <w:rFonts w:eastAsia="Times New Roman" w:cs="Arial" w:ascii="Arial" w:hAnsi="Arial"/>
                <w:sz w:val="14"/>
                <w:szCs w:val="14"/>
                <w:lang w:eastAsia="cs-CZ"/>
              </w:rPr>
              <w:t>kontakt.osoba:</w:t>
            </w:r>
          </w:p>
        </w:tc>
        <w:tc>
          <w:tcPr>
            <w:tcW w:w="1556" w:type="dxa"/>
            <w:gridSpan w:val="6"/>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David Slunéčko</w:t>
            </w:r>
          </w:p>
        </w:tc>
        <w:tc>
          <w:tcPr>
            <w:tcW w:w="703"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7"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4" w:type="dxa"/>
            <w:gridSpan w:val="5"/>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3409" w:type="dxa"/>
            <w:gridSpan w:val="6"/>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tel.: +420 602 242 726, nedved@profiautocz.cz</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0"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3147" w:type="dxa"/>
            <w:gridSpan w:val="1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tel. +420 474 397 243, mastov@obce-cv.cz</w:t>
            </w:r>
          </w:p>
        </w:tc>
        <w:tc>
          <w:tcPr>
            <w:tcW w:w="709" w:type="dxa"/>
            <w:gridSpan w:val="5"/>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2" w:type="dxa"/>
            <w:gridSpan w:val="3"/>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984"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1581"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 </w:t>
            </w:r>
          </w:p>
        </w:tc>
        <w:tc>
          <w:tcPr>
            <w:tcW w:w="851" w:type="dxa"/>
            <w:gridSpan w:val="2"/>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 </w:t>
            </w:r>
          </w:p>
        </w:tc>
        <w:tc>
          <w:tcPr>
            <w:tcW w:w="4956" w:type="dxa"/>
            <w:gridSpan w:val="10"/>
            <w:tcBorders>
              <w:top w:val="nil"/>
              <w:left w:val="nil"/>
              <w:bottom w:val="nil"/>
              <w:insideH w:val="nil"/>
              <w:right w:val="nil"/>
              <w:insideV w:val="nil"/>
            </w:tcBorders>
            <w:shd w:fill="F2F2F2" w:val="clear"/>
            <w:vAlign w:val="center"/>
          </w:tcPr>
          <w:p>
            <w:pPr>
              <w:pStyle w:val="Normal"/>
              <w:spacing w:lineRule="auto" w:line="240" w:before="0" w:after="0"/>
              <w:jc w:val="center"/>
              <w:rPr>
                <w:rFonts w:eastAsia="Times New Roman" w:cs="Arial" w:ascii="Arial" w:hAnsi="Arial"/>
                <w:b/>
                <w:bCs/>
                <w:sz w:val="16"/>
                <w:szCs w:val="16"/>
                <w:lang w:eastAsia="cs-CZ"/>
              </w:rPr>
            </w:pPr>
            <w:r>
              <w:rPr>
                <w:rFonts w:eastAsia="Times New Roman" w:cs="Arial" w:ascii="Arial" w:hAnsi="Arial"/>
                <w:sz w:val="16"/>
                <w:szCs w:val="16"/>
                <w:lang w:eastAsia="cs-CZ"/>
              </w:rPr>
              <w:t>dále jako</w:t>
            </w:r>
            <w:r>
              <w:rPr>
                <w:rFonts w:eastAsia="Times New Roman" w:cs="Arial" w:ascii="Arial" w:hAnsi="Arial"/>
                <w:b/>
                <w:bCs/>
                <w:sz w:val="16"/>
                <w:szCs w:val="16"/>
                <w:lang w:eastAsia="cs-CZ"/>
              </w:rPr>
              <w:t xml:space="preserve"> prodávající</w:t>
            </w:r>
          </w:p>
        </w:tc>
        <w:tc>
          <w:tcPr>
            <w:tcW w:w="576" w:type="dxa"/>
            <w:gridSpan w:val="3"/>
            <w:tcBorders>
              <w:top w:val="nil"/>
              <w:left w:val="nil"/>
              <w:bottom w:val="nil"/>
              <w:insideH w:val="nil"/>
              <w:right w:val="nil"/>
              <w:insideV w:val="nil"/>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6" w:type="dxa"/>
            <w:gridSpan w:val="3"/>
            <w:tcBorders>
              <w:top w:val="nil"/>
              <w:left w:val="single" w:sz="4" w:space="0" w:color="00000A"/>
              <w:bottom w:val="nil"/>
              <w:insideH w:val="nil"/>
              <w:right w:val="nil"/>
              <w:insideV w:val="nil"/>
            </w:tcBorders>
            <w:shd w:fill="F2F2F2" w:val="clear"/>
            <w:tcMar>
              <w:left w:w="65" w:type="dxa"/>
            </w:tcM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906" w:type="dxa"/>
            <w:gridSpan w:val="20"/>
            <w:tcBorders>
              <w:top w:val="nil"/>
              <w:left w:val="nil"/>
              <w:bottom w:val="nil"/>
              <w:insideH w:val="nil"/>
              <w:right w:val="nil"/>
              <w:insideV w:val="nil"/>
            </w:tcBorders>
            <w:shd w:fill="F2F2F2" w:val="clear"/>
            <w:vAlign w:val="center"/>
          </w:tcPr>
          <w:p>
            <w:pPr>
              <w:pStyle w:val="Normal"/>
              <w:spacing w:lineRule="auto" w:line="240" w:before="0" w:after="0"/>
              <w:jc w:val="center"/>
              <w:rPr>
                <w:rFonts w:eastAsia="Times New Roman" w:cs="Arial" w:ascii="Arial" w:hAnsi="Arial"/>
                <w:b/>
                <w:bCs/>
                <w:sz w:val="16"/>
                <w:szCs w:val="16"/>
                <w:lang w:eastAsia="cs-CZ"/>
              </w:rPr>
            </w:pPr>
            <w:r>
              <w:rPr>
                <w:rFonts w:eastAsia="Times New Roman" w:cs="Arial" w:ascii="Arial" w:hAnsi="Arial"/>
                <w:sz w:val="16"/>
                <w:szCs w:val="16"/>
                <w:lang w:eastAsia="cs-CZ"/>
              </w:rPr>
              <w:t>dále jako</w:t>
            </w:r>
            <w:r>
              <w:rPr>
                <w:rFonts w:eastAsia="Times New Roman" w:cs="Arial" w:ascii="Arial" w:hAnsi="Arial"/>
                <w:b/>
                <w:bCs/>
                <w:sz w:val="16"/>
                <w:szCs w:val="16"/>
                <w:lang w:eastAsia="cs-CZ"/>
              </w:rPr>
              <w:t xml:space="preserve"> kupující</w:t>
            </w:r>
          </w:p>
        </w:tc>
        <w:tc>
          <w:tcPr>
            <w:tcW w:w="471" w:type="dxa"/>
            <w:gridSpan w:val="2"/>
            <w:tcBorders>
              <w:top w:val="nil"/>
              <w:left w:val="nil"/>
              <w:bottom w:val="nil"/>
              <w:insideH w:val="nil"/>
              <w:right w:val="single" w:sz="4" w:space="0" w:color="00000A"/>
              <w:insideV w:val="single" w:sz="4" w:space="0" w:color="00000A"/>
            </w:tcBorders>
            <w:shd w:fill="F2F2F2"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75" w:hRule="atLeast"/>
          <w:cantSplit w:val="false"/>
        </w:trPr>
        <w:tc>
          <w:tcPr>
            <w:tcW w:w="273" w:type="dxa"/>
            <w:tcBorders>
              <w:top w:val="nil"/>
              <w:left w:val="single" w:sz="4" w:space="0" w:color="00000A"/>
              <w:bottom w:val="single" w:sz="4" w:space="0" w:color="00000A"/>
              <w:insideH w:val="single" w:sz="4" w:space="0" w:color="00000A"/>
              <w:right w:val="nil"/>
              <w:insideV w:val="nil"/>
            </w:tcBorders>
            <w:shd w:fill="F2F2F2" w:val="clear"/>
            <w:tcMar>
              <w:left w:w="65" w:type="dxa"/>
            </w:tcM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984"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single" w:sz="4" w:space="0" w:color="00000A"/>
              <w:bottom w:val="single" w:sz="4" w:space="0" w:color="00000A"/>
              <w:insideH w:val="single" w:sz="4" w:space="0" w:color="00000A"/>
              <w:right w:val="nil"/>
              <w:insideV w:val="nil"/>
            </w:tcBorders>
            <w:shd w:fill="F2F2F2" w:val="clear"/>
            <w:tcMar>
              <w:left w:w="65" w:type="dxa"/>
            </w:tcM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single" w:sz="4" w:space="0" w:color="00000A"/>
              <w:insideH w:val="single" w:sz="4" w:space="0" w:color="00000A"/>
              <w:right w:val="single" w:sz="4" w:space="0" w:color="00000A"/>
              <w:insideV w:val="single" w:sz="4" w:space="0" w:color="00000A"/>
            </w:tcBorders>
            <w:shd w:fill="F2F2F2" w:val="clear"/>
            <w:vAlign w:val="bottom"/>
          </w:tcPr>
          <w:p>
            <w:pPr>
              <w:pStyle w:val="Normal"/>
              <w:spacing w:lineRule="auto" w:line="240" w:before="0" w:after="0"/>
              <w:jc w:val="right"/>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9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center"/>
          </w:tcPr>
          <w:p>
            <w:pPr>
              <w:pStyle w:val="Normal"/>
              <w:spacing w:lineRule="auto" w:line="240" w:before="0" w:after="0"/>
              <w:rPr>
                <w:rFonts w:eastAsia="Times New Roman" w:cs="Arial" w:ascii="Arial" w:hAnsi="Arial"/>
                <w:color w:val="FFFFFF"/>
                <w:sz w:val="16"/>
                <w:szCs w:val="16"/>
                <w:lang w:eastAsia="cs-CZ"/>
              </w:rPr>
            </w:pPr>
            <w:r>
              <w:rPr>
                <w:rFonts w:eastAsia="Times New Roman" w:cs="Arial" w:ascii="Arial" w:hAnsi="Arial"/>
                <w:color w:val="FFFFFF"/>
                <w:sz w:val="16"/>
                <w:szCs w:val="16"/>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8"/>
                <w:szCs w:val="18"/>
                <w:lang w:eastAsia="cs-CZ"/>
              </w:rPr>
            </w:pPr>
            <w:r>
              <w:rPr>
                <w:rFonts w:eastAsia="Times New Roman" w:cs="Arial" w:ascii="Arial" w:hAnsi="Arial"/>
                <w:b/>
                <w:bCs/>
                <w:sz w:val="18"/>
                <w:szCs w:val="18"/>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I. Předmět smlouvy</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46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Fiat Ducato Light 2,3 MTJ 150k 33 L2H2 Combi E6 ve specifikaci uvedené v nabídce č. 1866, která je přílohou této smlouvy a její nedílnou součástí</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19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bookmarkStart w:id="0" w:name="_GoBack"/>
            <w:bookmarkEnd w:id="0"/>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II. Dodací lhůta</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915" w:hRule="atLeast"/>
          <w:cantSplit w:val="false"/>
        </w:trPr>
        <w:tc>
          <w:tcPr>
            <w:tcW w:w="273" w:type="dxa"/>
            <w:tcBorders>
              <w:top w:val="nil"/>
              <w:left w:val="single" w:sz="4" w:space="0" w:color="00000A"/>
              <w:bottom w:val="nil"/>
              <w:insideH w:val="nil"/>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sz w:val="16"/>
                <w:szCs w:val="16"/>
                <w:lang w:eastAsia="cs-CZ"/>
              </w:rPr>
              <w:t xml:space="preserve">Prodávající se na základě této smlouvy zavazuje kupujícímu odevzdat předmět koupě a umožnit mu nabýt vlastnické právo k tomuto předmětu koupě a kupující se zavazuje předmět koupě převzít a zaplatit prodávajícímu kupní cenu. Předmět koupě bude předán kupujícímu po podpisu této kupní smlouvy prodávajícím a kupujícím. Prodávající se zavazuje dodat předmět koupě nejpozději do </w:t>
            </w:r>
            <w:r>
              <w:rPr>
                <w:rFonts w:eastAsia="Times New Roman" w:cs="Arial" w:ascii="Arial" w:hAnsi="Arial"/>
                <w:b/>
                <w:bCs/>
                <w:sz w:val="16"/>
                <w:szCs w:val="16"/>
                <w:lang w:eastAsia="cs-CZ"/>
              </w:rPr>
              <w:t>30.11.2016.</w:t>
            </w:r>
          </w:p>
        </w:tc>
        <w:tc>
          <w:tcPr>
            <w:tcW w:w="470" w:type="dxa"/>
            <w:tcBorders>
              <w:top w:val="nil"/>
              <w:left w:val="nil"/>
              <w:bottom w:val="nil"/>
              <w:insideH w:val="nil"/>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705" w:hRule="atLeast"/>
          <w:cantSplit w:val="false"/>
        </w:trPr>
        <w:tc>
          <w:tcPr>
            <w:tcW w:w="273" w:type="dxa"/>
            <w:tcBorders>
              <w:top w:val="single" w:sz="4" w:space="0" w:color="FFFFFF"/>
              <w:left w:val="single" w:sz="4" w:space="0" w:color="00000A"/>
              <w:bottom w:val="nil"/>
              <w:insideH w:val="nil"/>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 xml:space="preserve">Místem předání předmětu koupě je město Mašťov. Nebezpečí škody na předmětu koupě přechází na kupujícího okamžikem převzetí zboží kupujícím. Převzetí zboží se rozumí podpis předávacího protokolu jak kupujícím tak prodávajícím. </w:t>
            </w:r>
          </w:p>
        </w:tc>
        <w:tc>
          <w:tcPr>
            <w:tcW w:w="470" w:type="dxa"/>
            <w:tcBorders>
              <w:top w:val="single" w:sz="4" w:space="0" w:color="FFFFFF"/>
              <w:left w:val="nil"/>
              <w:bottom w:val="nil"/>
              <w:insideH w:val="nil"/>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435" w:hRule="atLeast"/>
          <w:cantSplit w:val="false"/>
        </w:trPr>
        <w:tc>
          <w:tcPr>
            <w:tcW w:w="273" w:type="dxa"/>
            <w:tcBorders>
              <w:top w:val="single" w:sz="4" w:space="0" w:color="FFFFFF"/>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Prodávající odevzdá při předání předmětu koupě kupujícímu následující dokumenty:</w:t>
              <w:br/>
              <w:t>- fakturu, jako daňový doklad na předmět koupě, jako doklad pro přihlášení vozidla</w:t>
            </w:r>
          </w:p>
        </w:tc>
        <w:tc>
          <w:tcPr>
            <w:tcW w:w="470" w:type="dxa"/>
            <w:tcBorders>
              <w:top w:val="single" w:sz="4" w:space="0" w:color="FFFFFF"/>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4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předávací protokol, návod k obsluze nebo jiný popis předmětu koupě, doklad o trvání a podmínkách záruční doby</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dále příslušné doklady a věci nutné k převzetí a užívání předmětu koupě</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19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III. Kupní cena</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xml:space="preserve">Kupní cena předmětu koupě byla stanovena  v celkové výši </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9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51" w:type="dxa"/>
            <w:gridSpan w:val="2"/>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4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xml:space="preserve"> </w:t>
            </w:r>
            <w:r>
              <w:rPr>
                <w:rFonts w:eastAsia="Times New Roman" w:cs="Arial" w:ascii="Arial" w:hAnsi="Arial"/>
                <w:b/>
                <w:bCs/>
                <w:sz w:val="16"/>
                <w:szCs w:val="16"/>
                <w:lang w:eastAsia="cs-CZ"/>
              </w:rPr>
              <w:t>851 888,00 Kč bez DPH, tj. celková cena 1 030 784,00 Kč vč. 21% DPH.</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9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1581"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420"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3" w:type="dxa"/>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4" w:type="dxa"/>
            <w:gridSpan w:val="2"/>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562" w:type="dxa"/>
            <w:gridSpan w:val="2"/>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576"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195"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1051"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851" w:type="dxa"/>
            <w:gridSpan w:val="2"/>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4"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3"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886" w:type="dxa"/>
            <w:gridSpan w:val="3"/>
            <w:tcBorders>
              <w:top w:val="nil"/>
              <w:left w:val="nil"/>
              <w:bottom w:val="single" w:sz="4" w:space="0" w:color="FFFFFF"/>
              <w:insideH w:val="single" w:sz="4" w:space="0" w:color="FFFFFF"/>
              <w:right w:val="nil"/>
              <w:insideV w:val="nil"/>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Změna kupní ceny této smlouvy je možná pouze na základě písemného dodatku k této smlouvě podepsaného oběma smluvními stranami.</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19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IV. Forma úhrady</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752"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Prodávající vystaví daňový doklad za dodávku poptávaného vybavení se splatností 30 dní po předání a převzetí předmětu zakázky na základě předávacího protokolu. Platba bude probíhat zásadně bezhotovostním způsobem na účet prodávajícího. Platba za provádění díla proběhne na základě daňového dokladu vystaveného prodávajícím kupujícímu. Tento daňový doklad (faktura) bude splňovat veškeré zákonem stanovené náležitosti daňového dokladu. Platby budou probíhat výhradně v Kč a rovněž veškeré cenové údaje budou v této měně. Faktura bude mít náležitosti daňového dokladu podle zákona č. 563/1991 Sb., o účetnictví, ve znění pozdějších předpisů a zákona č. 235/2004 Sb., o dani z přidané hodnoty, ve znění pozdějších předpisů. Kupující má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V. Sankce</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12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V případě, že kupující nebude včas a řádně hradit všechny závazky vyplývající z této kupní smlouvy, je prodávající oprávněn při zpoždění větším než pět kalendářních dní účtovat smluvní pokutu za každý den prodlení ve výši 0,03% z celkové kupní ceny. V případě, že kupující neuhradí své závazky vyplývající z této kupní smlouvy do 5ti dnů po době jejich splatnosti, je prodávající oprávněn tuto smlouvu jednostranně vypovědět a veškeré prostředky do té doby kupujícím zaplacené jsou považovány a rovny výši takto stanovené smluvní pokutě.</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91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xml:space="preserve">V případě, že kupující neuhradí své závazky vyplývající z této kupní smlouvy do 30ti dnů po době jejich splatnosti, je prodávající oprávněn tuto smlouvu jednostranně vypovědět. </w:t>
              <w:br/>
              <w:t>V případě prodlení s dodávkou předmětu koupě této smlouvy delším jak 60 dní po sjednaném termínu, má kupující právo odstoupit od smlouvy</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VI. Záruka a záruční podmínky</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12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 xml:space="preserve">Délka záruky na dodanou techniku (mechanické části bez omezení počtu kilometrů) činí 24 měsíců, od data podpisu předávacího protokolu. Prodávající odpovídá kupujícímu za případné právní vady váznoucí na dodaném vybavení. </w:t>
              <w:br/>
              <w:t>Kontaktní údaje v případě závad na dodané technice: Stanislav Nedvěd, tel.: 602 242 726, email: nedved@profiautocz.cz; PROFI AUTO CZ a.s., servis FIAT, tel.: 602 242 726, email: fiatservis@profiautocz.cz; CIAOFIAT Assistance tel.: 800 200 233.</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338"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Ostatní záruční podmínky se řídí standarty FIAT.</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503"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Kupující se zavazuje používat předmět koupě pouze v souladu s jeho určením a dodržovat pokyny dané návodem k obsluze. Jestliže nebude zboží používáno v souladu s jeho určením, neručí prodávající za vzniklé vady a na dodané zboží se nevztahují záruční podmínky.</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9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VII. Ostatní ujednání</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Odpovědnost za škody na předmětu koupě přechází na kupujícího okamžikem převzetí předmětu koupě od prodávajícího.</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Kupující hradí povinné ručení ode dne převzetí vozidla dle předávacího protokolu.</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Silniční daň a další náklady vyplývající z provozu uvedeného vozidla hradí přímo kupující.</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99"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VIII. Závěrečná ustanovení</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792"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xml:space="preserve">Prodávající podpisem této smlouvy akceptuje požadavky kupujícího uvedené v zadávací dokumentaci "Dopravní automobil pro JSDHO Mašťov". </w:t>
              <w:br/>
              <w:t>Prodávající vedle shora uvedeného akceptuje ustanovení zákona, občanského zákoníku a dalších právních předpisů, které se vztahují k plnění veřejné zakázky  "Dopravní automobil pro JSDHO Mašťov".</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8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240"/>
              <w:jc w:val="both"/>
              <w:rPr>
                <w:rFonts w:eastAsia="Times New Roman" w:cs="Arial" w:ascii="Arial" w:hAnsi="Arial"/>
                <w:sz w:val="16"/>
                <w:szCs w:val="16"/>
                <w:lang w:eastAsia="cs-CZ"/>
              </w:rPr>
            </w:pPr>
            <w:r>
              <w:rPr>
                <w:rFonts w:eastAsia="Times New Roman" w:cs="Arial" w:ascii="Arial" w:hAnsi="Arial"/>
                <w:sz w:val="16"/>
                <w:szCs w:val="16"/>
                <w:lang w:eastAsia="cs-CZ"/>
              </w:rPr>
              <w:t>Žádná vedlejší ústní ujednání k této smlouvě nebyla učiněna. Změny nebo doplňky této smlouvy musí být provedeny písemnou formou.</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75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Smluvní strany sjednávají, že zaplacením smluvní pokuty podle této smlouvy není dotčeno právo prodávajícího domáhat se náhrady škody nebo jiných práv vzniklých dle této smlouvy nebo ze zákona, jež mohou být uplatňována samostatně a v rozsahu, v jakém převyšují smluvní pokutu. Strany vylučují aplikaci ustanovení § 2050 Občanského zákoníku.</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46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Kupující se tímto vzdává práva na snížení smluvních pokut splatných podle této smlouvy. V důsledku vyloučení ustanovení § 1805 Občanského zákoníku je prodávající oprávněn vyžadovat úhradu celé částky úroků z prodlení bez ohledu na skutečnost, že převyšují částku jistiny dluhu.</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41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Kupující není oprávněn převést nebo postoupit své závazky nebo práva či pohledávky vzniklé na základě této smlouvy (dále jen „převod“) bez předchozího písemného souhlasu prodávajícího. Převod rovněž zahrnuje jakýkoliv případ prodeje nebo nájmu podniku kupujícího a jakýkoliv případ přeměny ve smyslu zákona č. 125/2008 Sb., o přeměnách obchodních společností a družstev. Takový převod nesmí zprostit kupujícího od jakéhokoliv závazku z této smlouvy. Prodávající je oprávněn převézt svá práva či povinnosti a/nebo postoupit své pohledávky vzniklé na základě této smlouvy a kupující s takovým převodem a/nebo postoupením předem neodvolatelně souhlasí. Kupující se tímto vzdává práva na odmítnutí osvobození postupitele vůči prodávajícímu podle § 1899 Občanského zákoníku.</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73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Pokud se kterékoli ustanovení této smlouvy stane neplatným nebo nevymahatelným nebo pouze zdánlivým, ostatní ustanovení zůstanou v plné platnosti a účinnosti a strany nahradí toto neplatné nebo nevymahatelné nebo zdánlivé ustanovení jiným ustanovením, jež bude co nejbližší původnímu záměru smluvních stran.</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52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Smluvní strany se dohodly, že pokud neupravuje tato smlouva smluvní vztahy jinak, řídí se smluvní vztahy ustanoveními občanského zákoníku v platném znění.</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Nedílnou součást této smlouvy tvoří její přílohy.</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540"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10635" w:type="dxa"/>
            <w:gridSpan w:val="37"/>
            <w:tcBorders>
              <w:top w:val="single" w:sz="4" w:space="0" w:color="FFFFFF"/>
              <w:left w:val="nil"/>
              <w:bottom w:val="single" w:sz="4" w:space="0" w:color="FFFFFF"/>
              <w:insideH w:val="single" w:sz="4" w:space="0" w:color="FFFFFF"/>
              <w:right w:val="single" w:sz="4" w:space="0" w:color="FFFFFF"/>
              <w:insideV w:val="single" w:sz="4" w:space="0" w:color="FFFFFF"/>
            </w:tcBorders>
            <w:shd w:fill="FFFFFF" w:val="clear"/>
          </w:tcPr>
          <w:p>
            <w:pPr>
              <w:pStyle w:val="Normal"/>
              <w:spacing w:lineRule="auto" w:line="240" w:before="0" w:after="0"/>
              <w:jc w:val="both"/>
              <w:rPr>
                <w:rFonts w:eastAsia="Times New Roman" w:cs="Arial" w:ascii="Arial" w:hAnsi="Arial"/>
                <w:sz w:val="16"/>
                <w:szCs w:val="16"/>
                <w:lang w:eastAsia="cs-CZ"/>
              </w:rPr>
            </w:pPr>
            <w:r>
              <w:rPr>
                <w:rFonts w:eastAsia="Times New Roman" w:cs="Arial" w:ascii="Arial" w:hAnsi="Arial"/>
                <w:sz w:val="16"/>
                <w:szCs w:val="16"/>
                <w:lang w:eastAsia="cs-CZ"/>
              </w:rPr>
              <w:t>Tato smlouva je vyhotovena ve dvou stejnopisech. Každá smluvní strana obdrží po jednom výtisku. Smluvní strany prohlašují, že se s obsahem smlouvy seznámily a že smlouva je projevem jejich svobodné vůle. Na důkaz toho pod smlouvou připojují své podpisy.</w:t>
            </w:r>
          </w:p>
        </w:tc>
        <w:tc>
          <w:tcPr>
            <w:tcW w:w="470" w:type="dxa"/>
            <w:tcBorders>
              <w:top w:val="nil"/>
              <w:left w:val="nil"/>
              <w:bottom w:val="single" w:sz="4" w:space="0" w:color="FFFFFF"/>
              <w:insideH w:val="single" w:sz="4" w:space="0" w:color="FFFFFF"/>
              <w:right w:val="single" w:sz="4" w:space="0" w:color="00000A"/>
              <w:insideV w:val="single" w:sz="4" w:space="0" w:color="00000A"/>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IX. Přílohy</w:t>
            </w:r>
          </w:p>
        </w:tc>
        <w:tc>
          <w:tcPr>
            <w:tcW w:w="1581"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single" w:sz="4" w:space="0" w:color="FFFFFF"/>
              <w:insideH w:val="single" w:sz="4" w:space="0" w:color="FFFFFF"/>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3689" w:type="dxa"/>
            <w:gridSpan w:val="5"/>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1. Nabídka č. 1866 - užitkové automobily</w:t>
            </w:r>
          </w:p>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r>
          </w:p>
        </w:tc>
        <w:tc>
          <w:tcPr>
            <w:tcW w:w="704"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6"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0"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7" w:type="dxa"/>
            <w:gridSpan w:val="3"/>
            <w:tcBorders>
              <w:top w:val="nil"/>
              <w:left w:val="nil"/>
              <w:bottom w:val="single" w:sz="4" w:space="0" w:color="FFFFFF"/>
              <w:insideH w:val="single" w:sz="4" w:space="0" w:color="FFFFFF"/>
              <w:right w:val="single" w:sz="4" w:space="0" w:color="FFFFFF"/>
              <w:insideV w:val="single" w:sz="4" w:space="0" w:color="FFFFFF"/>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FFFFFF"/>
              <w:insideH w:val="single" w:sz="4" w:space="0" w:color="FFFFFF"/>
              <w:right w:val="nil"/>
              <w:insideV w:val="nil"/>
            </w:tcBorders>
            <w:shd w:fill="FFFFFF" w:val="cle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4" w:type="dxa"/>
            <w:gridSpan w:val="5"/>
            <w:tcBorders>
              <w:top w:val="nil"/>
              <w:left w:val="single" w:sz="4" w:space="0" w:color="FFFFFF"/>
              <w:bottom w:val="single" w:sz="4" w:space="0" w:color="FFFFFF"/>
              <w:insideH w:val="single" w:sz="4" w:space="0" w:color="FFFFFF"/>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75" w:hRule="atLeast"/>
          <w:cantSplit w:val="false"/>
        </w:trPr>
        <w:tc>
          <w:tcPr>
            <w:tcW w:w="273" w:type="dxa"/>
            <w:tcBorders>
              <w:top w:val="nil"/>
              <w:left w:val="single" w:sz="4" w:space="0" w:color="00000A"/>
              <w:bottom w:val="single" w:sz="4" w:space="0" w:color="00000A"/>
              <w:insideH w:val="single" w:sz="4" w:space="0" w:color="00000A"/>
              <w:right w:val="single" w:sz="4" w:space="0" w:color="FFFFFF"/>
              <w:insideV w:val="single" w:sz="4" w:space="0" w:color="FFFFFF"/>
            </w:tcBorders>
            <w:shd w:fill="FFFFFF"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984" w:type="dxa"/>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12"/>
                <w:szCs w:val="12"/>
                <w:lang w:eastAsia="cs-CZ"/>
              </w:rPr>
            </w:pPr>
            <w:r>
              <w:rPr>
                <w:rFonts w:eastAsia="Times New Roman" w:cs="Arial" w:ascii="Arial" w:hAnsi="Arial"/>
                <w:sz w:val="12"/>
                <w:szCs w:val="12"/>
                <w:lang w:eastAsia="cs-CZ"/>
              </w:rPr>
              <w:t> </w:t>
            </w:r>
          </w:p>
        </w:tc>
        <w:tc>
          <w:tcPr>
            <w:tcW w:w="1581" w:type="dxa"/>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single" w:sz="4" w:space="0" w:color="00000A"/>
              <w:insideH w:val="single" w:sz="4" w:space="0" w:color="00000A"/>
              <w:right w:val="single" w:sz="4" w:space="0" w:color="FFFFFF"/>
              <w:insideV w:val="single" w:sz="4" w:space="0" w:color="FFFFFF"/>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single" w:sz="4" w:space="0" w:color="FFFFFF"/>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300"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x</w:t>
            </w:r>
          </w:p>
        </w:tc>
        <w:tc>
          <w:tcPr>
            <w:tcW w:w="2565" w:type="dxa"/>
            <w:gridSpan w:val="2"/>
            <w:tcBorders>
              <w:top w:val="single" w:sz="4" w:space="0" w:color="00000A"/>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V Říčanech dne:</w:t>
            </w:r>
            <w:r>
              <w:rPr>
                <w:rFonts w:eastAsia="Times New Roman" w:cs="Arial" w:ascii="Arial" w:hAnsi="Arial"/>
                <w:sz w:val="14"/>
                <w:szCs w:val="14"/>
                <w:lang w:eastAsia="cs-CZ"/>
              </w:rPr>
              <w:t>12.9.2016</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267" w:type="dxa"/>
            <w:gridSpan w:val="5"/>
            <w:tcBorders>
              <w:top w:val="single" w:sz="4" w:space="0" w:color="00000A"/>
              <w:left w:val="nil"/>
              <w:bottom w:val="nil"/>
              <w:insideH w:val="nil"/>
              <w:right w:val="nil"/>
              <w:insideV w:val="nil"/>
            </w:tcBorders>
            <w:shd w:fill="F2F2F2" w:val="clear"/>
            <w:vAlign w:val="bottom"/>
          </w:tcPr>
          <w:p>
            <w:pPr>
              <w:pStyle w:val="Normal"/>
              <w:spacing w:lineRule="auto" w:line="240" w:before="0" w:after="0"/>
              <w:jc w:val="right"/>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jc w:val="right"/>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19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1902" w:type="dxa"/>
            <w:gridSpan w:val="6"/>
            <w:tcBorders>
              <w:top w:val="single" w:sz="4" w:space="0" w:color="00000A"/>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14"/>
                <w:szCs w:val="14"/>
                <w:lang w:eastAsia="cs-CZ"/>
              </w:rPr>
            </w:pPr>
            <w:r>
              <w:rPr>
                <w:rFonts w:eastAsia="Times New Roman" w:cs="Arial" w:ascii="Arial" w:hAnsi="Arial"/>
                <w:sz w:val="14"/>
                <w:szCs w:val="14"/>
                <w:lang w:eastAsia="cs-CZ"/>
              </w:rPr>
              <w:t>V Mašťově dne:</w:t>
            </w:r>
            <w:r>
              <w:rPr>
                <w:rFonts w:eastAsia="Times New Roman" w:cs="Arial" w:ascii="Arial" w:hAnsi="Arial"/>
                <w:sz w:val="14"/>
                <w:szCs w:val="14"/>
                <w:lang w:eastAsia="cs-CZ"/>
              </w:rPr>
              <w:t>12.9.2016</w:t>
            </w:r>
          </w:p>
        </w:tc>
        <w:tc>
          <w:tcPr>
            <w:tcW w:w="704"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2069" w:type="dxa"/>
            <w:gridSpan w:val="11"/>
            <w:tcBorders>
              <w:top w:val="single" w:sz="4" w:space="0" w:color="00000A"/>
              <w:left w:val="nil"/>
              <w:bottom w:val="nil"/>
              <w:insideH w:val="nil"/>
              <w:right w:val="single" w:sz="4" w:space="0" w:color="000001"/>
              <w:insideV w:val="single" w:sz="4" w:space="0" w:color="000001"/>
            </w:tcBorders>
            <w:shd w:fill="F2F2F2" w:val="clear"/>
            <w:vAlign w:val="bottom"/>
          </w:tcPr>
          <w:p>
            <w:pPr>
              <w:pStyle w:val="Normal"/>
              <w:spacing w:lineRule="auto" w:line="240" w:before="0" w:after="0"/>
              <w:jc w:val="right"/>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581"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62"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051"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51" w:type="dxa"/>
            <w:gridSpan w:val="2"/>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3"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88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4956" w:type="dxa"/>
            <w:gridSpan w:val="1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906" w:type="dxa"/>
            <w:gridSpan w:val="2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1" w:type="dxa"/>
            <w:gridSpan w:val="2"/>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55"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4956" w:type="dxa"/>
            <w:gridSpan w:val="1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b/>
                <w:bCs/>
                <w:sz w:val="16"/>
                <w:szCs w:val="16"/>
                <w:lang w:eastAsia="cs-CZ"/>
              </w:rPr>
            </w:pPr>
            <w:r>
              <w:rPr>
                <w:rFonts w:eastAsia="Times New Roman" w:cs="Arial" w:ascii="Arial" w:hAnsi="Arial"/>
                <w:sz w:val="16"/>
                <w:szCs w:val="16"/>
                <w:lang w:eastAsia="cs-CZ"/>
              </w:rPr>
              <w:t xml:space="preserve">za </w:t>
            </w:r>
            <w:r>
              <w:rPr>
                <w:rFonts w:eastAsia="Times New Roman" w:cs="Arial" w:ascii="Arial" w:hAnsi="Arial"/>
                <w:b/>
                <w:bCs/>
                <w:sz w:val="16"/>
                <w:szCs w:val="16"/>
                <w:lang w:eastAsia="cs-CZ"/>
              </w:rPr>
              <w:t>prodávajícího</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906" w:type="dxa"/>
            <w:gridSpan w:val="2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b/>
                <w:bCs/>
                <w:sz w:val="16"/>
                <w:szCs w:val="16"/>
                <w:lang w:eastAsia="cs-CZ"/>
              </w:rPr>
            </w:pPr>
            <w:r>
              <w:rPr>
                <w:rFonts w:eastAsia="Times New Roman" w:cs="Arial" w:ascii="Arial" w:hAnsi="Arial"/>
                <w:b/>
                <w:bCs/>
                <w:sz w:val="16"/>
                <w:szCs w:val="16"/>
                <w:lang w:eastAsia="cs-CZ"/>
              </w:rPr>
              <w:t>za kupujícího</w:t>
            </w:r>
          </w:p>
        </w:tc>
        <w:tc>
          <w:tcPr>
            <w:tcW w:w="471" w:type="dxa"/>
            <w:gridSpan w:val="2"/>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10"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4956" w:type="dxa"/>
            <w:gridSpan w:val="1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JUDr. Jaromír Mlejnský</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906" w:type="dxa"/>
            <w:gridSpan w:val="2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Zdeněk Laštovka, starosta města</w:t>
            </w:r>
          </w:p>
        </w:tc>
        <w:tc>
          <w:tcPr>
            <w:tcW w:w="471" w:type="dxa"/>
            <w:gridSpan w:val="2"/>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10"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4956" w:type="dxa"/>
            <w:gridSpan w:val="1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na základě plné moci</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6"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906" w:type="dxa"/>
            <w:gridSpan w:val="2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1" w:type="dxa"/>
            <w:gridSpan w:val="2"/>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210" w:hRule="atLeast"/>
          <w:cantSplit w:val="false"/>
        </w:trPr>
        <w:tc>
          <w:tcPr>
            <w:tcW w:w="273" w:type="dxa"/>
            <w:tcBorders>
              <w:top w:val="nil"/>
              <w:left w:val="single" w:sz="4" w:space="0" w:color="00000A"/>
              <w:bottom w:val="nil"/>
              <w:insideH w:val="nil"/>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20" w:type="dxa"/>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4" w:type="dxa"/>
            <w:gridSpan w:val="2"/>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195" w:type="dxa"/>
            <w:gridSpan w:val="3"/>
            <w:tcBorders>
              <w:top w:val="nil"/>
              <w:left w:val="nil"/>
              <w:bottom w:val="nil"/>
              <w:insideH w:val="nil"/>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907" w:type="dxa"/>
            <w:gridSpan w:val="20"/>
            <w:tcBorders>
              <w:top w:val="nil"/>
              <w:left w:val="nil"/>
              <w:bottom w:val="nil"/>
              <w:insideH w:val="nil"/>
              <w:right w:val="nil"/>
              <w:insideV w:val="nil"/>
            </w:tcBorders>
            <w:shd w:fill="F2F2F2" w:val="clear"/>
            <w:vAlign w:val="bottom"/>
          </w:tcPr>
          <w:p>
            <w:pPr>
              <w:pStyle w:val="Normal"/>
              <w:spacing w:lineRule="auto" w:line="240" w:before="0" w:after="0"/>
              <w:jc w:val="center"/>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473" w:type="dxa"/>
            <w:gridSpan w:val="4"/>
            <w:tcBorders>
              <w:top w:val="nil"/>
              <w:left w:val="nil"/>
              <w:bottom w:val="nil"/>
              <w:insideH w:val="nil"/>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r>
        <w:trPr>
          <w:trHeight w:val="120" w:hRule="atLeast"/>
          <w:cantSplit w:val="false"/>
        </w:trPr>
        <w:tc>
          <w:tcPr>
            <w:tcW w:w="273" w:type="dxa"/>
            <w:tcBorders>
              <w:top w:val="nil"/>
              <w:left w:val="single" w:sz="4" w:space="0" w:color="00000A"/>
              <w:bottom w:val="single" w:sz="4" w:space="0" w:color="00000A"/>
              <w:insideH w:val="single" w:sz="4" w:space="0" w:color="00000A"/>
              <w:right w:val="nil"/>
              <w:insideV w:val="nil"/>
            </w:tcBorders>
            <w:shd w:fill="F2F2F2" w:val="clear"/>
            <w:tcMar>
              <w:left w:w="65" w:type="dxa"/>
            </w:tcMar>
            <w:vAlign w:val="bottom"/>
          </w:tcPr>
          <w:p>
            <w:pPr>
              <w:pStyle w:val="Normal"/>
              <w:spacing w:lineRule="auto" w:line="240" w:before="0" w:after="0"/>
              <w:rPr>
                <w:rFonts w:eastAsia="Times New Roman" w:cs="Arial" w:ascii="Arial" w:hAnsi="Arial"/>
                <w:color w:val="FFFFFF"/>
                <w:sz w:val="20"/>
                <w:szCs w:val="20"/>
                <w:lang w:eastAsia="cs-CZ"/>
              </w:rPr>
            </w:pPr>
            <w:r>
              <w:rPr>
                <w:rFonts w:eastAsia="Times New Roman" w:cs="Arial" w:ascii="Arial" w:hAnsi="Arial"/>
                <w:color w:val="FFFFFF"/>
                <w:sz w:val="20"/>
                <w:szCs w:val="20"/>
                <w:lang w:eastAsia="cs-CZ"/>
              </w:rPr>
              <w:t> </w:t>
            </w:r>
          </w:p>
        </w:tc>
        <w:tc>
          <w:tcPr>
            <w:tcW w:w="984"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jc w:val="right"/>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581"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20"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3" w:type="dxa"/>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4" w:type="dxa"/>
            <w:gridSpan w:val="2"/>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62" w:type="dxa"/>
            <w:gridSpan w:val="2"/>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576" w:type="dxa"/>
            <w:gridSpan w:val="3"/>
            <w:tcBorders>
              <w:top w:val="nil"/>
              <w:left w:val="nil"/>
              <w:bottom w:val="single" w:sz="4" w:space="0" w:color="00000A"/>
              <w:insideH w:val="single" w:sz="4" w:space="0" w:color="00000A"/>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95"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1051"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jc w:val="right"/>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51" w:type="dxa"/>
            <w:gridSpan w:val="2"/>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b/>
                <w:bCs/>
                <w:sz w:val="16"/>
                <w:szCs w:val="16"/>
                <w:lang w:eastAsia="cs-CZ"/>
              </w:rPr>
            </w:pPr>
            <w:r>
              <w:rPr>
                <w:rFonts w:eastAsia="Times New Roman" w:cs="Arial" w:ascii="Arial" w:hAnsi="Arial"/>
                <w:b/>
                <w:bCs/>
                <w:sz w:val="16"/>
                <w:szCs w:val="16"/>
                <w:lang w:eastAsia="cs-CZ"/>
              </w:rPr>
              <w:t> </w:t>
            </w:r>
          </w:p>
        </w:tc>
        <w:tc>
          <w:tcPr>
            <w:tcW w:w="704"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703"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16"/>
                <w:szCs w:val="16"/>
                <w:lang w:eastAsia="cs-CZ"/>
              </w:rPr>
            </w:pPr>
            <w:r>
              <w:rPr>
                <w:rFonts w:eastAsia="Times New Roman" w:cs="Arial" w:ascii="Arial" w:hAnsi="Arial"/>
                <w:sz w:val="16"/>
                <w:szCs w:val="16"/>
                <w:lang w:eastAsia="cs-CZ"/>
              </w:rPr>
              <w:t> </w:t>
            </w:r>
          </w:p>
        </w:tc>
        <w:tc>
          <w:tcPr>
            <w:tcW w:w="886" w:type="dxa"/>
            <w:gridSpan w:val="3"/>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709" w:type="dxa"/>
            <w:gridSpan w:val="4"/>
            <w:tcBorders>
              <w:top w:val="nil"/>
              <w:left w:val="nil"/>
              <w:bottom w:val="single" w:sz="4" w:space="0" w:color="00000A"/>
              <w:insideH w:val="single" w:sz="4" w:space="0" w:color="00000A"/>
              <w:right w:val="nil"/>
              <w:insideV w:val="nil"/>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c>
          <w:tcPr>
            <w:tcW w:w="476" w:type="dxa"/>
            <w:gridSpan w:val="6"/>
            <w:tcBorders>
              <w:top w:val="nil"/>
              <w:left w:val="nil"/>
              <w:bottom w:val="single" w:sz="4" w:space="0" w:color="00000A"/>
              <w:insideH w:val="single" w:sz="4" w:space="0" w:color="00000A"/>
              <w:right w:val="single" w:sz="4" w:space="0" w:color="00000A"/>
              <w:insideV w:val="single" w:sz="4" w:space="0" w:color="00000A"/>
            </w:tcBorders>
            <w:shd w:fill="F2F2F2" w:val="clear"/>
            <w:vAlign w:val="bottom"/>
          </w:tcPr>
          <w:p>
            <w:pPr>
              <w:pStyle w:val="Normal"/>
              <w:spacing w:lineRule="auto" w:line="240" w:before="0" w:after="0"/>
              <w:rPr>
                <w:rFonts w:eastAsia="Times New Roman" w:cs="Arial" w:ascii="Arial" w:hAnsi="Arial"/>
                <w:sz w:val="20"/>
                <w:szCs w:val="20"/>
                <w:lang w:eastAsia="cs-CZ"/>
              </w:rPr>
            </w:pPr>
            <w:r>
              <w:rPr>
                <w:rFonts w:eastAsia="Times New Roman" w:cs="Arial" w:ascii="Arial" w:hAnsi="Arial"/>
                <w:sz w:val="20"/>
                <w:szCs w:val="20"/>
                <w:lang w:eastAsia="cs-CZ"/>
              </w:rPr>
              <w:t> </w:t>
            </w:r>
          </w:p>
        </w:tc>
      </w:tr>
    </w:tbl>
    <w:p>
      <w:pPr>
        <w:pStyle w:val="Normal"/>
        <w:rPr/>
      </w:pPr>
      <w:r>
        <w:rPr/>
      </w:r>
    </w:p>
    <w:sectPr>
      <w:type w:val="nextPage"/>
      <w:pgSz w:w="11906" w:h="16838"/>
      <w:pgMar w:left="284" w:right="282" w:header="0" w:top="567"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cs-CZ"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cs-CZ" w:eastAsia="en-US" w:bidi="ar-SA"/>
    </w:rPr>
  </w:style>
  <w:style w:type="character" w:styleId="DefaultParagraphFont" w:default="1">
    <w:name w:val="Default Paragraph Font"/>
    <w:uiPriority w:val="1"/>
    <w:semiHidden/>
    <w:unhideWhenUsed/>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2016-09-13T09:11:00Z</dcterms:created>
  <dc:creator>PROFI AUTO</dc:creator>
  <dc:language>cs-CZ</dc:language>
  <cp:lastModifiedBy>Radka Valentová</cp:lastModifiedBy>
  <dcterms:modified xsi:type="dcterms:W3CDTF">2016-09-13T09:11:00Z</dcterms:modified>
  <cp:revision>2</cp:revision>
</cp:coreProperties>
</file>