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269" w:rsidRPr="00FF3877" w:rsidRDefault="00657269" w:rsidP="00646E3E">
      <w:pPr>
        <w:widowControl w:val="0"/>
        <w:autoSpaceDE w:val="0"/>
        <w:autoSpaceDN w:val="0"/>
        <w:adjustRightInd w:val="0"/>
        <w:jc w:val="center"/>
      </w:pPr>
      <w:r w:rsidRPr="00FF3877">
        <w:rPr>
          <w:b/>
          <w:bCs/>
        </w:rPr>
        <w:t>S</w:t>
      </w:r>
      <w:r w:rsidR="00646E3E">
        <w:rPr>
          <w:b/>
          <w:bCs/>
        </w:rPr>
        <w:t>mlouva</w:t>
      </w:r>
      <w:r w:rsidR="002D3078">
        <w:rPr>
          <w:b/>
          <w:bCs/>
        </w:rPr>
        <w:t xml:space="preserve"> </w:t>
      </w:r>
      <w:r w:rsidR="00646E3E">
        <w:rPr>
          <w:b/>
          <w:bCs/>
        </w:rPr>
        <w:t>o</w:t>
      </w:r>
      <w:r w:rsidR="008759D9" w:rsidRPr="00FF3877">
        <w:rPr>
          <w:b/>
          <w:bCs/>
        </w:rPr>
        <w:t xml:space="preserve"> </w:t>
      </w:r>
      <w:r w:rsidR="00646E3E">
        <w:rPr>
          <w:b/>
          <w:bCs/>
        </w:rPr>
        <w:t xml:space="preserve">úhradě nákladů na pořízení změny č. </w:t>
      </w:r>
      <w:r w:rsidR="002F1299">
        <w:rPr>
          <w:b/>
          <w:bCs/>
        </w:rPr>
        <w:t>2</w:t>
      </w:r>
      <w:r w:rsidR="00646E3E">
        <w:rPr>
          <w:b/>
          <w:bCs/>
        </w:rPr>
        <w:t xml:space="preserve"> Územního plánu </w:t>
      </w:r>
      <w:r w:rsidR="002F1299">
        <w:rPr>
          <w:b/>
          <w:bCs/>
        </w:rPr>
        <w:t>Petrohrad</w:t>
      </w:r>
      <w:r w:rsidR="00691375" w:rsidRPr="00FF3877">
        <w:t xml:space="preserve"> </w:t>
      </w:r>
    </w:p>
    <w:p w:rsidR="00E77B3A" w:rsidRDefault="00E77B3A" w:rsidP="007F655A">
      <w:pPr>
        <w:widowControl w:val="0"/>
        <w:tabs>
          <w:tab w:val="left" w:pos="284"/>
        </w:tabs>
        <w:autoSpaceDE w:val="0"/>
        <w:autoSpaceDN w:val="0"/>
        <w:adjustRightInd w:val="0"/>
        <w:jc w:val="center"/>
        <w:rPr>
          <w:b/>
          <w:bCs/>
        </w:rPr>
      </w:pPr>
    </w:p>
    <w:p w:rsidR="00716113" w:rsidRDefault="00716113" w:rsidP="00716113">
      <w:pPr>
        <w:widowControl w:val="0"/>
        <w:tabs>
          <w:tab w:val="left" w:pos="284"/>
        </w:tabs>
        <w:autoSpaceDE w:val="0"/>
        <w:autoSpaceDN w:val="0"/>
        <w:adjustRightInd w:val="0"/>
        <w:rPr>
          <w:b/>
          <w:bCs/>
        </w:rPr>
      </w:pPr>
      <w:r>
        <w:rPr>
          <w:b/>
          <w:bCs/>
        </w:rPr>
        <w:tab/>
      </w:r>
      <w:r>
        <w:rPr>
          <w:b/>
          <w:bCs/>
        </w:rPr>
        <w:tab/>
      </w:r>
      <w:r>
        <w:rPr>
          <w:b/>
          <w:bCs/>
        </w:rPr>
        <w:tab/>
      </w:r>
      <w:r>
        <w:rPr>
          <w:b/>
          <w:bCs/>
        </w:rPr>
        <w:tab/>
      </w:r>
      <w:r>
        <w:rPr>
          <w:b/>
          <w:bCs/>
        </w:rPr>
        <w:tab/>
        <w:t>Číslo smlouvy:</w:t>
      </w:r>
      <w:r>
        <w:rPr>
          <w:b/>
          <w:bCs/>
        </w:rPr>
        <w:tab/>
      </w:r>
      <w:r w:rsidR="005A52E6">
        <w:rPr>
          <w:b/>
          <w:bCs/>
        </w:rPr>
        <w:t>606/2023</w:t>
      </w:r>
    </w:p>
    <w:p w:rsidR="00F0034B" w:rsidRPr="00FF3877" w:rsidRDefault="00F0034B" w:rsidP="00716113">
      <w:pPr>
        <w:widowControl w:val="0"/>
        <w:tabs>
          <w:tab w:val="left" w:pos="284"/>
        </w:tabs>
        <w:autoSpaceDE w:val="0"/>
        <w:autoSpaceDN w:val="0"/>
        <w:adjustRightInd w:val="0"/>
        <w:rPr>
          <w:b/>
          <w:bCs/>
        </w:rPr>
      </w:pPr>
    </w:p>
    <w:p w:rsidR="00B8465C" w:rsidRPr="00B8465C" w:rsidRDefault="00B8465C" w:rsidP="00B8465C">
      <w:pPr>
        <w:pStyle w:val="Odstavecseseznamem"/>
        <w:widowControl w:val="0"/>
        <w:numPr>
          <w:ilvl w:val="0"/>
          <w:numId w:val="16"/>
        </w:numPr>
        <w:tabs>
          <w:tab w:val="left" w:pos="284"/>
        </w:tabs>
        <w:autoSpaceDE w:val="0"/>
        <w:autoSpaceDN w:val="0"/>
        <w:adjustRightInd w:val="0"/>
        <w:ind w:left="567" w:hanging="567"/>
        <w:jc w:val="center"/>
        <w:rPr>
          <w:b/>
          <w:bCs/>
        </w:rPr>
      </w:pPr>
    </w:p>
    <w:p w:rsidR="00716113" w:rsidRPr="00FF3877" w:rsidRDefault="00657269" w:rsidP="00716113">
      <w:pPr>
        <w:pStyle w:val="Odstavecseseznamem"/>
        <w:widowControl w:val="0"/>
        <w:tabs>
          <w:tab w:val="left" w:pos="284"/>
        </w:tabs>
        <w:autoSpaceDE w:val="0"/>
        <w:autoSpaceDN w:val="0"/>
        <w:adjustRightInd w:val="0"/>
        <w:ind w:left="0"/>
        <w:jc w:val="center"/>
        <w:rPr>
          <w:b/>
          <w:bCs/>
        </w:rPr>
      </w:pPr>
      <w:r w:rsidRPr="00B8465C">
        <w:rPr>
          <w:b/>
          <w:bCs/>
        </w:rPr>
        <w:t>Smluvní strany</w:t>
      </w:r>
    </w:p>
    <w:p w:rsidR="00E77B3A" w:rsidRPr="00FF3877" w:rsidRDefault="00E77B3A" w:rsidP="00657269">
      <w:pPr>
        <w:widowControl w:val="0"/>
        <w:tabs>
          <w:tab w:val="left" w:pos="284"/>
        </w:tabs>
        <w:autoSpaceDE w:val="0"/>
        <w:autoSpaceDN w:val="0"/>
        <w:adjustRightInd w:val="0"/>
        <w:jc w:val="both"/>
        <w:rPr>
          <w:b/>
          <w:bCs/>
        </w:rPr>
      </w:pPr>
    </w:p>
    <w:p w:rsidR="007E70A7" w:rsidRPr="00FF3877" w:rsidRDefault="007E70A7" w:rsidP="007E70A7">
      <w:r w:rsidRPr="00FF3877">
        <w:rPr>
          <w:b/>
        </w:rPr>
        <w:t>Povodí Ohře, státní podnik</w:t>
      </w:r>
      <w:r w:rsidRPr="00FF3877">
        <w:tab/>
        <w:t xml:space="preserve">            Bezručova 4219, 430 03 Chomutov</w:t>
      </w:r>
    </w:p>
    <w:p w:rsidR="007E70A7" w:rsidRPr="00FF3877" w:rsidRDefault="007E70A7" w:rsidP="007E70A7">
      <w:pPr>
        <w:pStyle w:val="Nadpis2"/>
        <w:ind w:left="0"/>
        <w:rPr>
          <w:szCs w:val="24"/>
        </w:rPr>
      </w:pPr>
      <w:r w:rsidRPr="00FF3877">
        <w:rPr>
          <w:szCs w:val="24"/>
        </w:rPr>
        <w:t>Statutární orgán:</w:t>
      </w:r>
      <w:r w:rsidRPr="00FF3877">
        <w:rPr>
          <w:szCs w:val="24"/>
        </w:rPr>
        <w:tab/>
      </w:r>
      <w:r w:rsidRPr="00FF3877">
        <w:rPr>
          <w:szCs w:val="24"/>
        </w:rPr>
        <w:tab/>
      </w:r>
      <w:r w:rsidRPr="00FF3877">
        <w:rPr>
          <w:szCs w:val="24"/>
        </w:rPr>
        <w:tab/>
      </w:r>
    </w:p>
    <w:p w:rsidR="007E70A7" w:rsidRPr="00FF3877" w:rsidRDefault="002D3078" w:rsidP="005004CC">
      <w:r w:rsidRPr="00FF3877">
        <w:t>Zastoupen ve</w:t>
      </w:r>
      <w:r w:rsidR="007E70A7" w:rsidRPr="00FF3877">
        <w:t xml:space="preserve"> věcech smluvních:     </w:t>
      </w:r>
      <w:r>
        <w:t xml:space="preserve"> </w:t>
      </w:r>
    </w:p>
    <w:p w:rsidR="007E70A7" w:rsidRPr="00FF3877" w:rsidRDefault="007E70A7" w:rsidP="007E70A7">
      <w:r w:rsidRPr="00FF3877">
        <w:t>IČ</w:t>
      </w:r>
      <w:r w:rsidR="005004CC">
        <w:t>O</w:t>
      </w:r>
      <w:r w:rsidRPr="00FF3877">
        <w:t>:</w:t>
      </w:r>
      <w:r w:rsidRPr="00FF3877">
        <w:tab/>
      </w:r>
      <w:r w:rsidRPr="00FF3877">
        <w:tab/>
      </w:r>
      <w:r w:rsidRPr="00FF3877">
        <w:tab/>
      </w:r>
      <w:r w:rsidRPr="00FF3877">
        <w:tab/>
      </w:r>
      <w:r w:rsidRPr="00FF3877">
        <w:tab/>
        <w:t>70889988</w:t>
      </w:r>
    </w:p>
    <w:p w:rsidR="007E70A7" w:rsidRPr="00FF3877" w:rsidRDefault="007E70A7" w:rsidP="007E70A7">
      <w:r w:rsidRPr="00FF3877">
        <w:t>DIČ:</w:t>
      </w:r>
      <w:r w:rsidRPr="00FF3877">
        <w:tab/>
      </w:r>
      <w:r w:rsidRPr="00FF3877">
        <w:tab/>
      </w:r>
      <w:r w:rsidRPr="00FF3877">
        <w:tab/>
      </w:r>
      <w:r w:rsidRPr="00FF3877">
        <w:tab/>
        <w:t xml:space="preserve">            CZ70889988</w:t>
      </w:r>
    </w:p>
    <w:p w:rsidR="004D27E4" w:rsidRDefault="007E70A7" w:rsidP="007E70A7">
      <w:r w:rsidRPr="00FF3877">
        <w:t xml:space="preserve">Bankovní spojení: </w:t>
      </w:r>
      <w:r w:rsidR="00CC0CFF">
        <w:tab/>
      </w:r>
      <w:r w:rsidR="00CC0CFF">
        <w:tab/>
      </w:r>
      <w:r w:rsidR="00CC0CFF">
        <w:tab/>
      </w:r>
    </w:p>
    <w:p w:rsidR="007E70A7" w:rsidRPr="00FF3877" w:rsidRDefault="007E70A7" w:rsidP="007E70A7">
      <w:r w:rsidRPr="00FF3877">
        <w:t xml:space="preserve">Číslo účtu: </w:t>
      </w:r>
      <w:r w:rsidR="00CC0CFF">
        <w:tab/>
      </w:r>
      <w:r w:rsidR="00CC0CFF">
        <w:tab/>
      </w:r>
      <w:r w:rsidR="00CC0CFF">
        <w:tab/>
      </w:r>
      <w:r w:rsidR="00CC0CFF">
        <w:tab/>
      </w:r>
    </w:p>
    <w:p w:rsidR="00657269" w:rsidRPr="00FF3877" w:rsidRDefault="007E70A7" w:rsidP="007E70A7">
      <w:pPr>
        <w:widowControl w:val="0"/>
        <w:tabs>
          <w:tab w:val="left" w:pos="284"/>
          <w:tab w:val="left" w:pos="567"/>
        </w:tabs>
        <w:autoSpaceDE w:val="0"/>
        <w:autoSpaceDN w:val="0"/>
        <w:adjustRightInd w:val="0"/>
        <w:jc w:val="both"/>
      </w:pPr>
      <w:r w:rsidRPr="00FF3877">
        <w:t>Zapsán v obchodním rejstříku u Krajského soudu v Ústí nad Labem, oddíl A, vložka 13052</w:t>
      </w:r>
    </w:p>
    <w:p w:rsidR="007E70A7" w:rsidRDefault="007E70A7" w:rsidP="00657269">
      <w:pPr>
        <w:widowControl w:val="0"/>
        <w:tabs>
          <w:tab w:val="left" w:pos="284"/>
          <w:tab w:val="left" w:pos="567"/>
        </w:tabs>
        <w:autoSpaceDE w:val="0"/>
        <w:autoSpaceDN w:val="0"/>
        <w:adjustRightInd w:val="0"/>
        <w:jc w:val="both"/>
      </w:pPr>
    </w:p>
    <w:p w:rsidR="00BE7CAE" w:rsidRPr="00FF3877" w:rsidRDefault="00BE7CAE" w:rsidP="00657269">
      <w:pPr>
        <w:widowControl w:val="0"/>
        <w:tabs>
          <w:tab w:val="left" w:pos="284"/>
          <w:tab w:val="left" w:pos="567"/>
        </w:tabs>
        <w:autoSpaceDE w:val="0"/>
        <w:autoSpaceDN w:val="0"/>
        <w:adjustRightInd w:val="0"/>
        <w:jc w:val="both"/>
      </w:pPr>
    </w:p>
    <w:p w:rsidR="00DC45ED" w:rsidRPr="00FF3877" w:rsidRDefault="00DC45ED" w:rsidP="00657269">
      <w:pPr>
        <w:widowControl w:val="0"/>
        <w:tabs>
          <w:tab w:val="left" w:pos="284"/>
          <w:tab w:val="left" w:pos="567"/>
        </w:tabs>
        <w:autoSpaceDE w:val="0"/>
        <w:autoSpaceDN w:val="0"/>
        <w:adjustRightInd w:val="0"/>
        <w:jc w:val="both"/>
      </w:pPr>
      <w:r w:rsidRPr="00FF3877">
        <w:t>a</w:t>
      </w:r>
    </w:p>
    <w:p w:rsidR="003E1015" w:rsidRDefault="003E1015" w:rsidP="003E1015">
      <w:pPr>
        <w:widowControl w:val="0"/>
        <w:tabs>
          <w:tab w:val="left" w:pos="284"/>
          <w:tab w:val="left" w:pos="567"/>
        </w:tabs>
        <w:autoSpaceDE w:val="0"/>
        <w:autoSpaceDN w:val="0"/>
        <w:adjustRightInd w:val="0"/>
        <w:jc w:val="both"/>
      </w:pPr>
    </w:p>
    <w:p w:rsidR="00BE7CAE" w:rsidRPr="00FF3877" w:rsidRDefault="00BE7CAE" w:rsidP="003E1015">
      <w:pPr>
        <w:widowControl w:val="0"/>
        <w:tabs>
          <w:tab w:val="left" w:pos="284"/>
          <w:tab w:val="left" w:pos="567"/>
        </w:tabs>
        <w:autoSpaceDE w:val="0"/>
        <w:autoSpaceDN w:val="0"/>
        <w:adjustRightInd w:val="0"/>
        <w:jc w:val="both"/>
      </w:pPr>
    </w:p>
    <w:p w:rsidR="005004CC" w:rsidRDefault="005004CC" w:rsidP="003E1015">
      <w:pPr>
        <w:widowControl w:val="0"/>
        <w:tabs>
          <w:tab w:val="left" w:pos="284"/>
          <w:tab w:val="left" w:pos="567"/>
        </w:tabs>
        <w:autoSpaceDE w:val="0"/>
        <w:autoSpaceDN w:val="0"/>
        <w:adjustRightInd w:val="0"/>
        <w:jc w:val="both"/>
        <w:rPr>
          <w:b/>
        </w:rPr>
      </w:pPr>
      <w:r>
        <w:rPr>
          <w:b/>
        </w:rPr>
        <w:t xml:space="preserve">Obec </w:t>
      </w:r>
      <w:r w:rsidR="002F1299">
        <w:rPr>
          <w:b/>
        </w:rPr>
        <w:t>Petrohrad</w:t>
      </w:r>
    </w:p>
    <w:p w:rsidR="00F0034B" w:rsidRDefault="003E1015" w:rsidP="003E1015">
      <w:pPr>
        <w:widowControl w:val="0"/>
        <w:tabs>
          <w:tab w:val="left" w:pos="284"/>
          <w:tab w:val="left" w:pos="567"/>
        </w:tabs>
        <w:autoSpaceDE w:val="0"/>
        <w:autoSpaceDN w:val="0"/>
        <w:adjustRightInd w:val="0"/>
        <w:jc w:val="both"/>
      </w:pPr>
      <w:r w:rsidRPr="00FF3877">
        <w:t xml:space="preserve">Adresa: </w:t>
      </w:r>
      <w:r w:rsidRPr="00FF3877">
        <w:tab/>
      </w:r>
      <w:r w:rsidRPr="00FF3877">
        <w:tab/>
      </w:r>
      <w:r w:rsidRPr="00FF3877">
        <w:tab/>
      </w:r>
      <w:r w:rsidRPr="00FF3877">
        <w:tab/>
      </w:r>
      <w:r w:rsidR="002F1299">
        <w:t>Petrohrad č. p. 146</w:t>
      </w:r>
      <w:r w:rsidR="00F0034B">
        <w:t>,</w:t>
      </w:r>
      <w:r w:rsidR="002F1299" w:rsidRPr="002F1299">
        <w:rPr>
          <w:rFonts w:ascii="Arial" w:hAnsi="Arial" w:cs="Arial"/>
          <w:color w:val="000000"/>
          <w:sz w:val="27"/>
          <w:szCs w:val="27"/>
          <w:shd w:val="clear" w:color="auto" w:fill="FFFFFF"/>
        </w:rPr>
        <w:t xml:space="preserve"> </w:t>
      </w:r>
      <w:r w:rsidR="002F1299" w:rsidRPr="002F1299">
        <w:t>439 85 Petrohrad</w:t>
      </w:r>
    </w:p>
    <w:p w:rsidR="005004CC" w:rsidRDefault="003E1015" w:rsidP="003E1015">
      <w:pPr>
        <w:widowControl w:val="0"/>
        <w:tabs>
          <w:tab w:val="left" w:pos="284"/>
          <w:tab w:val="left" w:pos="567"/>
        </w:tabs>
        <w:autoSpaceDE w:val="0"/>
        <w:autoSpaceDN w:val="0"/>
        <w:adjustRightInd w:val="0"/>
        <w:jc w:val="both"/>
      </w:pPr>
      <w:r w:rsidRPr="00FF3877">
        <w:t>Zastoupen</w:t>
      </w:r>
      <w:r w:rsidR="005004CC">
        <w:t>a</w:t>
      </w:r>
      <w:r w:rsidRPr="00FF3877">
        <w:t>:</w:t>
      </w:r>
      <w:r w:rsidRPr="00FF3877">
        <w:tab/>
      </w:r>
      <w:r w:rsidRPr="00FF3877">
        <w:tab/>
      </w:r>
      <w:r w:rsidRPr="00FF3877">
        <w:tab/>
      </w:r>
      <w:r w:rsidRPr="00FF3877">
        <w:tab/>
      </w:r>
    </w:p>
    <w:p w:rsidR="003E1015" w:rsidRDefault="003E1015" w:rsidP="003E1015">
      <w:pPr>
        <w:widowControl w:val="0"/>
        <w:tabs>
          <w:tab w:val="left" w:pos="284"/>
          <w:tab w:val="left" w:pos="567"/>
        </w:tabs>
        <w:autoSpaceDE w:val="0"/>
        <w:autoSpaceDN w:val="0"/>
        <w:adjustRightInd w:val="0"/>
        <w:jc w:val="both"/>
      </w:pPr>
      <w:r w:rsidRPr="00FF3877">
        <w:t>IČ</w:t>
      </w:r>
      <w:r w:rsidR="005004CC">
        <w:t>O</w:t>
      </w:r>
      <w:r w:rsidRPr="00FF3877">
        <w:t>:</w:t>
      </w:r>
      <w:r w:rsidRPr="00FF3877">
        <w:tab/>
      </w:r>
      <w:r w:rsidRPr="00FF3877">
        <w:tab/>
      </w:r>
      <w:r w:rsidRPr="00FF3877">
        <w:tab/>
      </w:r>
      <w:r w:rsidRPr="00FF3877">
        <w:tab/>
      </w:r>
      <w:r w:rsidRPr="00FF3877">
        <w:tab/>
      </w:r>
      <w:r w:rsidR="00A261DB" w:rsidRPr="00FF3877">
        <w:tab/>
      </w:r>
      <w:r w:rsidR="00897341" w:rsidRPr="00897341">
        <w:t>00480975</w:t>
      </w:r>
      <w:r w:rsidR="00A261DB" w:rsidRPr="00FF3877">
        <w:t xml:space="preserve"> </w:t>
      </w:r>
    </w:p>
    <w:p w:rsidR="0061425B" w:rsidRDefault="0061425B" w:rsidP="003E1015">
      <w:pPr>
        <w:widowControl w:val="0"/>
        <w:tabs>
          <w:tab w:val="left" w:pos="284"/>
          <w:tab w:val="left" w:pos="567"/>
        </w:tabs>
        <w:autoSpaceDE w:val="0"/>
        <w:autoSpaceDN w:val="0"/>
        <w:adjustRightInd w:val="0"/>
        <w:jc w:val="both"/>
      </w:pPr>
      <w:r>
        <w:t>DIČ:</w:t>
      </w:r>
      <w:r>
        <w:tab/>
      </w:r>
      <w:r>
        <w:tab/>
      </w:r>
      <w:r>
        <w:tab/>
      </w:r>
      <w:r>
        <w:tab/>
      </w:r>
      <w:r>
        <w:tab/>
      </w:r>
      <w:r>
        <w:tab/>
        <w:t>CZ</w:t>
      </w:r>
      <w:r w:rsidR="00897341" w:rsidRPr="00897341">
        <w:t>00480975</w:t>
      </w:r>
    </w:p>
    <w:p w:rsidR="004D27E4" w:rsidRDefault="003E1015" w:rsidP="003E1015">
      <w:pPr>
        <w:widowControl w:val="0"/>
        <w:tabs>
          <w:tab w:val="left" w:pos="284"/>
          <w:tab w:val="left" w:pos="567"/>
        </w:tabs>
        <w:autoSpaceDE w:val="0"/>
        <w:autoSpaceDN w:val="0"/>
        <w:adjustRightInd w:val="0"/>
        <w:jc w:val="both"/>
      </w:pPr>
      <w:r w:rsidRPr="00FF3877">
        <w:t>Bankovní spojení:</w:t>
      </w:r>
      <w:r w:rsidRPr="00FF3877">
        <w:tab/>
      </w:r>
      <w:r w:rsidRPr="00FF3877">
        <w:tab/>
      </w:r>
      <w:r w:rsidRPr="00FF3877">
        <w:tab/>
      </w:r>
    </w:p>
    <w:p w:rsidR="003E1015" w:rsidRPr="00FF3877" w:rsidRDefault="00B62744" w:rsidP="003E1015">
      <w:pPr>
        <w:widowControl w:val="0"/>
        <w:tabs>
          <w:tab w:val="left" w:pos="284"/>
          <w:tab w:val="left" w:pos="567"/>
        </w:tabs>
        <w:autoSpaceDE w:val="0"/>
        <w:autoSpaceDN w:val="0"/>
        <w:adjustRightInd w:val="0"/>
        <w:jc w:val="both"/>
      </w:pPr>
      <w:r>
        <w:t xml:space="preserve">Číslo </w:t>
      </w:r>
      <w:r w:rsidR="003E1015" w:rsidRPr="00FF3877">
        <w:t>ú</w:t>
      </w:r>
      <w:r>
        <w:t>čtu:</w:t>
      </w:r>
      <w:r>
        <w:tab/>
      </w:r>
      <w:r>
        <w:tab/>
      </w:r>
      <w:r>
        <w:tab/>
      </w:r>
      <w:r>
        <w:tab/>
      </w:r>
    </w:p>
    <w:p w:rsidR="00E77B3A" w:rsidRDefault="00E77B3A" w:rsidP="008B05E9">
      <w:pPr>
        <w:widowControl w:val="0"/>
        <w:tabs>
          <w:tab w:val="left" w:pos="284"/>
          <w:tab w:val="left" w:pos="567"/>
        </w:tabs>
        <w:autoSpaceDE w:val="0"/>
        <w:autoSpaceDN w:val="0"/>
        <w:adjustRightInd w:val="0"/>
        <w:jc w:val="center"/>
        <w:rPr>
          <w:b/>
          <w:bCs/>
        </w:rPr>
      </w:pPr>
    </w:p>
    <w:p w:rsidR="00716113" w:rsidRPr="00FF3877" w:rsidRDefault="00716113" w:rsidP="008B05E9">
      <w:pPr>
        <w:widowControl w:val="0"/>
        <w:tabs>
          <w:tab w:val="left" w:pos="284"/>
          <w:tab w:val="left" w:pos="567"/>
        </w:tabs>
        <w:autoSpaceDE w:val="0"/>
        <w:autoSpaceDN w:val="0"/>
        <w:adjustRightInd w:val="0"/>
        <w:jc w:val="center"/>
        <w:rPr>
          <w:b/>
          <w:bCs/>
        </w:rPr>
      </w:pPr>
    </w:p>
    <w:p w:rsidR="00B8465C" w:rsidRDefault="00657269" w:rsidP="008B05E9">
      <w:pPr>
        <w:widowControl w:val="0"/>
        <w:tabs>
          <w:tab w:val="left" w:pos="284"/>
          <w:tab w:val="left" w:pos="567"/>
        </w:tabs>
        <w:autoSpaceDE w:val="0"/>
        <w:autoSpaceDN w:val="0"/>
        <w:adjustRightInd w:val="0"/>
        <w:jc w:val="center"/>
        <w:rPr>
          <w:b/>
          <w:bCs/>
        </w:rPr>
      </w:pPr>
      <w:r w:rsidRPr="00FF3877">
        <w:rPr>
          <w:b/>
          <w:bCs/>
        </w:rPr>
        <w:t xml:space="preserve">II. </w:t>
      </w:r>
    </w:p>
    <w:p w:rsidR="00657269" w:rsidRPr="00FF3877" w:rsidRDefault="000751CE" w:rsidP="008B05E9">
      <w:pPr>
        <w:widowControl w:val="0"/>
        <w:tabs>
          <w:tab w:val="left" w:pos="284"/>
          <w:tab w:val="left" w:pos="567"/>
        </w:tabs>
        <w:autoSpaceDE w:val="0"/>
        <w:autoSpaceDN w:val="0"/>
        <w:adjustRightInd w:val="0"/>
        <w:jc w:val="center"/>
        <w:rPr>
          <w:b/>
          <w:bCs/>
        </w:rPr>
      </w:pPr>
      <w:r>
        <w:rPr>
          <w:b/>
          <w:bCs/>
        </w:rPr>
        <w:t>Preambule</w:t>
      </w:r>
    </w:p>
    <w:p w:rsidR="00E77B3A" w:rsidRPr="00FF3877" w:rsidRDefault="00E77B3A" w:rsidP="00657269">
      <w:pPr>
        <w:widowControl w:val="0"/>
        <w:tabs>
          <w:tab w:val="left" w:pos="284"/>
          <w:tab w:val="left" w:pos="567"/>
        </w:tabs>
        <w:autoSpaceDE w:val="0"/>
        <w:autoSpaceDN w:val="0"/>
        <w:adjustRightInd w:val="0"/>
        <w:jc w:val="both"/>
        <w:rPr>
          <w:b/>
          <w:bCs/>
        </w:rPr>
      </w:pPr>
    </w:p>
    <w:p w:rsidR="00897341" w:rsidRPr="00897341" w:rsidRDefault="006254B6" w:rsidP="00897341">
      <w:pPr>
        <w:widowControl w:val="0"/>
        <w:tabs>
          <w:tab w:val="left" w:pos="284"/>
          <w:tab w:val="left" w:pos="567"/>
        </w:tabs>
        <w:autoSpaceDE w:val="0"/>
        <w:autoSpaceDN w:val="0"/>
        <w:adjustRightInd w:val="0"/>
        <w:spacing w:line="360" w:lineRule="auto"/>
        <w:ind w:left="266" w:hanging="266"/>
        <w:jc w:val="both"/>
      </w:pPr>
      <w:r w:rsidRPr="00FF3877">
        <w:t>1</w:t>
      </w:r>
      <w:r w:rsidR="00716113">
        <w:t>.</w:t>
      </w:r>
      <w:r w:rsidR="00716113">
        <w:tab/>
      </w:r>
      <w:r w:rsidRPr="00897341">
        <w:t xml:space="preserve"> </w:t>
      </w:r>
      <w:r w:rsidR="002D3078" w:rsidRPr="00FF3877">
        <w:t>Povodí Ohře</w:t>
      </w:r>
      <w:r w:rsidR="00657269" w:rsidRPr="00FF3877">
        <w:t>, státní podnik</w:t>
      </w:r>
      <w:r w:rsidR="002F372D">
        <w:t>,</w:t>
      </w:r>
      <w:r w:rsidR="00657269" w:rsidRPr="00FF3877">
        <w:t xml:space="preserve"> </w:t>
      </w:r>
      <w:r w:rsidR="00897341">
        <w:t>podal</w:t>
      </w:r>
      <w:r w:rsidR="00897341" w:rsidRPr="00897341">
        <w:t xml:space="preserve"> žádost o pořízení změnu územního plánu zkráceným postupem </w:t>
      </w:r>
      <w:r w:rsidR="002F372D">
        <w:t>dle</w:t>
      </w:r>
      <w:r w:rsidR="00897341" w:rsidRPr="00897341">
        <w:t xml:space="preserve"> aktualizace č. 4 Zásad územního rozvoje Ústeckého kraje, o kterou bylo požádáno na základě usnesení Vlády ČR č. 256/2019 ze dne 15.4.2019. Vládní usnesení ukládá navrhovateli zahájit projektovou přípravu a s ní související úkony pro akci: </w:t>
      </w:r>
    </w:p>
    <w:p w:rsidR="00897341" w:rsidRPr="00897341" w:rsidRDefault="00897341" w:rsidP="00897341">
      <w:pPr>
        <w:widowControl w:val="0"/>
        <w:tabs>
          <w:tab w:val="left" w:pos="284"/>
          <w:tab w:val="left" w:pos="567"/>
        </w:tabs>
        <w:autoSpaceDE w:val="0"/>
        <w:autoSpaceDN w:val="0"/>
        <w:adjustRightInd w:val="0"/>
        <w:spacing w:line="360" w:lineRule="auto"/>
        <w:ind w:left="266" w:hanging="266"/>
        <w:jc w:val="center"/>
        <w:rPr>
          <w:b/>
        </w:rPr>
      </w:pPr>
      <w:r w:rsidRPr="00897341">
        <w:rPr>
          <w:b/>
        </w:rPr>
        <w:t xml:space="preserve">„VD Kryry a Přivaděče z Ohře pro zmírnění vodního deficitu v oblasti </w:t>
      </w:r>
      <w:proofErr w:type="spellStart"/>
      <w:r w:rsidRPr="00897341">
        <w:rPr>
          <w:b/>
        </w:rPr>
        <w:t>Blšanska</w:t>
      </w:r>
      <w:proofErr w:type="spellEnd"/>
      <w:r w:rsidRPr="00897341">
        <w:rPr>
          <w:b/>
        </w:rPr>
        <w:t xml:space="preserve"> a Rakovnicka“</w:t>
      </w:r>
    </w:p>
    <w:p w:rsidR="00646E3E" w:rsidRDefault="00897341" w:rsidP="00897341">
      <w:pPr>
        <w:widowControl w:val="0"/>
        <w:tabs>
          <w:tab w:val="left" w:pos="284"/>
          <w:tab w:val="left" w:pos="567"/>
        </w:tabs>
        <w:autoSpaceDE w:val="0"/>
        <w:autoSpaceDN w:val="0"/>
        <w:adjustRightInd w:val="0"/>
        <w:spacing w:line="360" w:lineRule="auto"/>
        <w:ind w:left="266" w:firstLine="18"/>
        <w:jc w:val="both"/>
      </w:pPr>
      <w:r>
        <w:t>Dále Povodí Ohře, státní podnik</w:t>
      </w:r>
      <w:r w:rsidR="002F372D">
        <w:t>,</w:t>
      </w:r>
      <w:r>
        <w:t xml:space="preserve"> připravuje akci:</w:t>
      </w:r>
      <w:r w:rsidR="00D90DF1">
        <w:t xml:space="preserve"> „</w:t>
      </w:r>
      <w:r w:rsidR="00D90DF1" w:rsidRPr="00D90DF1">
        <w:rPr>
          <w:b/>
        </w:rPr>
        <w:t xml:space="preserve">Vodohospodářská opatření v </w:t>
      </w:r>
      <w:proofErr w:type="gramStart"/>
      <w:r w:rsidR="00D90DF1" w:rsidRPr="00D90DF1">
        <w:rPr>
          <w:b/>
        </w:rPr>
        <w:t>krajině - lokalita</w:t>
      </w:r>
      <w:proofErr w:type="gramEnd"/>
      <w:r w:rsidR="00D90DF1" w:rsidRPr="00D90DF1">
        <w:rPr>
          <w:b/>
        </w:rPr>
        <w:t xml:space="preserve"> Petrohrad“</w:t>
      </w:r>
      <w:r w:rsidR="00D90DF1" w:rsidRPr="00D90DF1">
        <w:t xml:space="preserve"> na pozemcích p. č. 1084, 1085, 1086, 1087, 1088, 1089, 1091, 1096, 1099, 1101, 1103/1 v k. </w:t>
      </w:r>
      <w:proofErr w:type="spellStart"/>
      <w:r w:rsidR="00D90DF1" w:rsidRPr="00D90DF1">
        <w:t>ú.</w:t>
      </w:r>
      <w:proofErr w:type="spellEnd"/>
      <w:r w:rsidR="00D90DF1" w:rsidRPr="00D90DF1">
        <w:t xml:space="preserve"> Petrohrad. Cílem těchto veřejně prospěšných opatření je zlepšení hydrologických a jakostních vlastností povodí </w:t>
      </w:r>
      <w:proofErr w:type="spellStart"/>
      <w:r w:rsidR="00D90DF1" w:rsidRPr="00D90DF1">
        <w:t>Podvineckého</w:t>
      </w:r>
      <w:proofErr w:type="spellEnd"/>
      <w:r w:rsidR="00D90DF1" w:rsidRPr="00D90DF1">
        <w:t xml:space="preserve"> potoka s výhledem na budoucí pozitivní vliv na plánované vodní dílo Kryry.</w:t>
      </w:r>
    </w:p>
    <w:p w:rsidR="000751CE" w:rsidRDefault="00A261DB" w:rsidP="009624B9">
      <w:pPr>
        <w:widowControl w:val="0"/>
        <w:tabs>
          <w:tab w:val="center" w:pos="4535"/>
        </w:tabs>
        <w:autoSpaceDE w:val="0"/>
        <w:autoSpaceDN w:val="0"/>
        <w:adjustRightInd w:val="0"/>
        <w:spacing w:line="360" w:lineRule="auto"/>
        <w:ind w:left="266" w:hanging="266"/>
        <w:jc w:val="both"/>
      </w:pPr>
      <w:r w:rsidRPr="00FF3877">
        <w:t xml:space="preserve"> </w:t>
      </w:r>
      <w:r w:rsidR="009624B9">
        <w:tab/>
      </w:r>
      <w:r w:rsidR="009624B9">
        <w:tab/>
      </w:r>
    </w:p>
    <w:p w:rsidR="00344778" w:rsidRDefault="00716113" w:rsidP="00716113">
      <w:pPr>
        <w:widowControl w:val="0"/>
        <w:tabs>
          <w:tab w:val="left" w:pos="284"/>
          <w:tab w:val="left" w:pos="567"/>
        </w:tabs>
        <w:autoSpaceDE w:val="0"/>
        <w:autoSpaceDN w:val="0"/>
        <w:adjustRightInd w:val="0"/>
        <w:spacing w:line="360" w:lineRule="auto"/>
        <w:ind w:left="266" w:hanging="266"/>
        <w:jc w:val="both"/>
        <w:rPr>
          <w:color w:val="000000"/>
        </w:rPr>
      </w:pPr>
      <w:r>
        <w:lastRenderedPageBreak/>
        <w:t>2.</w:t>
      </w:r>
      <w:r>
        <w:tab/>
      </w:r>
      <w:r w:rsidR="000751CE">
        <w:t xml:space="preserve"> </w:t>
      </w:r>
      <w:r w:rsidR="00646E3E">
        <w:t xml:space="preserve">Obec </w:t>
      </w:r>
      <w:r w:rsidR="002F1299">
        <w:t>Petrohrad</w:t>
      </w:r>
      <w:r w:rsidR="00646E3E">
        <w:t xml:space="preserve"> je pořizovatelem Územního plánu </w:t>
      </w:r>
      <w:r w:rsidR="002F1299">
        <w:t>Petrohrad</w:t>
      </w:r>
      <w:r w:rsidR="00646E3E">
        <w:t xml:space="preserve">, kdy na základě požadavku státního podniku Povodí Ohře bude zapotřebí zajistit pořízení </w:t>
      </w:r>
      <w:r w:rsidR="002F1299">
        <w:t>změny č.</w:t>
      </w:r>
      <w:r w:rsidR="008555B9">
        <w:t xml:space="preserve"> </w:t>
      </w:r>
      <w:r w:rsidR="002F1299">
        <w:t>2</w:t>
      </w:r>
      <w:r w:rsidR="00646E3E">
        <w:t xml:space="preserve"> Územního plánu </w:t>
      </w:r>
      <w:r w:rsidR="002F1299">
        <w:t>Petrohrad</w:t>
      </w:r>
      <w:r w:rsidR="00A344A0">
        <w:t xml:space="preserve">, který se týká pouze změny charakteru a funkčního využití dotčených pozemků   uvedených v odst. 1 tohoto článku smlouvy. </w:t>
      </w:r>
      <w:r w:rsidR="00646E3E">
        <w:t>Pořízení změny</w:t>
      </w:r>
      <w:r w:rsidR="002F1299">
        <w:t xml:space="preserve"> č. 2</w:t>
      </w:r>
      <w:r w:rsidR="00646E3E">
        <w:t xml:space="preserve"> Územního plánu </w:t>
      </w:r>
      <w:r w:rsidR="002F1299">
        <w:t>Petrohrad</w:t>
      </w:r>
      <w:r w:rsidR="00A344A0">
        <w:t xml:space="preserve"> ve výše uvedeném rozsahu,</w:t>
      </w:r>
      <w:r w:rsidR="00646E3E">
        <w:t xml:space="preserve"> </w:t>
      </w:r>
      <w:r w:rsidR="002F1299">
        <w:t>b</w:t>
      </w:r>
      <w:r w:rsidR="002F372D">
        <w:t>ylo</w:t>
      </w:r>
      <w:r w:rsidR="00646E3E">
        <w:t xml:space="preserve"> schváleno zastupitelstvem obce </w:t>
      </w:r>
      <w:r w:rsidR="002F1299">
        <w:t>Petrohrad</w:t>
      </w:r>
      <w:r w:rsidR="00646E3E">
        <w:t xml:space="preserve"> dne </w:t>
      </w:r>
      <w:r w:rsidR="00F1504F">
        <w:t>15.05.2023</w:t>
      </w:r>
      <w:r w:rsidR="00AE621B">
        <w:t>.</w:t>
      </w:r>
    </w:p>
    <w:p w:rsidR="00F364EB" w:rsidRPr="00FF3877" w:rsidRDefault="00F364EB" w:rsidP="000557FF">
      <w:pPr>
        <w:widowControl w:val="0"/>
        <w:tabs>
          <w:tab w:val="left" w:pos="284"/>
          <w:tab w:val="left" w:pos="567"/>
          <w:tab w:val="left" w:pos="737"/>
        </w:tabs>
        <w:autoSpaceDE w:val="0"/>
        <w:autoSpaceDN w:val="0"/>
        <w:adjustRightInd w:val="0"/>
        <w:ind w:left="280" w:hanging="280"/>
        <w:jc w:val="both"/>
      </w:pPr>
    </w:p>
    <w:p w:rsidR="00B8465C" w:rsidRDefault="00657269" w:rsidP="00F16802">
      <w:pPr>
        <w:widowControl w:val="0"/>
        <w:tabs>
          <w:tab w:val="left" w:pos="284"/>
          <w:tab w:val="left" w:pos="567"/>
          <w:tab w:val="left" w:pos="737"/>
        </w:tabs>
        <w:autoSpaceDE w:val="0"/>
        <w:autoSpaceDN w:val="0"/>
        <w:adjustRightInd w:val="0"/>
        <w:jc w:val="center"/>
        <w:rPr>
          <w:b/>
          <w:bCs/>
        </w:rPr>
      </w:pPr>
      <w:r w:rsidRPr="00FF3877">
        <w:rPr>
          <w:b/>
          <w:bCs/>
        </w:rPr>
        <w:t xml:space="preserve">III. </w:t>
      </w:r>
    </w:p>
    <w:p w:rsidR="00646E3E" w:rsidRDefault="00344778" w:rsidP="00F16802">
      <w:pPr>
        <w:widowControl w:val="0"/>
        <w:tabs>
          <w:tab w:val="left" w:pos="284"/>
          <w:tab w:val="left" w:pos="567"/>
          <w:tab w:val="left" w:pos="737"/>
        </w:tabs>
        <w:autoSpaceDE w:val="0"/>
        <w:autoSpaceDN w:val="0"/>
        <w:adjustRightInd w:val="0"/>
        <w:jc w:val="center"/>
        <w:rPr>
          <w:b/>
          <w:bCs/>
        </w:rPr>
      </w:pPr>
      <w:r>
        <w:rPr>
          <w:b/>
          <w:bCs/>
        </w:rPr>
        <w:t xml:space="preserve">Předmět smlouvy </w:t>
      </w:r>
    </w:p>
    <w:p w:rsidR="00646E3E" w:rsidRDefault="00646E3E" w:rsidP="00F16802">
      <w:pPr>
        <w:widowControl w:val="0"/>
        <w:tabs>
          <w:tab w:val="left" w:pos="284"/>
          <w:tab w:val="left" w:pos="567"/>
          <w:tab w:val="left" w:pos="737"/>
        </w:tabs>
        <w:autoSpaceDE w:val="0"/>
        <w:autoSpaceDN w:val="0"/>
        <w:adjustRightInd w:val="0"/>
        <w:jc w:val="center"/>
      </w:pPr>
    </w:p>
    <w:p w:rsidR="00AE621B" w:rsidRPr="00AE621B" w:rsidRDefault="00133AF6" w:rsidP="00AE621B">
      <w:pPr>
        <w:pStyle w:val="Default"/>
        <w:spacing w:after="120" w:line="360" w:lineRule="auto"/>
        <w:jc w:val="both"/>
        <w:rPr>
          <w:color w:val="auto"/>
        </w:rPr>
      </w:pPr>
      <w:r w:rsidRPr="00AE621B">
        <w:rPr>
          <w:color w:val="auto"/>
        </w:rPr>
        <w:t xml:space="preserve">Předmětem této smlouvy je závazek </w:t>
      </w:r>
      <w:r w:rsidR="008F39FC" w:rsidRPr="00AE621B">
        <w:rPr>
          <w:color w:val="auto"/>
        </w:rPr>
        <w:t xml:space="preserve">státního podniku Povodí Ohře k úhradě veškerých nákladů </w:t>
      </w:r>
      <w:r w:rsidR="009A147D" w:rsidRPr="00AE621B">
        <w:rPr>
          <w:color w:val="auto"/>
        </w:rPr>
        <w:t xml:space="preserve">souvisejících </w:t>
      </w:r>
      <w:r w:rsidR="008F39FC" w:rsidRPr="00AE621B">
        <w:rPr>
          <w:color w:val="auto"/>
        </w:rPr>
        <w:t xml:space="preserve">s pořízením změny č. </w:t>
      </w:r>
      <w:r w:rsidR="002F1299" w:rsidRPr="00AE621B">
        <w:rPr>
          <w:color w:val="auto"/>
        </w:rPr>
        <w:t>2</w:t>
      </w:r>
      <w:r w:rsidR="008F39FC" w:rsidRPr="00AE621B">
        <w:rPr>
          <w:color w:val="auto"/>
        </w:rPr>
        <w:t xml:space="preserve"> Územního plánu </w:t>
      </w:r>
      <w:r w:rsidR="002F1299" w:rsidRPr="00AE621B">
        <w:rPr>
          <w:color w:val="auto"/>
        </w:rPr>
        <w:t>Petrohrad</w:t>
      </w:r>
      <w:r w:rsidR="008F39FC" w:rsidRPr="00AE621B">
        <w:rPr>
          <w:color w:val="auto"/>
        </w:rPr>
        <w:t xml:space="preserve">, které obci </w:t>
      </w:r>
      <w:r w:rsidR="002F1299" w:rsidRPr="00AE621B">
        <w:rPr>
          <w:color w:val="auto"/>
        </w:rPr>
        <w:t>Petrohrad</w:t>
      </w:r>
      <w:r w:rsidR="008F39FC" w:rsidRPr="00AE621B">
        <w:rPr>
          <w:color w:val="auto"/>
        </w:rPr>
        <w:t xml:space="preserve"> vzniknou, neboť pořízení změny č. </w:t>
      </w:r>
      <w:r w:rsidR="002F1299" w:rsidRPr="00AE621B">
        <w:rPr>
          <w:color w:val="auto"/>
        </w:rPr>
        <w:t>2</w:t>
      </w:r>
      <w:r w:rsidR="008F39FC" w:rsidRPr="00AE621B">
        <w:rPr>
          <w:color w:val="auto"/>
        </w:rPr>
        <w:t xml:space="preserve"> Územního plánu </w:t>
      </w:r>
      <w:r w:rsidR="002F1299" w:rsidRPr="00AE621B">
        <w:rPr>
          <w:color w:val="auto"/>
        </w:rPr>
        <w:t>Petrohrad</w:t>
      </w:r>
      <w:r w:rsidR="008F39FC" w:rsidRPr="00AE621B">
        <w:rPr>
          <w:color w:val="auto"/>
        </w:rPr>
        <w:t xml:space="preserve"> je </w:t>
      </w:r>
      <w:r w:rsidR="009A147D" w:rsidRPr="00AE621B">
        <w:rPr>
          <w:color w:val="auto"/>
        </w:rPr>
        <w:t>realizováno na základě požadavku Povodí Ohře, státní podnik.</w:t>
      </w:r>
      <w:r w:rsidR="00AE621B" w:rsidRPr="00AE621B">
        <w:rPr>
          <w:color w:val="auto"/>
        </w:rPr>
        <w:t xml:space="preserve"> </w:t>
      </w:r>
    </w:p>
    <w:p w:rsidR="00AE621B" w:rsidRDefault="00AE621B" w:rsidP="00AE621B">
      <w:pPr>
        <w:pStyle w:val="Default"/>
        <w:spacing w:after="120" w:line="360" w:lineRule="auto"/>
        <w:jc w:val="both"/>
        <w:rPr>
          <w:color w:val="auto"/>
        </w:rPr>
      </w:pPr>
      <w:r w:rsidRPr="00AE621B">
        <w:rPr>
          <w:color w:val="auto"/>
        </w:rPr>
        <w:t xml:space="preserve">Navrhovatel se touto dohodou zavazuje k úhradě nákladů na zpracování </w:t>
      </w:r>
      <w:r>
        <w:rPr>
          <w:color w:val="auto"/>
        </w:rPr>
        <w:t>změny č. 2 Územního plánu</w:t>
      </w:r>
      <w:r w:rsidRPr="00AE621B">
        <w:rPr>
          <w:color w:val="auto"/>
        </w:rPr>
        <w:t xml:space="preserve">, které </w:t>
      </w:r>
      <w:r>
        <w:rPr>
          <w:color w:val="auto"/>
        </w:rPr>
        <w:t>jsou ve výši celkem</w:t>
      </w:r>
      <w:r w:rsidRPr="00AE621B">
        <w:rPr>
          <w:color w:val="auto"/>
        </w:rPr>
        <w:t xml:space="preserve"> </w:t>
      </w:r>
      <w:r w:rsidRPr="00AE621B">
        <w:rPr>
          <w:b/>
          <w:color w:val="auto"/>
        </w:rPr>
        <w:t>220 000,</w:t>
      </w:r>
      <w:proofErr w:type="gramStart"/>
      <w:r w:rsidRPr="00AE621B">
        <w:rPr>
          <w:b/>
          <w:color w:val="auto"/>
        </w:rPr>
        <w:t xml:space="preserve">- </w:t>
      </w:r>
      <w:r>
        <w:rPr>
          <w:b/>
          <w:color w:val="auto"/>
        </w:rPr>
        <w:t xml:space="preserve"> Kč</w:t>
      </w:r>
      <w:proofErr w:type="gramEnd"/>
      <w:r>
        <w:rPr>
          <w:b/>
          <w:color w:val="auto"/>
        </w:rPr>
        <w:t xml:space="preserve"> </w:t>
      </w:r>
      <w:r w:rsidRPr="00AE621B">
        <w:rPr>
          <w:b/>
          <w:color w:val="auto"/>
        </w:rPr>
        <w:t>bez DPH</w:t>
      </w:r>
      <w:r>
        <w:rPr>
          <w:b/>
          <w:color w:val="auto"/>
        </w:rPr>
        <w:t>,</w:t>
      </w:r>
      <w:r>
        <w:rPr>
          <w:color w:val="auto"/>
        </w:rPr>
        <w:t xml:space="preserve"> z toho činí:</w:t>
      </w:r>
    </w:p>
    <w:p w:rsidR="00AE621B" w:rsidRDefault="00AE621B" w:rsidP="00AE621B">
      <w:pPr>
        <w:pStyle w:val="Default"/>
        <w:numPr>
          <w:ilvl w:val="0"/>
          <w:numId w:val="19"/>
        </w:numPr>
        <w:spacing w:after="120" w:line="360" w:lineRule="auto"/>
        <w:jc w:val="both"/>
        <w:rPr>
          <w:color w:val="auto"/>
        </w:rPr>
      </w:pPr>
      <w:r>
        <w:rPr>
          <w:color w:val="auto"/>
        </w:rPr>
        <w:t xml:space="preserve">Částka </w:t>
      </w:r>
      <w:r w:rsidRPr="00AE621B">
        <w:rPr>
          <w:b/>
          <w:color w:val="auto"/>
        </w:rPr>
        <w:t>185 000,- Kč bez DPH</w:t>
      </w:r>
      <w:r>
        <w:rPr>
          <w:color w:val="auto"/>
        </w:rPr>
        <w:t xml:space="preserve"> za úhradu změn vyplývajících z aktualizace č.4 ZÚR Ústeckého kraje</w:t>
      </w:r>
    </w:p>
    <w:p w:rsidR="00AE621B" w:rsidRPr="00AE621B" w:rsidRDefault="00AE621B" w:rsidP="00AE621B">
      <w:pPr>
        <w:pStyle w:val="Default"/>
        <w:numPr>
          <w:ilvl w:val="0"/>
          <w:numId w:val="19"/>
        </w:numPr>
        <w:spacing w:after="120" w:line="360" w:lineRule="auto"/>
        <w:jc w:val="both"/>
        <w:rPr>
          <w:color w:val="auto"/>
        </w:rPr>
      </w:pPr>
      <w:r>
        <w:rPr>
          <w:color w:val="auto"/>
        </w:rPr>
        <w:t xml:space="preserve">Částka </w:t>
      </w:r>
      <w:r w:rsidRPr="00AE621B">
        <w:rPr>
          <w:b/>
          <w:color w:val="auto"/>
        </w:rPr>
        <w:t>35 000,- Kč bez DPH</w:t>
      </w:r>
      <w:r>
        <w:rPr>
          <w:color w:val="auto"/>
        </w:rPr>
        <w:t xml:space="preserve"> za úhradu změn vyplývajících z přípravy akce:</w:t>
      </w:r>
      <w:r w:rsidRPr="00AE621B">
        <w:rPr>
          <w:b/>
        </w:rPr>
        <w:t xml:space="preserve"> </w:t>
      </w:r>
      <w:r w:rsidR="00494DDA" w:rsidRPr="00494DDA">
        <w:t>„</w:t>
      </w:r>
      <w:r w:rsidRPr="00494DDA">
        <w:t xml:space="preserve">Vodohospodářská opatření v </w:t>
      </w:r>
      <w:proofErr w:type="gramStart"/>
      <w:r w:rsidRPr="00494DDA">
        <w:t>krajině - lokalita</w:t>
      </w:r>
      <w:proofErr w:type="gramEnd"/>
      <w:r w:rsidRPr="00494DDA">
        <w:t xml:space="preserve"> Petrohrad“</w:t>
      </w:r>
      <w:r w:rsidRPr="00D90DF1">
        <w:t xml:space="preserve"> </w:t>
      </w:r>
      <w:r>
        <w:rPr>
          <w:color w:val="auto"/>
        </w:rPr>
        <w:t xml:space="preserve">   </w:t>
      </w:r>
    </w:p>
    <w:p w:rsidR="009A147D" w:rsidRDefault="009A147D" w:rsidP="008F39FC">
      <w:pPr>
        <w:widowControl w:val="0"/>
        <w:tabs>
          <w:tab w:val="left" w:pos="142"/>
          <w:tab w:val="left" w:pos="567"/>
          <w:tab w:val="left" w:pos="737"/>
        </w:tabs>
        <w:autoSpaceDE w:val="0"/>
        <w:autoSpaceDN w:val="0"/>
        <w:adjustRightInd w:val="0"/>
        <w:jc w:val="both"/>
      </w:pPr>
    </w:p>
    <w:p w:rsidR="00B8465C" w:rsidRDefault="009A147D" w:rsidP="009A147D">
      <w:pPr>
        <w:widowControl w:val="0"/>
        <w:tabs>
          <w:tab w:val="left" w:pos="142"/>
          <w:tab w:val="left" w:pos="567"/>
          <w:tab w:val="left" w:pos="737"/>
        </w:tabs>
        <w:autoSpaceDE w:val="0"/>
        <w:autoSpaceDN w:val="0"/>
        <w:adjustRightInd w:val="0"/>
        <w:jc w:val="center"/>
        <w:rPr>
          <w:b/>
        </w:rPr>
      </w:pPr>
      <w:r w:rsidRPr="009A147D">
        <w:rPr>
          <w:b/>
        </w:rPr>
        <w:t xml:space="preserve">IV. </w:t>
      </w:r>
    </w:p>
    <w:p w:rsidR="001120EE" w:rsidRPr="009A147D" w:rsidRDefault="009A147D" w:rsidP="009A147D">
      <w:pPr>
        <w:widowControl w:val="0"/>
        <w:tabs>
          <w:tab w:val="left" w:pos="142"/>
          <w:tab w:val="left" w:pos="567"/>
          <w:tab w:val="left" w:pos="737"/>
        </w:tabs>
        <w:autoSpaceDE w:val="0"/>
        <w:autoSpaceDN w:val="0"/>
        <w:adjustRightInd w:val="0"/>
        <w:jc w:val="center"/>
        <w:rPr>
          <w:b/>
        </w:rPr>
      </w:pPr>
      <w:r w:rsidRPr="009A147D">
        <w:rPr>
          <w:b/>
        </w:rPr>
        <w:t xml:space="preserve">Náklady na pořízení pořízením změny č. </w:t>
      </w:r>
      <w:r w:rsidR="002F1299">
        <w:rPr>
          <w:b/>
        </w:rPr>
        <w:t>2</w:t>
      </w:r>
      <w:r w:rsidRPr="009A147D">
        <w:rPr>
          <w:b/>
        </w:rPr>
        <w:t xml:space="preserve"> Územního plánu </w:t>
      </w:r>
      <w:r w:rsidR="002F1299">
        <w:rPr>
          <w:b/>
        </w:rPr>
        <w:t>Petrohrad</w:t>
      </w:r>
      <w:r w:rsidRPr="009A147D">
        <w:rPr>
          <w:b/>
        </w:rPr>
        <w:t xml:space="preserve"> a jejich úhrada</w:t>
      </w:r>
    </w:p>
    <w:p w:rsidR="008F39FC" w:rsidRDefault="008F39FC" w:rsidP="008F39FC">
      <w:pPr>
        <w:widowControl w:val="0"/>
        <w:tabs>
          <w:tab w:val="left" w:pos="142"/>
          <w:tab w:val="left" w:pos="567"/>
          <w:tab w:val="left" w:pos="737"/>
        </w:tabs>
        <w:autoSpaceDE w:val="0"/>
        <w:autoSpaceDN w:val="0"/>
        <w:adjustRightInd w:val="0"/>
        <w:jc w:val="both"/>
        <w:rPr>
          <w:bCs/>
        </w:rPr>
      </w:pPr>
    </w:p>
    <w:p w:rsidR="008F39FC" w:rsidRDefault="008F39FC" w:rsidP="008F39FC">
      <w:pPr>
        <w:widowControl w:val="0"/>
        <w:tabs>
          <w:tab w:val="left" w:pos="142"/>
          <w:tab w:val="left" w:pos="567"/>
          <w:tab w:val="left" w:pos="737"/>
        </w:tabs>
        <w:autoSpaceDE w:val="0"/>
        <w:autoSpaceDN w:val="0"/>
        <w:adjustRightInd w:val="0"/>
        <w:jc w:val="both"/>
        <w:rPr>
          <w:bCs/>
        </w:rPr>
      </w:pPr>
    </w:p>
    <w:p w:rsidR="009A147D" w:rsidRPr="00BE7CAE" w:rsidRDefault="009A147D" w:rsidP="00716113">
      <w:pPr>
        <w:pStyle w:val="Odstavecseseznamem"/>
        <w:widowControl w:val="0"/>
        <w:numPr>
          <w:ilvl w:val="0"/>
          <w:numId w:val="14"/>
        </w:numPr>
        <w:autoSpaceDE w:val="0"/>
        <w:autoSpaceDN w:val="0"/>
        <w:adjustRightInd w:val="0"/>
        <w:spacing w:line="360" w:lineRule="auto"/>
        <w:ind w:left="426" w:hanging="426"/>
        <w:jc w:val="both"/>
        <w:rPr>
          <w:bCs/>
        </w:rPr>
      </w:pPr>
      <w:r w:rsidRPr="009A147D">
        <w:rPr>
          <w:bCs/>
        </w:rPr>
        <w:t xml:space="preserve">Obec </w:t>
      </w:r>
      <w:r w:rsidR="002F1299">
        <w:rPr>
          <w:bCs/>
        </w:rPr>
        <w:t>Petrohrad</w:t>
      </w:r>
      <w:r w:rsidRPr="009A147D">
        <w:rPr>
          <w:bCs/>
        </w:rPr>
        <w:t xml:space="preserve"> se zavazuje státnímu podniku Povodí Ohře </w:t>
      </w:r>
      <w:r w:rsidRPr="006B0C8A">
        <w:rPr>
          <w:bCs/>
        </w:rPr>
        <w:t>poskytnout kompletní přehled</w:t>
      </w:r>
      <w:r w:rsidRPr="009A147D">
        <w:rPr>
          <w:bCs/>
        </w:rPr>
        <w:t xml:space="preserve"> nákladů vzniklých a souvisejících s</w:t>
      </w:r>
      <w:r w:rsidRPr="009A147D">
        <w:t xml:space="preserve"> </w:t>
      </w:r>
      <w:r>
        <w:t xml:space="preserve">pořízením změny č. </w:t>
      </w:r>
      <w:r w:rsidR="00897341">
        <w:t>2</w:t>
      </w:r>
      <w:r>
        <w:t xml:space="preserve"> Územního plánu </w:t>
      </w:r>
      <w:r w:rsidR="002F1299">
        <w:t>Petrohrad</w:t>
      </w:r>
      <w:r>
        <w:t xml:space="preserve"> tak, aby bylo možn</w:t>
      </w:r>
      <w:r w:rsidR="00CC0CFF">
        <w:t>é</w:t>
      </w:r>
      <w:r>
        <w:t xml:space="preserve"> v případě kontroly doložit jejich oprávněnost a následnou úhradu.</w:t>
      </w:r>
      <w:r w:rsidR="00581972">
        <w:t xml:space="preserve"> </w:t>
      </w:r>
      <w:r w:rsidR="008555B9">
        <w:t>Předběžný návrh nákladů souvisejících s pořízením požadovaných změn č. 2 Územního plánu Petrohrad je uveden v příloze č. 2 této smlouvy.</w:t>
      </w:r>
    </w:p>
    <w:p w:rsidR="00BE7CAE" w:rsidRPr="00BE7CAE" w:rsidRDefault="00BE7CAE" w:rsidP="00BE7CAE">
      <w:pPr>
        <w:widowControl w:val="0"/>
        <w:autoSpaceDE w:val="0"/>
        <w:autoSpaceDN w:val="0"/>
        <w:adjustRightInd w:val="0"/>
        <w:spacing w:line="360" w:lineRule="auto"/>
        <w:jc w:val="both"/>
        <w:rPr>
          <w:bCs/>
        </w:rPr>
      </w:pPr>
    </w:p>
    <w:p w:rsidR="00B8465C" w:rsidRDefault="009A147D" w:rsidP="00716113">
      <w:pPr>
        <w:pStyle w:val="Odstavecseseznamem"/>
        <w:widowControl w:val="0"/>
        <w:numPr>
          <w:ilvl w:val="0"/>
          <w:numId w:val="14"/>
        </w:numPr>
        <w:autoSpaceDE w:val="0"/>
        <w:autoSpaceDN w:val="0"/>
        <w:adjustRightInd w:val="0"/>
        <w:spacing w:line="360" w:lineRule="auto"/>
        <w:ind w:left="426" w:hanging="426"/>
        <w:jc w:val="both"/>
        <w:rPr>
          <w:bCs/>
        </w:rPr>
      </w:pPr>
      <w:r w:rsidRPr="00CC0CFF">
        <w:rPr>
          <w:bCs/>
        </w:rPr>
        <w:t xml:space="preserve">Povodí Ohře, státní podnik, se zavazuje uhradit obci </w:t>
      </w:r>
      <w:r w:rsidR="002F1299">
        <w:rPr>
          <w:bCs/>
        </w:rPr>
        <w:t>Petrohrad</w:t>
      </w:r>
      <w:r w:rsidRPr="00CC0CFF">
        <w:rPr>
          <w:bCs/>
        </w:rPr>
        <w:t xml:space="preserve"> veškeré náklady vzniklé a související s pořízením změny č. </w:t>
      </w:r>
      <w:r w:rsidR="00897341">
        <w:rPr>
          <w:bCs/>
        </w:rPr>
        <w:t>2</w:t>
      </w:r>
      <w:r w:rsidRPr="00CC0CFF">
        <w:rPr>
          <w:bCs/>
        </w:rPr>
        <w:t xml:space="preserve"> Územního plánu </w:t>
      </w:r>
      <w:r w:rsidR="002F1299">
        <w:rPr>
          <w:bCs/>
        </w:rPr>
        <w:t>Petrohrad</w:t>
      </w:r>
      <w:r w:rsidR="00B8465C" w:rsidRPr="00CC0CFF">
        <w:rPr>
          <w:bCs/>
        </w:rPr>
        <w:t xml:space="preserve">, a to na základě faktur vystavených obcí </w:t>
      </w:r>
      <w:r w:rsidR="002F1299">
        <w:rPr>
          <w:bCs/>
        </w:rPr>
        <w:t>Petrohrad</w:t>
      </w:r>
      <w:r w:rsidR="00B8465C" w:rsidRPr="00CC0CFF">
        <w:rPr>
          <w:bCs/>
        </w:rPr>
        <w:t>.</w:t>
      </w:r>
    </w:p>
    <w:p w:rsidR="00BE7CAE" w:rsidRPr="00BE7CAE" w:rsidRDefault="00BE7CAE" w:rsidP="00BE7CAE">
      <w:pPr>
        <w:pStyle w:val="Odstavecseseznamem"/>
        <w:rPr>
          <w:bCs/>
        </w:rPr>
      </w:pPr>
    </w:p>
    <w:p w:rsidR="00897341" w:rsidRDefault="00897341" w:rsidP="00716113">
      <w:pPr>
        <w:pStyle w:val="Odstavecseseznamem"/>
        <w:widowControl w:val="0"/>
        <w:numPr>
          <w:ilvl w:val="0"/>
          <w:numId w:val="14"/>
        </w:numPr>
        <w:autoSpaceDE w:val="0"/>
        <w:autoSpaceDN w:val="0"/>
        <w:adjustRightInd w:val="0"/>
        <w:spacing w:line="360" w:lineRule="auto"/>
        <w:ind w:left="426" w:hanging="426"/>
        <w:jc w:val="both"/>
        <w:rPr>
          <w:bCs/>
        </w:rPr>
      </w:pPr>
      <w:r>
        <w:rPr>
          <w:bCs/>
        </w:rPr>
        <w:t xml:space="preserve">Náklady budou fakturovány </w:t>
      </w:r>
      <w:r w:rsidR="002F372D">
        <w:rPr>
          <w:bCs/>
        </w:rPr>
        <w:t xml:space="preserve">samostatně </w:t>
      </w:r>
      <w:r>
        <w:rPr>
          <w:bCs/>
        </w:rPr>
        <w:t xml:space="preserve">na část uhrazenou za aktualizaci č. </w:t>
      </w:r>
      <w:r w:rsidR="002F372D">
        <w:rPr>
          <w:bCs/>
        </w:rPr>
        <w:t>4</w:t>
      </w:r>
      <w:r>
        <w:rPr>
          <w:bCs/>
        </w:rPr>
        <w:t xml:space="preserve"> ZÚR Ústeckého kraje a </w:t>
      </w:r>
      <w:r w:rsidR="002F372D">
        <w:rPr>
          <w:bCs/>
        </w:rPr>
        <w:t xml:space="preserve">samostatně </w:t>
      </w:r>
      <w:r>
        <w:rPr>
          <w:bCs/>
        </w:rPr>
        <w:t xml:space="preserve">na část </w:t>
      </w:r>
      <w:r w:rsidR="00AE621B">
        <w:rPr>
          <w:bCs/>
        </w:rPr>
        <w:t xml:space="preserve">uhrazenou </w:t>
      </w:r>
      <w:r>
        <w:rPr>
          <w:bCs/>
        </w:rPr>
        <w:t xml:space="preserve">za změnu vyvolanou přípravou akce: </w:t>
      </w:r>
      <w:r w:rsidR="002F372D">
        <w:rPr>
          <w:bCs/>
        </w:rPr>
        <w:lastRenderedPageBreak/>
        <w:t>„</w:t>
      </w:r>
      <w:r>
        <w:rPr>
          <w:bCs/>
        </w:rPr>
        <w:t>Vodohospodářská opatření v krajině – lokalita Petrohrad</w:t>
      </w:r>
      <w:r w:rsidR="002F372D">
        <w:rPr>
          <w:bCs/>
        </w:rPr>
        <w:t>“</w:t>
      </w:r>
      <w:r>
        <w:rPr>
          <w:bCs/>
        </w:rPr>
        <w:t>.</w:t>
      </w:r>
    </w:p>
    <w:p w:rsidR="00BE7CAE" w:rsidRPr="00BE7CAE" w:rsidRDefault="00BE7CAE" w:rsidP="00BE7CAE">
      <w:pPr>
        <w:pStyle w:val="Odstavecseseznamem"/>
        <w:rPr>
          <w:bCs/>
        </w:rPr>
      </w:pPr>
    </w:p>
    <w:p w:rsidR="00B8465C" w:rsidRDefault="00B8465C" w:rsidP="00716113">
      <w:pPr>
        <w:pStyle w:val="Odstavecseseznamem"/>
        <w:widowControl w:val="0"/>
        <w:numPr>
          <w:ilvl w:val="0"/>
          <w:numId w:val="14"/>
        </w:numPr>
        <w:autoSpaceDE w:val="0"/>
        <w:autoSpaceDN w:val="0"/>
        <w:adjustRightInd w:val="0"/>
        <w:spacing w:line="360" w:lineRule="auto"/>
        <w:ind w:left="426" w:hanging="426"/>
        <w:jc w:val="both"/>
        <w:rPr>
          <w:bCs/>
        </w:rPr>
      </w:pPr>
      <w:r w:rsidRPr="00CC0CFF">
        <w:rPr>
          <w:bCs/>
        </w:rPr>
        <w:t xml:space="preserve">Faktury dle této smlouvy budou mít náležitosti účetního dokladu v souladu s § 11 odst. 1) zákona č. 563/1991 Sb., o účetnictví, ve znění pozdějších předpisů, a náležitosti stanovené obecně závaznými právními předpisy. Faktury lze předat i elektronicky na adresu: </w:t>
      </w:r>
      <w:hyperlink r:id="rId7" w:history="1">
        <w:r w:rsidR="00BE7CAE" w:rsidRPr="003F443A">
          <w:rPr>
            <w:rStyle w:val="Hypertextovodkaz"/>
            <w:bCs/>
          </w:rPr>
          <w:t>faktury-pr@poh.cz</w:t>
        </w:r>
      </w:hyperlink>
      <w:r w:rsidRPr="00CC0CFF">
        <w:rPr>
          <w:bCs/>
        </w:rPr>
        <w:t>.</w:t>
      </w:r>
    </w:p>
    <w:p w:rsidR="00BE7CAE" w:rsidRPr="00BE7CAE" w:rsidRDefault="00BE7CAE" w:rsidP="00BE7CAE">
      <w:pPr>
        <w:pStyle w:val="Odstavecseseznamem"/>
        <w:rPr>
          <w:bCs/>
        </w:rPr>
      </w:pPr>
    </w:p>
    <w:p w:rsidR="00BE7CAE" w:rsidRPr="00BE7CAE" w:rsidRDefault="00BE7CAE" w:rsidP="00BE7CAE">
      <w:pPr>
        <w:widowControl w:val="0"/>
        <w:autoSpaceDE w:val="0"/>
        <w:autoSpaceDN w:val="0"/>
        <w:adjustRightInd w:val="0"/>
        <w:spacing w:line="360" w:lineRule="auto"/>
        <w:jc w:val="both"/>
        <w:rPr>
          <w:bCs/>
        </w:rPr>
      </w:pPr>
    </w:p>
    <w:p w:rsidR="00B8465C" w:rsidRDefault="00B8465C" w:rsidP="00716113">
      <w:pPr>
        <w:pStyle w:val="Odstavecseseznamem"/>
        <w:widowControl w:val="0"/>
        <w:numPr>
          <w:ilvl w:val="0"/>
          <w:numId w:val="14"/>
        </w:numPr>
        <w:autoSpaceDE w:val="0"/>
        <w:autoSpaceDN w:val="0"/>
        <w:adjustRightInd w:val="0"/>
        <w:spacing w:line="360" w:lineRule="auto"/>
        <w:ind w:left="426" w:hanging="426"/>
        <w:jc w:val="both"/>
        <w:rPr>
          <w:bCs/>
        </w:rPr>
      </w:pPr>
      <w:r w:rsidRPr="00CC0CFF">
        <w:rPr>
          <w:bCs/>
        </w:rPr>
        <w:t>Lhůta splatnosti faktury činí 30 kalendářních dnů ode dne doručení Povodí Ohře, státní podnik.</w:t>
      </w:r>
    </w:p>
    <w:p w:rsidR="00BE7CAE" w:rsidRPr="00BE7CAE" w:rsidRDefault="00BE7CAE" w:rsidP="00BE7CAE">
      <w:pPr>
        <w:widowControl w:val="0"/>
        <w:autoSpaceDE w:val="0"/>
        <w:autoSpaceDN w:val="0"/>
        <w:adjustRightInd w:val="0"/>
        <w:spacing w:line="360" w:lineRule="auto"/>
        <w:jc w:val="both"/>
        <w:rPr>
          <w:bCs/>
        </w:rPr>
      </w:pPr>
    </w:p>
    <w:p w:rsidR="00B8465C" w:rsidRDefault="00B8465C" w:rsidP="00716113">
      <w:pPr>
        <w:pStyle w:val="Odstavecseseznamem"/>
        <w:widowControl w:val="0"/>
        <w:numPr>
          <w:ilvl w:val="0"/>
          <w:numId w:val="14"/>
        </w:numPr>
        <w:autoSpaceDE w:val="0"/>
        <w:autoSpaceDN w:val="0"/>
        <w:adjustRightInd w:val="0"/>
        <w:spacing w:line="360" w:lineRule="auto"/>
        <w:ind w:left="426" w:hanging="426"/>
        <w:jc w:val="both"/>
        <w:rPr>
          <w:bCs/>
        </w:rPr>
      </w:pPr>
      <w:r w:rsidRPr="00CC0CFF">
        <w:rPr>
          <w:bCs/>
        </w:rPr>
        <w:t xml:space="preserve">Povinnost uhradit peněžní plnění dle této smlouvy je splněna dnem připsání příslušné částky na účet obce </w:t>
      </w:r>
      <w:r w:rsidR="002F1299">
        <w:rPr>
          <w:bCs/>
        </w:rPr>
        <w:t>Petrohrad</w:t>
      </w:r>
      <w:r w:rsidRPr="00CC0CFF">
        <w:rPr>
          <w:bCs/>
        </w:rPr>
        <w:t>.</w:t>
      </w:r>
    </w:p>
    <w:p w:rsidR="00BE7CAE" w:rsidRPr="00BE7CAE" w:rsidRDefault="00BE7CAE" w:rsidP="00BE7CAE">
      <w:pPr>
        <w:pStyle w:val="Odstavecseseznamem"/>
        <w:rPr>
          <w:bCs/>
        </w:rPr>
      </w:pPr>
    </w:p>
    <w:p w:rsidR="008F39FC" w:rsidRPr="00B8465C" w:rsidRDefault="00B8465C" w:rsidP="00716113">
      <w:pPr>
        <w:pStyle w:val="Odstavecseseznamem"/>
        <w:widowControl w:val="0"/>
        <w:numPr>
          <w:ilvl w:val="0"/>
          <w:numId w:val="14"/>
        </w:numPr>
        <w:autoSpaceDE w:val="0"/>
        <w:autoSpaceDN w:val="0"/>
        <w:adjustRightInd w:val="0"/>
        <w:spacing w:line="360" w:lineRule="auto"/>
        <w:ind w:left="426" w:hanging="426"/>
        <w:jc w:val="both"/>
        <w:rPr>
          <w:bCs/>
        </w:rPr>
      </w:pPr>
      <w:r w:rsidRPr="00CC0CFF">
        <w:rPr>
          <w:bCs/>
        </w:rPr>
        <w:t xml:space="preserve">Nebude-li faktura obsahovat některou povinnou nebo dohodnutou náležitost nebo bude-li chybně vyúčtována příslušná částka, je státní podnik Povodí Ohře oprávněn fakturu před uplynutím lhůty splatnosti vrátit druhé straně k provedení opravy s vyznačením důvodu vrácení. Obec </w:t>
      </w:r>
      <w:r w:rsidR="002F1299">
        <w:rPr>
          <w:bCs/>
        </w:rPr>
        <w:t>Petrohrad</w:t>
      </w:r>
      <w:r w:rsidRPr="00CC0CFF">
        <w:rPr>
          <w:bCs/>
        </w:rPr>
        <w:t xml:space="preserve"> provede opravu vystavením nové faktury. Vrácením </w:t>
      </w:r>
      <w:r w:rsidR="002F372D">
        <w:rPr>
          <w:bCs/>
        </w:rPr>
        <w:t xml:space="preserve">opraveného dokladu </w:t>
      </w:r>
      <w:r w:rsidR="002F372D" w:rsidRPr="00CC0CFF">
        <w:rPr>
          <w:bCs/>
        </w:rPr>
        <w:t xml:space="preserve">běží </w:t>
      </w:r>
      <w:r w:rsidRPr="00CC0CFF">
        <w:rPr>
          <w:bCs/>
        </w:rPr>
        <w:t>lhůta splatnosti ode dne doručení nové faktury státnímu podniku Povodí Ohře.</w:t>
      </w:r>
      <w:r w:rsidRPr="00B8465C">
        <w:rPr>
          <w:bCs/>
        </w:rPr>
        <w:t xml:space="preserve"> </w:t>
      </w:r>
    </w:p>
    <w:p w:rsidR="00B8465C" w:rsidRDefault="00B8465C" w:rsidP="0064571D">
      <w:pPr>
        <w:widowControl w:val="0"/>
        <w:tabs>
          <w:tab w:val="left" w:pos="360"/>
          <w:tab w:val="left" w:pos="737"/>
        </w:tabs>
        <w:autoSpaceDE w:val="0"/>
        <w:autoSpaceDN w:val="0"/>
        <w:adjustRightInd w:val="0"/>
        <w:ind w:left="284" w:hanging="284"/>
        <w:jc w:val="center"/>
        <w:rPr>
          <w:b/>
          <w:bCs/>
        </w:rPr>
      </w:pPr>
    </w:p>
    <w:p w:rsidR="00B8465C" w:rsidRPr="00B8465C" w:rsidRDefault="00B8465C" w:rsidP="00B8465C">
      <w:pPr>
        <w:widowControl w:val="0"/>
        <w:tabs>
          <w:tab w:val="left" w:pos="360"/>
          <w:tab w:val="left" w:pos="737"/>
        </w:tabs>
        <w:autoSpaceDE w:val="0"/>
        <w:autoSpaceDN w:val="0"/>
        <w:adjustRightInd w:val="0"/>
        <w:ind w:left="284" w:hanging="284"/>
        <w:jc w:val="center"/>
        <w:rPr>
          <w:b/>
          <w:bCs/>
        </w:rPr>
      </w:pPr>
      <w:r w:rsidRPr="00B8465C">
        <w:rPr>
          <w:b/>
          <w:bCs/>
        </w:rPr>
        <w:t>V.</w:t>
      </w:r>
    </w:p>
    <w:p w:rsidR="00B8465C" w:rsidRPr="00B8465C" w:rsidRDefault="00B8465C" w:rsidP="00B8465C">
      <w:pPr>
        <w:widowControl w:val="0"/>
        <w:tabs>
          <w:tab w:val="left" w:pos="360"/>
          <w:tab w:val="left" w:pos="737"/>
        </w:tabs>
        <w:autoSpaceDE w:val="0"/>
        <w:autoSpaceDN w:val="0"/>
        <w:adjustRightInd w:val="0"/>
        <w:ind w:left="284" w:hanging="284"/>
        <w:jc w:val="center"/>
        <w:rPr>
          <w:b/>
          <w:bCs/>
        </w:rPr>
      </w:pPr>
      <w:proofErr w:type="spellStart"/>
      <w:r w:rsidRPr="00B8465C">
        <w:rPr>
          <w:b/>
          <w:bCs/>
        </w:rPr>
        <w:t>Compliance</w:t>
      </w:r>
      <w:proofErr w:type="spellEnd"/>
      <w:r w:rsidRPr="00B8465C">
        <w:rPr>
          <w:b/>
          <w:bCs/>
        </w:rPr>
        <w:t xml:space="preserve"> doložka</w:t>
      </w:r>
    </w:p>
    <w:p w:rsidR="00B8465C" w:rsidRPr="00B8465C" w:rsidRDefault="00B8465C" w:rsidP="00B8465C">
      <w:pPr>
        <w:widowControl w:val="0"/>
        <w:tabs>
          <w:tab w:val="left" w:pos="360"/>
          <w:tab w:val="left" w:pos="737"/>
        </w:tabs>
        <w:autoSpaceDE w:val="0"/>
        <w:autoSpaceDN w:val="0"/>
        <w:adjustRightInd w:val="0"/>
        <w:ind w:left="284" w:hanging="284"/>
        <w:jc w:val="both"/>
        <w:rPr>
          <w:bCs/>
        </w:rPr>
      </w:pPr>
    </w:p>
    <w:p w:rsidR="00B8465C" w:rsidRPr="00B8465C" w:rsidRDefault="00B8465C" w:rsidP="00716113">
      <w:pPr>
        <w:widowControl w:val="0"/>
        <w:tabs>
          <w:tab w:val="left" w:pos="360"/>
          <w:tab w:val="left" w:pos="737"/>
        </w:tabs>
        <w:autoSpaceDE w:val="0"/>
        <w:autoSpaceDN w:val="0"/>
        <w:adjustRightInd w:val="0"/>
        <w:spacing w:line="360" w:lineRule="auto"/>
        <w:ind w:left="284" w:hanging="284"/>
        <w:jc w:val="both"/>
        <w:rPr>
          <w:bCs/>
        </w:rPr>
      </w:pPr>
      <w:r w:rsidRPr="00B8465C">
        <w:rPr>
          <w:bCs/>
        </w:rPr>
        <w:t>1.</w:t>
      </w:r>
      <w:r w:rsidRPr="00B8465C">
        <w:rPr>
          <w:bCs/>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8465C" w:rsidRPr="00B8465C" w:rsidRDefault="00B8465C" w:rsidP="00716113">
      <w:pPr>
        <w:widowControl w:val="0"/>
        <w:tabs>
          <w:tab w:val="left" w:pos="360"/>
          <w:tab w:val="left" w:pos="737"/>
        </w:tabs>
        <w:autoSpaceDE w:val="0"/>
        <w:autoSpaceDN w:val="0"/>
        <w:adjustRightInd w:val="0"/>
        <w:spacing w:line="360" w:lineRule="auto"/>
        <w:ind w:left="284" w:hanging="284"/>
        <w:jc w:val="both"/>
        <w:rPr>
          <w:bCs/>
        </w:rPr>
      </w:pPr>
    </w:p>
    <w:p w:rsidR="00B8465C" w:rsidRPr="00B8465C" w:rsidRDefault="00B8465C" w:rsidP="00716113">
      <w:pPr>
        <w:widowControl w:val="0"/>
        <w:tabs>
          <w:tab w:val="left" w:pos="360"/>
          <w:tab w:val="left" w:pos="737"/>
        </w:tabs>
        <w:autoSpaceDE w:val="0"/>
        <w:autoSpaceDN w:val="0"/>
        <w:adjustRightInd w:val="0"/>
        <w:spacing w:line="360" w:lineRule="auto"/>
        <w:ind w:left="284" w:hanging="284"/>
        <w:jc w:val="both"/>
        <w:rPr>
          <w:bCs/>
        </w:rPr>
      </w:pPr>
      <w:r w:rsidRPr="00B8465C">
        <w:rPr>
          <w:bCs/>
        </w:rPr>
        <w:t>2.</w:t>
      </w:r>
      <w:r w:rsidRPr="00B8465C">
        <w:rPr>
          <w:bCs/>
        </w:rPr>
        <w:tab/>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B8465C" w:rsidRPr="00B8465C" w:rsidRDefault="00B8465C" w:rsidP="00716113">
      <w:pPr>
        <w:widowControl w:val="0"/>
        <w:tabs>
          <w:tab w:val="left" w:pos="360"/>
          <w:tab w:val="left" w:pos="737"/>
        </w:tabs>
        <w:autoSpaceDE w:val="0"/>
        <w:autoSpaceDN w:val="0"/>
        <w:adjustRightInd w:val="0"/>
        <w:spacing w:line="360" w:lineRule="auto"/>
        <w:ind w:left="284" w:hanging="284"/>
        <w:jc w:val="both"/>
        <w:rPr>
          <w:bCs/>
        </w:rPr>
      </w:pPr>
    </w:p>
    <w:p w:rsidR="00B8465C" w:rsidRPr="00B8465C" w:rsidRDefault="00B8465C" w:rsidP="00716113">
      <w:pPr>
        <w:widowControl w:val="0"/>
        <w:tabs>
          <w:tab w:val="left" w:pos="360"/>
          <w:tab w:val="left" w:pos="737"/>
        </w:tabs>
        <w:autoSpaceDE w:val="0"/>
        <w:autoSpaceDN w:val="0"/>
        <w:adjustRightInd w:val="0"/>
        <w:spacing w:line="360" w:lineRule="auto"/>
        <w:ind w:left="284" w:hanging="284"/>
        <w:jc w:val="both"/>
        <w:rPr>
          <w:bCs/>
        </w:rPr>
      </w:pPr>
      <w:r w:rsidRPr="00B8465C">
        <w:rPr>
          <w:bCs/>
        </w:rPr>
        <w:t>3.</w:t>
      </w:r>
      <w:r w:rsidRPr="00B8465C">
        <w:rPr>
          <w:bCs/>
        </w:rPr>
        <w:tab/>
      </w:r>
      <w:r w:rsidR="00E244A6">
        <w:rPr>
          <w:bCs/>
        </w:rPr>
        <w:t xml:space="preserve">Obec </w:t>
      </w:r>
      <w:r w:rsidR="002F1299">
        <w:rPr>
          <w:bCs/>
        </w:rPr>
        <w:t>Petrohrad</w:t>
      </w:r>
      <w:r w:rsidRPr="00B8465C">
        <w:rPr>
          <w:bCs/>
        </w:rPr>
        <w:t xml:space="preserve"> prohlašuje, že se seznámil se zásadami, hodnotami a cíli </w:t>
      </w:r>
      <w:proofErr w:type="spellStart"/>
      <w:r w:rsidRPr="00B8465C">
        <w:rPr>
          <w:bCs/>
        </w:rPr>
        <w:t>Compliance</w:t>
      </w:r>
      <w:proofErr w:type="spellEnd"/>
      <w:r w:rsidRPr="00B8465C">
        <w:rPr>
          <w:bCs/>
        </w:rPr>
        <w:t xml:space="preserve"> </w:t>
      </w:r>
      <w:r w:rsidRPr="00B8465C">
        <w:rPr>
          <w:bCs/>
        </w:rPr>
        <w:lastRenderedPageBreak/>
        <w:t xml:space="preserve">programu Povodí Ohře, státní podnik (viz http://www.poh.cz/protikorupcni-a-compliance-program/d-1346/p1=1458), dále s Etickým kodexem Povodí Ohře, státní podnik a Protikorupčním programem Povodí Ohře, státní podnik. </w:t>
      </w:r>
      <w:r w:rsidR="00E244A6">
        <w:rPr>
          <w:bCs/>
        </w:rPr>
        <w:t xml:space="preserve">Obec </w:t>
      </w:r>
      <w:r w:rsidR="002F1299">
        <w:rPr>
          <w:bCs/>
        </w:rPr>
        <w:t>Petrohrad</w:t>
      </w:r>
      <w:r w:rsidRPr="00B8465C">
        <w:rPr>
          <w:bCs/>
        </w:rPr>
        <w:t xml:space="preserve"> se při plnění této Smlouvy zavazuje po celou dobu jejího trvání dodržovat zásady a hodnoty obsažené v uvedených dokumentech, pokud to jejich povaha umožňuje.</w:t>
      </w:r>
    </w:p>
    <w:p w:rsidR="00B8465C" w:rsidRPr="00B8465C" w:rsidRDefault="00B8465C" w:rsidP="00716113">
      <w:pPr>
        <w:widowControl w:val="0"/>
        <w:tabs>
          <w:tab w:val="left" w:pos="360"/>
          <w:tab w:val="left" w:pos="737"/>
        </w:tabs>
        <w:autoSpaceDE w:val="0"/>
        <w:autoSpaceDN w:val="0"/>
        <w:adjustRightInd w:val="0"/>
        <w:spacing w:line="360" w:lineRule="auto"/>
        <w:ind w:left="284" w:hanging="284"/>
        <w:jc w:val="both"/>
        <w:rPr>
          <w:bCs/>
        </w:rPr>
      </w:pPr>
    </w:p>
    <w:p w:rsidR="00B8465C" w:rsidRPr="00B8465C" w:rsidRDefault="00B8465C" w:rsidP="00716113">
      <w:pPr>
        <w:widowControl w:val="0"/>
        <w:tabs>
          <w:tab w:val="left" w:pos="360"/>
          <w:tab w:val="left" w:pos="737"/>
        </w:tabs>
        <w:autoSpaceDE w:val="0"/>
        <w:autoSpaceDN w:val="0"/>
        <w:adjustRightInd w:val="0"/>
        <w:spacing w:line="360" w:lineRule="auto"/>
        <w:ind w:left="284" w:hanging="284"/>
        <w:jc w:val="both"/>
        <w:rPr>
          <w:bCs/>
        </w:rPr>
      </w:pPr>
      <w:r w:rsidRPr="00B8465C">
        <w:rPr>
          <w:bCs/>
        </w:rPr>
        <w:t>4.</w:t>
      </w:r>
      <w:r w:rsidRPr="00B8465C">
        <w:rPr>
          <w:bCs/>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8465C" w:rsidRDefault="00B8465C" w:rsidP="00B8465C">
      <w:pPr>
        <w:widowControl w:val="0"/>
        <w:tabs>
          <w:tab w:val="left" w:pos="360"/>
          <w:tab w:val="left" w:pos="737"/>
        </w:tabs>
        <w:autoSpaceDE w:val="0"/>
        <w:autoSpaceDN w:val="0"/>
        <w:adjustRightInd w:val="0"/>
        <w:ind w:left="284" w:hanging="284"/>
        <w:jc w:val="both"/>
        <w:rPr>
          <w:bCs/>
        </w:rPr>
      </w:pPr>
    </w:p>
    <w:p w:rsidR="00BE7CAE" w:rsidRPr="00B8465C" w:rsidRDefault="00BE7CAE" w:rsidP="00B8465C">
      <w:pPr>
        <w:widowControl w:val="0"/>
        <w:tabs>
          <w:tab w:val="left" w:pos="360"/>
          <w:tab w:val="left" w:pos="737"/>
        </w:tabs>
        <w:autoSpaceDE w:val="0"/>
        <w:autoSpaceDN w:val="0"/>
        <w:adjustRightInd w:val="0"/>
        <w:ind w:left="284" w:hanging="284"/>
        <w:jc w:val="both"/>
        <w:rPr>
          <w:bCs/>
        </w:rPr>
      </w:pPr>
    </w:p>
    <w:p w:rsidR="00B8465C" w:rsidRPr="00B8465C" w:rsidRDefault="00B8465C" w:rsidP="00B8465C">
      <w:pPr>
        <w:widowControl w:val="0"/>
        <w:tabs>
          <w:tab w:val="left" w:pos="360"/>
          <w:tab w:val="left" w:pos="737"/>
        </w:tabs>
        <w:autoSpaceDE w:val="0"/>
        <w:autoSpaceDN w:val="0"/>
        <w:adjustRightInd w:val="0"/>
        <w:ind w:left="284" w:hanging="284"/>
        <w:jc w:val="center"/>
        <w:rPr>
          <w:b/>
          <w:bCs/>
        </w:rPr>
      </w:pPr>
      <w:r w:rsidRPr="00B8465C">
        <w:rPr>
          <w:b/>
          <w:bCs/>
        </w:rPr>
        <w:t>Článek VI.</w:t>
      </w:r>
    </w:p>
    <w:p w:rsidR="00B8465C" w:rsidRPr="00B8465C" w:rsidRDefault="00B8465C" w:rsidP="00B8465C">
      <w:pPr>
        <w:widowControl w:val="0"/>
        <w:tabs>
          <w:tab w:val="left" w:pos="360"/>
          <w:tab w:val="left" w:pos="737"/>
        </w:tabs>
        <w:autoSpaceDE w:val="0"/>
        <w:autoSpaceDN w:val="0"/>
        <w:adjustRightInd w:val="0"/>
        <w:ind w:left="284" w:hanging="284"/>
        <w:jc w:val="center"/>
        <w:rPr>
          <w:b/>
          <w:bCs/>
        </w:rPr>
      </w:pPr>
      <w:r w:rsidRPr="00B8465C">
        <w:rPr>
          <w:b/>
          <w:bCs/>
        </w:rPr>
        <w:t>Ochrana a zpracování osobních údajů</w:t>
      </w:r>
    </w:p>
    <w:p w:rsidR="00B8465C" w:rsidRPr="00B8465C" w:rsidRDefault="00B8465C" w:rsidP="00B8465C">
      <w:pPr>
        <w:widowControl w:val="0"/>
        <w:tabs>
          <w:tab w:val="left" w:pos="360"/>
          <w:tab w:val="left" w:pos="737"/>
        </w:tabs>
        <w:autoSpaceDE w:val="0"/>
        <w:autoSpaceDN w:val="0"/>
        <w:adjustRightInd w:val="0"/>
        <w:ind w:left="284" w:hanging="284"/>
        <w:jc w:val="both"/>
        <w:rPr>
          <w:bCs/>
        </w:rPr>
      </w:pPr>
    </w:p>
    <w:p w:rsidR="00B8465C" w:rsidRPr="00B8465C" w:rsidRDefault="00B8465C" w:rsidP="00716113">
      <w:pPr>
        <w:widowControl w:val="0"/>
        <w:tabs>
          <w:tab w:val="left" w:pos="360"/>
          <w:tab w:val="left" w:pos="737"/>
        </w:tabs>
        <w:autoSpaceDE w:val="0"/>
        <w:autoSpaceDN w:val="0"/>
        <w:adjustRightInd w:val="0"/>
        <w:spacing w:line="360" w:lineRule="auto"/>
        <w:ind w:left="284"/>
        <w:jc w:val="both"/>
        <w:rPr>
          <w:bCs/>
        </w:rPr>
      </w:pPr>
      <w:r w:rsidRPr="00B8465C">
        <w:rPr>
          <w:bCs/>
        </w:rPr>
        <w:t>V případě, že v souvislosti s touto smlouvou dochází ke zpracovávání osobních údajů, jsou tyto zpracovávány v souladu s platnými právními předpisy, které upravují ochranu a</w:t>
      </w:r>
      <w:r w:rsidR="00CC0CFF">
        <w:rPr>
          <w:bCs/>
        </w:rPr>
        <w:t> </w:t>
      </w:r>
      <w:r w:rsidRPr="00B8465C">
        <w:rPr>
          <w:bCs/>
        </w:rPr>
        <w:t>zpracování osobních údajů, zejména s nařízením Evropského parlamentu a Rady (EU) č.</w:t>
      </w:r>
      <w:r w:rsidR="00CC0CFF">
        <w:rPr>
          <w:bCs/>
        </w:rPr>
        <w:t> </w:t>
      </w:r>
      <w:r w:rsidRPr="00B8465C">
        <w:rPr>
          <w:bCs/>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sidR="00CC0CFF">
        <w:rPr>
          <w:bCs/>
        </w:rPr>
        <w:t> </w:t>
      </w:r>
      <w:r w:rsidRPr="00B8465C">
        <w:rPr>
          <w:bCs/>
        </w:rPr>
        <w:t>důvodu zpracování, naleznete na internetových stránkách státního podniku Povodí Ohře, konkrétně na http://www.poh.cz/informace-o-zpracovani-osobnich-udaju/d-1369/p1=1459.</w:t>
      </w:r>
    </w:p>
    <w:p w:rsidR="00B8465C" w:rsidRPr="00FF3877" w:rsidRDefault="00B8465C" w:rsidP="00716113">
      <w:pPr>
        <w:widowControl w:val="0"/>
        <w:tabs>
          <w:tab w:val="left" w:pos="360"/>
          <w:tab w:val="left" w:pos="737"/>
        </w:tabs>
        <w:autoSpaceDE w:val="0"/>
        <w:autoSpaceDN w:val="0"/>
        <w:adjustRightInd w:val="0"/>
        <w:spacing w:line="360" w:lineRule="auto"/>
        <w:ind w:left="284" w:hanging="284"/>
        <w:jc w:val="center"/>
        <w:rPr>
          <w:b/>
          <w:bCs/>
        </w:rPr>
      </w:pPr>
    </w:p>
    <w:p w:rsidR="00650F41" w:rsidRDefault="0031754B" w:rsidP="00716113">
      <w:pPr>
        <w:widowControl w:val="0"/>
        <w:tabs>
          <w:tab w:val="left" w:pos="360"/>
          <w:tab w:val="left" w:pos="737"/>
        </w:tabs>
        <w:autoSpaceDE w:val="0"/>
        <w:autoSpaceDN w:val="0"/>
        <w:adjustRightInd w:val="0"/>
        <w:spacing w:line="360" w:lineRule="auto"/>
        <w:ind w:left="284" w:hanging="284"/>
        <w:jc w:val="center"/>
        <w:rPr>
          <w:b/>
          <w:bCs/>
        </w:rPr>
      </w:pPr>
      <w:r w:rsidRPr="00FF3877">
        <w:rPr>
          <w:b/>
          <w:bCs/>
        </w:rPr>
        <w:t>V</w:t>
      </w:r>
      <w:r w:rsidR="00650F41">
        <w:rPr>
          <w:b/>
          <w:bCs/>
        </w:rPr>
        <w:t>II</w:t>
      </w:r>
      <w:r w:rsidR="00657269" w:rsidRPr="00FF3877">
        <w:rPr>
          <w:b/>
          <w:bCs/>
        </w:rPr>
        <w:t xml:space="preserve">. </w:t>
      </w:r>
    </w:p>
    <w:p w:rsidR="00657269" w:rsidRPr="00FF3877" w:rsidRDefault="00BD5C19" w:rsidP="00716113">
      <w:pPr>
        <w:widowControl w:val="0"/>
        <w:tabs>
          <w:tab w:val="left" w:pos="360"/>
          <w:tab w:val="left" w:pos="737"/>
        </w:tabs>
        <w:autoSpaceDE w:val="0"/>
        <w:autoSpaceDN w:val="0"/>
        <w:adjustRightInd w:val="0"/>
        <w:spacing w:line="360" w:lineRule="auto"/>
        <w:ind w:left="284" w:hanging="284"/>
        <w:jc w:val="center"/>
        <w:rPr>
          <w:b/>
          <w:bCs/>
        </w:rPr>
      </w:pPr>
      <w:r w:rsidRPr="00FF3877">
        <w:rPr>
          <w:b/>
          <w:bCs/>
        </w:rPr>
        <w:t>Závěrečná</w:t>
      </w:r>
      <w:r w:rsidR="00657269" w:rsidRPr="00FF3877">
        <w:rPr>
          <w:b/>
          <w:bCs/>
        </w:rPr>
        <w:t xml:space="preserve"> ujednání</w:t>
      </w:r>
    </w:p>
    <w:p w:rsidR="00B73606" w:rsidRPr="00B8465C" w:rsidRDefault="00B8465C" w:rsidP="00716113">
      <w:pPr>
        <w:widowControl w:val="0"/>
        <w:numPr>
          <w:ilvl w:val="0"/>
          <w:numId w:val="11"/>
        </w:numPr>
        <w:tabs>
          <w:tab w:val="left" w:pos="-1980"/>
          <w:tab w:val="left" w:pos="360"/>
          <w:tab w:val="left" w:pos="737"/>
        </w:tabs>
        <w:autoSpaceDE w:val="0"/>
        <w:autoSpaceDN w:val="0"/>
        <w:adjustRightInd w:val="0"/>
        <w:spacing w:line="360" w:lineRule="auto"/>
        <w:ind w:left="284" w:hanging="284"/>
        <w:jc w:val="both"/>
        <w:rPr>
          <w:bCs/>
        </w:rPr>
      </w:pPr>
      <w:r>
        <w:t>Obec</w:t>
      </w:r>
      <w:r w:rsidR="00A1669D" w:rsidRPr="00FF3877">
        <w:t xml:space="preserve"> </w:t>
      </w:r>
      <w:r w:rsidR="002F1299">
        <w:t>Petrohrad</w:t>
      </w:r>
      <w:r>
        <w:t xml:space="preserve"> </w:t>
      </w:r>
      <w:r w:rsidR="00A1669D" w:rsidRPr="00FF3877">
        <w:t xml:space="preserve">prohlašuje, že tato smlouva byla projednána a schválena </w:t>
      </w:r>
      <w:r>
        <w:t>zastupitelstvem obce d</w:t>
      </w:r>
      <w:r w:rsidR="00A1669D" w:rsidRPr="00FF3877">
        <w:t>ne</w:t>
      </w:r>
      <w:r w:rsidR="00037716">
        <w:t xml:space="preserve"> </w:t>
      </w:r>
      <w:r w:rsidR="00F1504F">
        <w:t>15.05.2023</w:t>
      </w:r>
      <w:r w:rsidR="00897341">
        <w:t>.</w:t>
      </w:r>
      <w:r w:rsidR="00A1669D" w:rsidRPr="00B8465C">
        <w:rPr>
          <w:bCs/>
        </w:rPr>
        <w:t xml:space="preserve">v souladu s platnými právními předpisy. Výpis z usnesení </w:t>
      </w:r>
      <w:r>
        <w:rPr>
          <w:bCs/>
        </w:rPr>
        <w:t xml:space="preserve">zastupitelstva obce </w:t>
      </w:r>
      <w:r w:rsidR="00A1669D" w:rsidRPr="00B8465C">
        <w:rPr>
          <w:bCs/>
        </w:rPr>
        <w:t xml:space="preserve">č. </w:t>
      </w:r>
      <w:r w:rsidR="00F1504F">
        <w:rPr>
          <w:bCs/>
        </w:rPr>
        <w:t xml:space="preserve">03/07/2023 </w:t>
      </w:r>
      <w:r w:rsidR="00A1669D" w:rsidRPr="00B8465C">
        <w:rPr>
          <w:bCs/>
        </w:rPr>
        <w:t xml:space="preserve">je přílohou </w:t>
      </w:r>
      <w:r w:rsidR="00F373AA" w:rsidRPr="00B8465C">
        <w:rPr>
          <w:bCs/>
        </w:rPr>
        <w:t>č. 1</w:t>
      </w:r>
      <w:r w:rsidR="00F373AA">
        <w:rPr>
          <w:bCs/>
        </w:rPr>
        <w:t xml:space="preserve"> </w:t>
      </w:r>
      <w:r w:rsidR="00A1669D" w:rsidRPr="00B8465C">
        <w:rPr>
          <w:bCs/>
        </w:rPr>
        <w:t>této smlouvy.</w:t>
      </w:r>
    </w:p>
    <w:p w:rsidR="00657269" w:rsidRPr="00FF3877" w:rsidRDefault="00657269" w:rsidP="00716113">
      <w:pPr>
        <w:widowControl w:val="0"/>
        <w:tabs>
          <w:tab w:val="left" w:pos="180"/>
          <w:tab w:val="left" w:pos="284"/>
          <w:tab w:val="left" w:pos="737"/>
        </w:tabs>
        <w:autoSpaceDE w:val="0"/>
        <w:autoSpaceDN w:val="0"/>
        <w:adjustRightInd w:val="0"/>
        <w:spacing w:line="360" w:lineRule="auto"/>
        <w:ind w:left="284" w:hanging="284"/>
        <w:jc w:val="both"/>
      </w:pPr>
    </w:p>
    <w:p w:rsidR="00657269" w:rsidRPr="00FF3877" w:rsidRDefault="001120EE" w:rsidP="00716113">
      <w:pPr>
        <w:widowControl w:val="0"/>
        <w:numPr>
          <w:ilvl w:val="0"/>
          <w:numId w:val="11"/>
        </w:numPr>
        <w:tabs>
          <w:tab w:val="left" w:pos="540"/>
          <w:tab w:val="left" w:pos="737"/>
        </w:tabs>
        <w:autoSpaceDE w:val="0"/>
        <w:autoSpaceDN w:val="0"/>
        <w:adjustRightInd w:val="0"/>
        <w:spacing w:line="360" w:lineRule="auto"/>
        <w:ind w:left="284" w:hanging="284"/>
        <w:jc w:val="both"/>
      </w:pPr>
      <w:r w:rsidRPr="00FF3877">
        <w:rPr>
          <w:bCs/>
        </w:rPr>
        <w:t xml:space="preserve"> </w:t>
      </w:r>
      <w:r w:rsidR="00893D76" w:rsidRPr="00FF3877">
        <w:rPr>
          <w:bCs/>
        </w:rPr>
        <w:t>Tato s</w:t>
      </w:r>
      <w:r w:rsidR="00657269" w:rsidRPr="00FF3877">
        <w:t xml:space="preserve">mlouva </w:t>
      </w:r>
      <w:r w:rsidR="00CF7FB4" w:rsidRPr="00FF3877">
        <w:t>byla uzavřena po</w:t>
      </w:r>
      <w:r w:rsidR="00B10A7D" w:rsidRPr="00FF3877">
        <w:t xml:space="preserve">dle § </w:t>
      </w:r>
      <w:r w:rsidR="00A1669D" w:rsidRPr="00FF3877">
        <w:t>1746 odst. 2</w:t>
      </w:r>
      <w:r w:rsidR="00B10A7D" w:rsidRPr="00FF3877">
        <w:t xml:space="preserve"> </w:t>
      </w:r>
      <w:r w:rsidR="00325D5D" w:rsidRPr="00FF3877">
        <w:t>z.č.</w:t>
      </w:r>
      <w:r w:rsidR="00A1669D" w:rsidRPr="00FF3877">
        <w:t xml:space="preserve">89/2012 </w:t>
      </w:r>
      <w:r w:rsidR="00325D5D" w:rsidRPr="00FF3877">
        <w:t xml:space="preserve">Sb. </w:t>
      </w:r>
      <w:r w:rsidR="00A1669D" w:rsidRPr="00FF3877">
        <w:t>Občanský zákoník</w:t>
      </w:r>
      <w:r w:rsidR="00657269" w:rsidRPr="00FF3877">
        <w:t xml:space="preserve"> a lze ji měnit jen na podkladě</w:t>
      </w:r>
      <w:r w:rsidR="00A1669D" w:rsidRPr="00FF3877">
        <w:t xml:space="preserve"> </w:t>
      </w:r>
      <w:r w:rsidR="00657269" w:rsidRPr="00FF3877">
        <w:t>písemných, vzájemně odsouhlasených dodatků.</w:t>
      </w:r>
    </w:p>
    <w:p w:rsidR="00A1669D" w:rsidRPr="00FF3877" w:rsidRDefault="00A1669D" w:rsidP="00716113">
      <w:pPr>
        <w:widowControl w:val="0"/>
        <w:tabs>
          <w:tab w:val="left" w:pos="540"/>
          <w:tab w:val="left" w:pos="737"/>
        </w:tabs>
        <w:autoSpaceDE w:val="0"/>
        <w:autoSpaceDN w:val="0"/>
        <w:adjustRightInd w:val="0"/>
        <w:spacing w:line="360" w:lineRule="auto"/>
        <w:ind w:left="284" w:hanging="284"/>
        <w:jc w:val="both"/>
      </w:pPr>
    </w:p>
    <w:p w:rsidR="00A1669D" w:rsidRPr="00FF3877" w:rsidRDefault="00A1669D" w:rsidP="00716113">
      <w:pPr>
        <w:widowControl w:val="0"/>
        <w:numPr>
          <w:ilvl w:val="0"/>
          <w:numId w:val="11"/>
        </w:numPr>
        <w:tabs>
          <w:tab w:val="left" w:pos="540"/>
          <w:tab w:val="left" w:pos="737"/>
        </w:tabs>
        <w:autoSpaceDE w:val="0"/>
        <w:autoSpaceDN w:val="0"/>
        <w:adjustRightInd w:val="0"/>
        <w:spacing w:line="360" w:lineRule="auto"/>
        <w:ind w:left="284" w:hanging="284"/>
        <w:jc w:val="both"/>
      </w:pPr>
      <w:r w:rsidRPr="00FF3877">
        <w:t xml:space="preserve">Smlouva nabývá platnosti </w:t>
      </w:r>
      <w:r w:rsidR="00B8465C">
        <w:t>a účinnosti dnem podpisu o</w:t>
      </w:r>
      <w:r w:rsidRPr="00FF3877">
        <w:t xml:space="preserve">běma smluvními </w:t>
      </w:r>
      <w:r w:rsidR="002D3078" w:rsidRPr="00FF3877">
        <w:t xml:space="preserve">stranami </w:t>
      </w:r>
      <w:r w:rsidR="002D3078">
        <w:t>a</w:t>
      </w:r>
      <w:r w:rsidR="00B8465C">
        <w:t xml:space="preserve"> </w:t>
      </w:r>
      <w:r w:rsidRPr="00FF3877">
        <w:t xml:space="preserve">lze ji </w:t>
      </w:r>
      <w:r w:rsidRPr="00FF3877">
        <w:lastRenderedPageBreak/>
        <w:t>ukončit pouze vzájemnou</w:t>
      </w:r>
      <w:r w:rsidR="00F373AA">
        <w:t>,</w:t>
      </w:r>
      <w:r w:rsidRPr="00FF3877">
        <w:t xml:space="preserve"> oběma stranami podepsanou</w:t>
      </w:r>
      <w:r w:rsidR="00F373AA">
        <w:t>,</w:t>
      </w:r>
      <w:r w:rsidRPr="00FF3877">
        <w:t xml:space="preserve"> dohodou. </w:t>
      </w:r>
    </w:p>
    <w:p w:rsidR="00657269" w:rsidRPr="00FF3877" w:rsidRDefault="00657269" w:rsidP="00716113">
      <w:pPr>
        <w:widowControl w:val="0"/>
        <w:tabs>
          <w:tab w:val="left" w:pos="180"/>
          <w:tab w:val="left" w:pos="284"/>
          <w:tab w:val="left" w:pos="737"/>
        </w:tabs>
        <w:autoSpaceDE w:val="0"/>
        <w:autoSpaceDN w:val="0"/>
        <w:adjustRightInd w:val="0"/>
        <w:spacing w:line="360" w:lineRule="auto"/>
        <w:ind w:left="284" w:hanging="284"/>
        <w:jc w:val="both"/>
      </w:pPr>
    </w:p>
    <w:p w:rsidR="00BA3E08" w:rsidRDefault="00BA3E08" w:rsidP="00716113">
      <w:pPr>
        <w:numPr>
          <w:ilvl w:val="0"/>
          <w:numId w:val="11"/>
        </w:numPr>
        <w:spacing w:line="360" w:lineRule="auto"/>
        <w:ind w:left="284" w:hanging="284"/>
        <w:jc w:val="both"/>
      </w:pPr>
      <w:r w:rsidRPr="00FF3877">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r w:rsidR="00115A5E">
        <w:t>.</w:t>
      </w:r>
    </w:p>
    <w:p w:rsidR="00716113" w:rsidRDefault="00716113" w:rsidP="00716113">
      <w:pPr>
        <w:pStyle w:val="Odstavecseseznamem"/>
      </w:pPr>
    </w:p>
    <w:p w:rsidR="00657269" w:rsidRPr="00FF3877" w:rsidRDefault="002D3078" w:rsidP="00716113">
      <w:pPr>
        <w:numPr>
          <w:ilvl w:val="0"/>
          <w:numId w:val="11"/>
        </w:numPr>
        <w:spacing w:line="360" w:lineRule="auto"/>
        <w:ind w:left="284" w:hanging="284"/>
        <w:jc w:val="both"/>
      </w:pPr>
      <w:r w:rsidRPr="00FF3877">
        <w:t>Smlouva je provedena ve čtyřech vyhotoveních, z nichž každá strana obdrží dvě</w:t>
      </w:r>
      <w:r w:rsidR="00657269" w:rsidRPr="00FF3877">
        <w:t xml:space="preserve"> vyhotovení.</w:t>
      </w:r>
    </w:p>
    <w:p w:rsidR="00657269" w:rsidRDefault="00657269" w:rsidP="00716113">
      <w:pPr>
        <w:widowControl w:val="0"/>
        <w:tabs>
          <w:tab w:val="left" w:pos="284"/>
          <w:tab w:val="left" w:pos="567"/>
          <w:tab w:val="left" w:pos="737"/>
        </w:tabs>
        <w:autoSpaceDE w:val="0"/>
        <w:autoSpaceDN w:val="0"/>
        <w:adjustRightInd w:val="0"/>
        <w:spacing w:line="360" w:lineRule="auto"/>
        <w:jc w:val="both"/>
      </w:pPr>
    </w:p>
    <w:p w:rsidR="00716113" w:rsidRDefault="00716113" w:rsidP="00716113">
      <w:pPr>
        <w:widowControl w:val="0"/>
        <w:tabs>
          <w:tab w:val="left" w:pos="284"/>
          <w:tab w:val="left" w:pos="567"/>
          <w:tab w:val="left" w:pos="737"/>
        </w:tabs>
        <w:autoSpaceDE w:val="0"/>
        <w:autoSpaceDN w:val="0"/>
        <w:adjustRightInd w:val="0"/>
        <w:spacing w:line="360" w:lineRule="auto"/>
        <w:jc w:val="both"/>
      </w:pPr>
      <w:r w:rsidRPr="008555B9">
        <w:rPr>
          <w:b/>
        </w:rPr>
        <w:t>Příloha č. 1</w:t>
      </w:r>
      <w:r>
        <w:t xml:space="preserve"> – usnesení zastupitelstva</w:t>
      </w:r>
    </w:p>
    <w:p w:rsidR="008555B9" w:rsidRPr="00FF3877" w:rsidRDefault="008555B9" w:rsidP="00716113">
      <w:pPr>
        <w:widowControl w:val="0"/>
        <w:tabs>
          <w:tab w:val="left" w:pos="284"/>
          <w:tab w:val="left" w:pos="567"/>
          <w:tab w:val="left" w:pos="737"/>
        </w:tabs>
        <w:autoSpaceDE w:val="0"/>
        <w:autoSpaceDN w:val="0"/>
        <w:adjustRightInd w:val="0"/>
        <w:spacing w:line="360" w:lineRule="auto"/>
        <w:jc w:val="both"/>
      </w:pPr>
      <w:r w:rsidRPr="008555B9">
        <w:rPr>
          <w:b/>
        </w:rPr>
        <w:t>Příloha č. 2</w:t>
      </w:r>
      <w:r>
        <w:t xml:space="preserve"> – Předběžný návrh nákladů souvisejících s pořízením požadovaných změn č. 2 Územního plánu Petrohrad</w:t>
      </w:r>
    </w:p>
    <w:p w:rsidR="00657269" w:rsidRPr="00FF3877" w:rsidRDefault="00657269" w:rsidP="00657269">
      <w:pPr>
        <w:widowControl w:val="0"/>
        <w:tabs>
          <w:tab w:val="left" w:pos="284"/>
          <w:tab w:val="left" w:pos="567"/>
          <w:tab w:val="left" w:pos="737"/>
        </w:tabs>
        <w:autoSpaceDE w:val="0"/>
        <w:autoSpaceDN w:val="0"/>
        <w:adjustRightInd w:val="0"/>
        <w:jc w:val="both"/>
      </w:pPr>
    </w:p>
    <w:p w:rsidR="00657269" w:rsidRPr="00FF3877" w:rsidRDefault="00657269" w:rsidP="00657269">
      <w:pPr>
        <w:widowControl w:val="0"/>
        <w:tabs>
          <w:tab w:val="left" w:pos="284"/>
          <w:tab w:val="left" w:pos="567"/>
          <w:tab w:val="left" w:pos="737"/>
        </w:tabs>
        <w:autoSpaceDE w:val="0"/>
        <w:autoSpaceDN w:val="0"/>
        <w:adjustRightInd w:val="0"/>
        <w:jc w:val="both"/>
      </w:pPr>
      <w:r w:rsidRPr="00FF3877">
        <w:t xml:space="preserve">V Chomutově                                                                       </w:t>
      </w:r>
      <w:r w:rsidR="00F373AA">
        <w:t>V Petrohradě</w:t>
      </w:r>
    </w:p>
    <w:p w:rsidR="00657269" w:rsidRPr="00FF3877" w:rsidRDefault="00657269" w:rsidP="00657269">
      <w:pPr>
        <w:widowControl w:val="0"/>
        <w:tabs>
          <w:tab w:val="left" w:pos="284"/>
          <w:tab w:val="left" w:pos="567"/>
          <w:tab w:val="left" w:pos="737"/>
        </w:tabs>
        <w:autoSpaceDE w:val="0"/>
        <w:autoSpaceDN w:val="0"/>
        <w:adjustRightInd w:val="0"/>
        <w:jc w:val="both"/>
      </w:pPr>
    </w:p>
    <w:p w:rsidR="00657269" w:rsidRPr="00FF3877" w:rsidRDefault="00657269" w:rsidP="00657269">
      <w:pPr>
        <w:widowControl w:val="0"/>
        <w:tabs>
          <w:tab w:val="left" w:pos="284"/>
          <w:tab w:val="left" w:pos="567"/>
          <w:tab w:val="left" w:pos="737"/>
        </w:tabs>
        <w:autoSpaceDE w:val="0"/>
        <w:autoSpaceDN w:val="0"/>
        <w:adjustRightInd w:val="0"/>
        <w:jc w:val="both"/>
      </w:pPr>
    </w:p>
    <w:p w:rsidR="00657269" w:rsidRDefault="00657269" w:rsidP="00657269">
      <w:pPr>
        <w:widowControl w:val="0"/>
        <w:tabs>
          <w:tab w:val="left" w:pos="284"/>
          <w:tab w:val="left" w:pos="567"/>
          <w:tab w:val="left" w:pos="737"/>
        </w:tabs>
        <w:autoSpaceDE w:val="0"/>
        <w:autoSpaceDN w:val="0"/>
        <w:adjustRightInd w:val="0"/>
        <w:jc w:val="both"/>
      </w:pPr>
    </w:p>
    <w:p w:rsidR="00716113" w:rsidRDefault="00716113" w:rsidP="00657269">
      <w:pPr>
        <w:widowControl w:val="0"/>
        <w:tabs>
          <w:tab w:val="left" w:pos="284"/>
          <w:tab w:val="left" w:pos="567"/>
          <w:tab w:val="left" w:pos="737"/>
        </w:tabs>
        <w:autoSpaceDE w:val="0"/>
        <w:autoSpaceDN w:val="0"/>
        <w:adjustRightInd w:val="0"/>
        <w:jc w:val="both"/>
      </w:pPr>
    </w:p>
    <w:p w:rsidR="00716113" w:rsidRPr="00FF3877" w:rsidRDefault="00716113" w:rsidP="00657269">
      <w:pPr>
        <w:widowControl w:val="0"/>
        <w:tabs>
          <w:tab w:val="left" w:pos="284"/>
          <w:tab w:val="left" w:pos="567"/>
          <w:tab w:val="left" w:pos="737"/>
        </w:tabs>
        <w:autoSpaceDE w:val="0"/>
        <w:autoSpaceDN w:val="0"/>
        <w:adjustRightInd w:val="0"/>
        <w:jc w:val="both"/>
      </w:pPr>
    </w:p>
    <w:p w:rsidR="00657269" w:rsidRPr="00FF3877" w:rsidRDefault="00657269" w:rsidP="00657269">
      <w:pPr>
        <w:widowControl w:val="0"/>
        <w:tabs>
          <w:tab w:val="left" w:pos="284"/>
          <w:tab w:val="left" w:pos="567"/>
          <w:tab w:val="left" w:pos="737"/>
        </w:tabs>
        <w:autoSpaceDE w:val="0"/>
        <w:autoSpaceDN w:val="0"/>
        <w:adjustRightInd w:val="0"/>
        <w:jc w:val="both"/>
      </w:pPr>
    </w:p>
    <w:p w:rsidR="00657269" w:rsidRPr="00FF3877" w:rsidRDefault="00657269" w:rsidP="00657269">
      <w:pPr>
        <w:widowControl w:val="0"/>
        <w:tabs>
          <w:tab w:val="left" w:pos="284"/>
          <w:tab w:val="left" w:pos="567"/>
          <w:tab w:val="left" w:pos="737"/>
        </w:tabs>
        <w:autoSpaceDE w:val="0"/>
        <w:autoSpaceDN w:val="0"/>
        <w:adjustRightInd w:val="0"/>
        <w:jc w:val="both"/>
      </w:pPr>
      <w:r w:rsidRPr="00FF3877">
        <w:t>.......................................................................              ............................................................</w:t>
      </w:r>
    </w:p>
    <w:p w:rsidR="00A1669D" w:rsidRDefault="00525881" w:rsidP="00657269">
      <w:pPr>
        <w:widowControl w:val="0"/>
        <w:tabs>
          <w:tab w:val="left" w:pos="284"/>
          <w:tab w:val="left" w:pos="567"/>
          <w:tab w:val="left" w:pos="737"/>
        </w:tabs>
        <w:autoSpaceDE w:val="0"/>
        <w:autoSpaceDN w:val="0"/>
        <w:adjustRightInd w:val="0"/>
        <w:jc w:val="both"/>
      </w:pPr>
      <w:r w:rsidRPr="00FF3877">
        <w:t>za</w:t>
      </w:r>
      <w:r w:rsidR="00657269" w:rsidRPr="00FF3877">
        <w:t xml:space="preserve"> Povodí Ohře, státní podnik</w:t>
      </w:r>
      <w:r w:rsidR="00CC0CFF">
        <w:tab/>
      </w:r>
      <w:r w:rsidR="00CC0CFF">
        <w:tab/>
      </w:r>
      <w:r w:rsidR="00CC0CFF">
        <w:tab/>
      </w:r>
      <w:r w:rsidR="00657269" w:rsidRPr="00FF3877">
        <w:t xml:space="preserve"> </w:t>
      </w:r>
      <w:r w:rsidR="00A344A0">
        <w:t xml:space="preserve">za obec </w:t>
      </w:r>
      <w:r w:rsidR="002F1299">
        <w:t>Petrohrad</w:t>
      </w:r>
    </w:p>
    <w:p w:rsidR="00A344A0" w:rsidRPr="00FF3877" w:rsidRDefault="00A344A0" w:rsidP="00A344A0">
      <w:pPr>
        <w:widowControl w:val="0"/>
        <w:tabs>
          <w:tab w:val="left" w:pos="284"/>
          <w:tab w:val="left" w:pos="567"/>
        </w:tabs>
        <w:autoSpaceDE w:val="0"/>
        <w:autoSpaceDN w:val="0"/>
        <w:adjustRightInd w:val="0"/>
        <w:jc w:val="both"/>
      </w:pPr>
      <w:bookmarkStart w:id="0" w:name="_GoBack"/>
      <w:bookmarkEnd w:id="0"/>
      <w:r>
        <w:t>technický ředitel</w:t>
      </w:r>
      <w:r>
        <w:tab/>
      </w:r>
      <w:r>
        <w:tab/>
      </w:r>
      <w:r>
        <w:tab/>
      </w:r>
      <w:r>
        <w:tab/>
      </w:r>
      <w:r>
        <w:tab/>
      </w:r>
      <w:r w:rsidR="002D3078">
        <w:t xml:space="preserve">  </w:t>
      </w:r>
      <w:r>
        <w:t>starost</w:t>
      </w:r>
      <w:r w:rsidR="00897341">
        <w:t>k</w:t>
      </w:r>
      <w:r>
        <w:t>a</w:t>
      </w:r>
    </w:p>
    <w:sectPr w:rsidR="00A344A0" w:rsidRPr="00FF3877" w:rsidSect="00657269">
      <w:headerReference w:type="default" r:id="rId8"/>
      <w:footerReference w:type="default" r:id="rId9"/>
      <w:pgSz w:w="11907" w:h="16840"/>
      <w:pgMar w:top="1418" w:right="1418" w:bottom="1418" w:left="1418" w:header="737" w:footer="9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99" w:rsidRDefault="00FD7599">
      <w:r>
        <w:separator/>
      </w:r>
    </w:p>
  </w:endnote>
  <w:endnote w:type="continuationSeparator" w:id="0">
    <w:p w:rsidR="00FD7599" w:rsidRDefault="00FD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819382"/>
      <w:docPartObj>
        <w:docPartGallery w:val="Page Numbers (Bottom of Page)"/>
        <w:docPartUnique/>
      </w:docPartObj>
    </w:sdtPr>
    <w:sdtEndPr/>
    <w:sdtContent>
      <w:p w:rsidR="008555B9" w:rsidRDefault="008555B9">
        <w:pPr>
          <w:pStyle w:val="Zpat"/>
          <w:jc w:val="center"/>
        </w:pPr>
        <w:r>
          <w:fldChar w:fldCharType="begin"/>
        </w:r>
        <w:r>
          <w:instrText>PAGE   \* MERGEFORMAT</w:instrText>
        </w:r>
        <w:r>
          <w:fldChar w:fldCharType="separate"/>
        </w:r>
        <w:r>
          <w:t>2</w:t>
        </w:r>
        <w:r>
          <w:fldChar w:fldCharType="end"/>
        </w:r>
        <w:r>
          <w:t>/</w:t>
        </w:r>
        <w:r w:rsidR="009624B9">
          <w:t>5</w:t>
        </w:r>
      </w:p>
    </w:sdtContent>
  </w:sdt>
  <w:p w:rsidR="0059039C" w:rsidRDefault="0059039C">
    <w:pPr>
      <w:widowControl w:val="0"/>
      <w:tabs>
        <w:tab w:val="center" w:pos="4154"/>
        <w:tab w:val="right" w:pos="8309"/>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99" w:rsidRDefault="00FD7599">
      <w:r>
        <w:separator/>
      </w:r>
    </w:p>
  </w:footnote>
  <w:footnote w:type="continuationSeparator" w:id="0">
    <w:p w:rsidR="00FD7599" w:rsidRDefault="00FD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9C" w:rsidRDefault="0059039C">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162C"/>
    <w:multiLevelType w:val="hybridMultilevel"/>
    <w:tmpl w:val="77E4C5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D3261DC"/>
    <w:multiLevelType w:val="hybridMultilevel"/>
    <w:tmpl w:val="21867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93E18"/>
    <w:multiLevelType w:val="hybridMultilevel"/>
    <w:tmpl w:val="C22827F8"/>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 w15:restartNumberingAfterBreak="0">
    <w:nsid w:val="10CF7974"/>
    <w:multiLevelType w:val="hybridMultilevel"/>
    <w:tmpl w:val="31CA9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A4798C"/>
    <w:multiLevelType w:val="hybridMultilevel"/>
    <w:tmpl w:val="0A6E6602"/>
    <w:lvl w:ilvl="0" w:tplc="0405000F">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226F2C"/>
    <w:multiLevelType w:val="hybridMultilevel"/>
    <w:tmpl w:val="7C624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0A729F"/>
    <w:multiLevelType w:val="hybridMultilevel"/>
    <w:tmpl w:val="2F54228E"/>
    <w:lvl w:ilvl="0" w:tplc="C6A8CE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83464A"/>
    <w:multiLevelType w:val="hybridMultilevel"/>
    <w:tmpl w:val="849E4198"/>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8" w15:restartNumberingAfterBreak="0">
    <w:nsid w:val="1FF2485F"/>
    <w:multiLevelType w:val="singleLevel"/>
    <w:tmpl w:val="04050011"/>
    <w:lvl w:ilvl="0">
      <w:start w:val="1"/>
      <w:numFmt w:val="decimal"/>
      <w:lvlText w:val="%1)"/>
      <w:lvlJc w:val="left"/>
      <w:pPr>
        <w:tabs>
          <w:tab w:val="num" w:pos="360"/>
        </w:tabs>
        <w:ind w:left="360" w:hanging="360"/>
      </w:pPr>
    </w:lvl>
  </w:abstractNum>
  <w:abstractNum w:abstractNumId="9" w15:restartNumberingAfterBreak="0">
    <w:nsid w:val="27EA00A2"/>
    <w:multiLevelType w:val="hybridMultilevel"/>
    <w:tmpl w:val="2F901462"/>
    <w:lvl w:ilvl="0" w:tplc="232816B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9CE021A"/>
    <w:multiLevelType w:val="hybridMultilevel"/>
    <w:tmpl w:val="2A36DF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4B627E"/>
    <w:multiLevelType w:val="hybridMultilevel"/>
    <w:tmpl w:val="EAE86652"/>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1461CD"/>
    <w:multiLevelType w:val="hybridMultilevel"/>
    <w:tmpl w:val="2F901462"/>
    <w:lvl w:ilvl="0" w:tplc="232816B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99F4A45"/>
    <w:multiLevelType w:val="hybridMultilevel"/>
    <w:tmpl w:val="EA2ADF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A14526A"/>
    <w:multiLevelType w:val="hybridMultilevel"/>
    <w:tmpl w:val="FDDC7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A06404"/>
    <w:multiLevelType w:val="hybridMultilevel"/>
    <w:tmpl w:val="E00E0DA8"/>
    <w:lvl w:ilvl="0" w:tplc="5B867856">
      <w:start w:val="1"/>
      <w:numFmt w:val="decimal"/>
      <w:lvlText w:val="%1)"/>
      <w:lvlJc w:val="left"/>
      <w:pPr>
        <w:tabs>
          <w:tab w:val="num" w:pos="720"/>
        </w:tabs>
        <w:ind w:left="720" w:hanging="360"/>
      </w:pPr>
      <w:rPr>
        <w:rFonts w:hint="default"/>
        <w:b/>
        <w:color w:val="auto"/>
      </w:rPr>
    </w:lvl>
    <w:lvl w:ilvl="1" w:tplc="567414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51328E"/>
    <w:multiLevelType w:val="multilevel"/>
    <w:tmpl w:val="6278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95D17"/>
    <w:multiLevelType w:val="hybridMultilevel"/>
    <w:tmpl w:val="EB9A37A2"/>
    <w:lvl w:ilvl="0" w:tplc="04050019">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66E1092E"/>
    <w:multiLevelType w:val="hybridMultilevel"/>
    <w:tmpl w:val="A06CDFF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5"/>
  </w:num>
  <w:num w:numId="2">
    <w:abstractNumId w:val="8"/>
  </w:num>
  <w:num w:numId="3">
    <w:abstractNumId w:val="14"/>
  </w:num>
  <w:num w:numId="4">
    <w:abstractNumId w:val="2"/>
  </w:num>
  <w:num w:numId="5">
    <w:abstractNumId w:val="3"/>
  </w:num>
  <w:num w:numId="6">
    <w:abstractNumId w:val="13"/>
  </w:num>
  <w:num w:numId="7">
    <w:abstractNumId w:val="7"/>
  </w:num>
  <w:num w:numId="8">
    <w:abstractNumId w:val="18"/>
  </w:num>
  <w:num w:numId="9">
    <w:abstractNumId w:val="9"/>
  </w:num>
  <w:num w:numId="10">
    <w:abstractNumId w:val="12"/>
  </w:num>
  <w:num w:numId="11">
    <w:abstractNumId w:val="4"/>
  </w:num>
  <w:num w:numId="12">
    <w:abstractNumId w:val="11"/>
  </w:num>
  <w:num w:numId="13">
    <w:abstractNumId w:val="1"/>
  </w:num>
  <w:num w:numId="14">
    <w:abstractNumId w:val="5"/>
  </w:num>
  <w:num w:numId="15">
    <w:abstractNumId w:val="10"/>
  </w:num>
  <w:num w:numId="16">
    <w:abstractNumId w:val="6"/>
  </w:num>
  <w:num w:numId="17">
    <w:abstractNumId w:val="1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69"/>
    <w:rsid w:val="00001002"/>
    <w:rsid w:val="00037716"/>
    <w:rsid w:val="0004176B"/>
    <w:rsid w:val="00052E4B"/>
    <w:rsid w:val="00054471"/>
    <w:rsid w:val="000557FF"/>
    <w:rsid w:val="0005704E"/>
    <w:rsid w:val="000751CE"/>
    <w:rsid w:val="0007546A"/>
    <w:rsid w:val="000A4B34"/>
    <w:rsid w:val="000D4FF0"/>
    <w:rsid w:val="000E3E66"/>
    <w:rsid w:val="000F6A8F"/>
    <w:rsid w:val="001000A9"/>
    <w:rsid w:val="001120EE"/>
    <w:rsid w:val="00115A5E"/>
    <w:rsid w:val="00133AF6"/>
    <w:rsid w:val="0013432F"/>
    <w:rsid w:val="001343AF"/>
    <w:rsid w:val="00146991"/>
    <w:rsid w:val="001520B7"/>
    <w:rsid w:val="00157490"/>
    <w:rsid w:val="00164F5E"/>
    <w:rsid w:val="00177575"/>
    <w:rsid w:val="00187B4F"/>
    <w:rsid w:val="001A4A3A"/>
    <w:rsid w:val="001C58F8"/>
    <w:rsid w:val="00255C4C"/>
    <w:rsid w:val="00292E2A"/>
    <w:rsid w:val="00297829"/>
    <w:rsid w:val="002B06E0"/>
    <w:rsid w:val="002C66A5"/>
    <w:rsid w:val="002D3078"/>
    <w:rsid w:val="002F1299"/>
    <w:rsid w:val="002F372D"/>
    <w:rsid w:val="0031754B"/>
    <w:rsid w:val="00317727"/>
    <w:rsid w:val="00320542"/>
    <w:rsid w:val="00325D5D"/>
    <w:rsid w:val="00327800"/>
    <w:rsid w:val="00344778"/>
    <w:rsid w:val="003549EB"/>
    <w:rsid w:val="0035505C"/>
    <w:rsid w:val="00381E7D"/>
    <w:rsid w:val="00386F2E"/>
    <w:rsid w:val="003940E6"/>
    <w:rsid w:val="003C0151"/>
    <w:rsid w:val="003C1A8B"/>
    <w:rsid w:val="003C6D88"/>
    <w:rsid w:val="003C6DD4"/>
    <w:rsid w:val="003E1015"/>
    <w:rsid w:val="003F5A4D"/>
    <w:rsid w:val="003F5B72"/>
    <w:rsid w:val="0040467B"/>
    <w:rsid w:val="00404FE8"/>
    <w:rsid w:val="00406610"/>
    <w:rsid w:val="00411E33"/>
    <w:rsid w:val="00420AB5"/>
    <w:rsid w:val="004277EC"/>
    <w:rsid w:val="00457D07"/>
    <w:rsid w:val="0047695F"/>
    <w:rsid w:val="00486EF9"/>
    <w:rsid w:val="00494DDA"/>
    <w:rsid w:val="004C3C23"/>
    <w:rsid w:val="004C721A"/>
    <w:rsid w:val="004D27E4"/>
    <w:rsid w:val="004D2E72"/>
    <w:rsid w:val="004E578B"/>
    <w:rsid w:val="004F0BC9"/>
    <w:rsid w:val="005004CC"/>
    <w:rsid w:val="0051318B"/>
    <w:rsid w:val="005156EE"/>
    <w:rsid w:val="00525881"/>
    <w:rsid w:val="00530939"/>
    <w:rsid w:val="00545B21"/>
    <w:rsid w:val="00560E23"/>
    <w:rsid w:val="005620F8"/>
    <w:rsid w:val="00574CEE"/>
    <w:rsid w:val="00581972"/>
    <w:rsid w:val="0059039C"/>
    <w:rsid w:val="005A3732"/>
    <w:rsid w:val="005A52E6"/>
    <w:rsid w:val="005C49CC"/>
    <w:rsid w:val="005E7B81"/>
    <w:rsid w:val="005F26D6"/>
    <w:rsid w:val="00605EDA"/>
    <w:rsid w:val="0061425B"/>
    <w:rsid w:val="006254B6"/>
    <w:rsid w:val="00644B68"/>
    <w:rsid w:val="0064571D"/>
    <w:rsid w:val="00646E3E"/>
    <w:rsid w:val="00650F41"/>
    <w:rsid w:val="00653064"/>
    <w:rsid w:val="00657269"/>
    <w:rsid w:val="00670A56"/>
    <w:rsid w:val="006715EF"/>
    <w:rsid w:val="00690E70"/>
    <w:rsid w:val="00691375"/>
    <w:rsid w:val="006B0C8A"/>
    <w:rsid w:val="006C262F"/>
    <w:rsid w:val="007062E0"/>
    <w:rsid w:val="00707952"/>
    <w:rsid w:val="00716113"/>
    <w:rsid w:val="00731598"/>
    <w:rsid w:val="007332C4"/>
    <w:rsid w:val="00750975"/>
    <w:rsid w:val="0076734F"/>
    <w:rsid w:val="00792A20"/>
    <w:rsid w:val="007B1C80"/>
    <w:rsid w:val="007B3CBD"/>
    <w:rsid w:val="007C0B09"/>
    <w:rsid w:val="007D4C20"/>
    <w:rsid w:val="007E5F6A"/>
    <w:rsid w:val="007E70A7"/>
    <w:rsid w:val="007F655A"/>
    <w:rsid w:val="007F678B"/>
    <w:rsid w:val="008555B9"/>
    <w:rsid w:val="008759D9"/>
    <w:rsid w:val="008903BE"/>
    <w:rsid w:val="00893D76"/>
    <w:rsid w:val="00897341"/>
    <w:rsid w:val="00897F76"/>
    <w:rsid w:val="008A21BC"/>
    <w:rsid w:val="008B05E9"/>
    <w:rsid w:val="008D468D"/>
    <w:rsid w:val="008F1762"/>
    <w:rsid w:val="008F39FC"/>
    <w:rsid w:val="009027A7"/>
    <w:rsid w:val="0090382A"/>
    <w:rsid w:val="009077A1"/>
    <w:rsid w:val="009123E1"/>
    <w:rsid w:val="00921DFF"/>
    <w:rsid w:val="00945685"/>
    <w:rsid w:val="009624B9"/>
    <w:rsid w:val="00966C8A"/>
    <w:rsid w:val="009921E3"/>
    <w:rsid w:val="00994661"/>
    <w:rsid w:val="009A147D"/>
    <w:rsid w:val="009A7FD2"/>
    <w:rsid w:val="009B1BDC"/>
    <w:rsid w:val="009B35B6"/>
    <w:rsid w:val="009D12D2"/>
    <w:rsid w:val="00A1505A"/>
    <w:rsid w:val="00A1669D"/>
    <w:rsid w:val="00A261DB"/>
    <w:rsid w:val="00A344A0"/>
    <w:rsid w:val="00A4084D"/>
    <w:rsid w:val="00A44AF9"/>
    <w:rsid w:val="00A535B7"/>
    <w:rsid w:val="00A65C05"/>
    <w:rsid w:val="00A66DC1"/>
    <w:rsid w:val="00A93EDF"/>
    <w:rsid w:val="00AB7610"/>
    <w:rsid w:val="00AE621B"/>
    <w:rsid w:val="00B049E2"/>
    <w:rsid w:val="00B10A7D"/>
    <w:rsid w:val="00B17701"/>
    <w:rsid w:val="00B42A84"/>
    <w:rsid w:val="00B56E7E"/>
    <w:rsid w:val="00B62744"/>
    <w:rsid w:val="00B67AAF"/>
    <w:rsid w:val="00B73606"/>
    <w:rsid w:val="00B8465C"/>
    <w:rsid w:val="00B85259"/>
    <w:rsid w:val="00BA3E08"/>
    <w:rsid w:val="00BB1266"/>
    <w:rsid w:val="00BD5C19"/>
    <w:rsid w:val="00BE7CAE"/>
    <w:rsid w:val="00BE7CF5"/>
    <w:rsid w:val="00C008A9"/>
    <w:rsid w:val="00C01030"/>
    <w:rsid w:val="00C2042C"/>
    <w:rsid w:val="00C25347"/>
    <w:rsid w:val="00C260A7"/>
    <w:rsid w:val="00C365DC"/>
    <w:rsid w:val="00C40731"/>
    <w:rsid w:val="00C4789B"/>
    <w:rsid w:val="00C60EE0"/>
    <w:rsid w:val="00C65229"/>
    <w:rsid w:val="00C771A2"/>
    <w:rsid w:val="00C96784"/>
    <w:rsid w:val="00CC0CFF"/>
    <w:rsid w:val="00CC251F"/>
    <w:rsid w:val="00CC3EEC"/>
    <w:rsid w:val="00CE1348"/>
    <w:rsid w:val="00CF7FB4"/>
    <w:rsid w:val="00D03A89"/>
    <w:rsid w:val="00D13730"/>
    <w:rsid w:val="00D173C7"/>
    <w:rsid w:val="00D36982"/>
    <w:rsid w:val="00D42987"/>
    <w:rsid w:val="00D43D01"/>
    <w:rsid w:val="00D56CE8"/>
    <w:rsid w:val="00D63405"/>
    <w:rsid w:val="00D71DCA"/>
    <w:rsid w:val="00D774A9"/>
    <w:rsid w:val="00D847A3"/>
    <w:rsid w:val="00D90DF1"/>
    <w:rsid w:val="00D94728"/>
    <w:rsid w:val="00DB7D7D"/>
    <w:rsid w:val="00DC45ED"/>
    <w:rsid w:val="00DC6CC4"/>
    <w:rsid w:val="00DE07DA"/>
    <w:rsid w:val="00DF5651"/>
    <w:rsid w:val="00E00DA1"/>
    <w:rsid w:val="00E231E5"/>
    <w:rsid w:val="00E244A6"/>
    <w:rsid w:val="00E43EBA"/>
    <w:rsid w:val="00E555FF"/>
    <w:rsid w:val="00E55AD0"/>
    <w:rsid w:val="00E73506"/>
    <w:rsid w:val="00E77797"/>
    <w:rsid w:val="00E77B3A"/>
    <w:rsid w:val="00E83867"/>
    <w:rsid w:val="00E91A53"/>
    <w:rsid w:val="00EB2815"/>
    <w:rsid w:val="00EB2F4F"/>
    <w:rsid w:val="00ED117E"/>
    <w:rsid w:val="00EF3F48"/>
    <w:rsid w:val="00F0034B"/>
    <w:rsid w:val="00F12015"/>
    <w:rsid w:val="00F12A22"/>
    <w:rsid w:val="00F1504F"/>
    <w:rsid w:val="00F154BD"/>
    <w:rsid w:val="00F16802"/>
    <w:rsid w:val="00F364EB"/>
    <w:rsid w:val="00F373AA"/>
    <w:rsid w:val="00F54D87"/>
    <w:rsid w:val="00F84E97"/>
    <w:rsid w:val="00FA1D76"/>
    <w:rsid w:val="00FA321A"/>
    <w:rsid w:val="00FC11C7"/>
    <w:rsid w:val="00FD7599"/>
    <w:rsid w:val="00FF3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B2A99"/>
  <w15:docId w15:val="{D4EAA9DF-1FB5-4B7A-83EF-D8EB4AF4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7269"/>
    <w:rPr>
      <w:sz w:val="24"/>
      <w:szCs w:val="24"/>
    </w:rPr>
  </w:style>
  <w:style w:type="paragraph" w:styleId="Nadpis2">
    <w:name w:val="heading 2"/>
    <w:basedOn w:val="Normln"/>
    <w:next w:val="Normln"/>
    <w:qFormat/>
    <w:rsid w:val="007E70A7"/>
    <w:pPr>
      <w:keepNext/>
      <w:ind w:left="360"/>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11E33"/>
    <w:pPr>
      <w:widowControl w:val="0"/>
      <w:tabs>
        <w:tab w:val="left" w:pos="284"/>
        <w:tab w:val="left" w:pos="454"/>
        <w:tab w:val="left" w:pos="567"/>
      </w:tabs>
      <w:jc w:val="both"/>
    </w:pPr>
    <w:rPr>
      <w:rFonts w:ascii="Arial" w:hAnsi="Arial"/>
      <w:snapToGrid w:val="0"/>
      <w:szCs w:val="20"/>
    </w:rPr>
  </w:style>
  <w:style w:type="paragraph" w:styleId="Odstavecseseznamem">
    <w:name w:val="List Paragraph"/>
    <w:basedOn w:val="Normln"/>
    <w:uiPriority w:val="34"/>
    <w:qFormat/>
    <w:rsid w:val="0031754B"/>
    <w:pPr>
      <w:ind w:left="720"/>
      <w:contextualSpacing/>
    </w:pPr>
  </w:style>
  <w:style w:type="paragraph" w:styleId="Textbubliny">
    <w:name w:val="Balloon Text"/>
    <w:basedOn w:val="Normln"/>
    <w:link w:val="TextbublinyChar"/>
    <w:uiPriority w:val="99"/>
    <w:semiHidden/>
    <w:unhideWhenUsed/>
    <w:rsid w:val="00344778"/>
    <w:rPr>
      <w:rFonts w:ascii="Tahoma" w:hAnsi="Tahoma" w:cs="Tahoma"/>
      <w:sz w:val="16"/>
      <w:szCs w:val="16"/>
    </w:rPr>
  </w:style>
  <w:style w:type="character" w:customStyle="1" w:styleId="TextbublinyChar">
    <w:name w:val="Text bubliny Char"/>
    <w:basedOn w:val="Standardnpsmoodstavce"/>
    <w:link w:val="Textbubliny"/>
    <w:uiPriority w:val="99"/>
    <w:semiHidden/>
    <w:rsid w:val="00344778"/>
    <w:rPr>
      <w:rFonts w:ascii="Tahoma" w:hAnsi="Tahoma" w:cs="Tahoma"/>
      <w:sz w:val="16"/>
      <w:szCs w:val="16"/>
    </w:rPr>
  </w:style>
  <w:style w:type="paragraph" w:styleId="Zhlav">
    <w:name w:val="header"/>
    <w:basedOn w:val="Normln"/>
    <w:link w:val="ZhlavChar"/>
    <w:uiPriority w:val="99"/>
    <w:unhideWhenUsed/>
    <w:rsid w:val="008555B9"/>
    <w:pPr>
      <w:tabs>
        <w:tab w:val="center" w:pos="4536"/>
        <w:tab w:val="right" w:pos="9072"/>
      </w:tabs>
    </w:pPr>
  </w:style>
  <w:style w:type="character" w:customStyle="1" w:styleId="ZhlavChar">
    <w:name w:val="Záhlaví Char"/>
    <w:basedOn w:val="Standardnpsmoodstavce"/>
    <w:link w:val="Zhlav"/>
    <w:uiPriority w:val="99"/>
    <w:rsid w:val="008555B9"/>
    <w:rPr>
      <w:sz w:val="24"/>
      <w:szCs w:val="24"/>
    </w:rPr>
  </w:style>
  <w:style w:type="paragraph" w:styleId="Zpat">
    <w:name w:val="footer"/>
    <w:basedOn w:val="Normln"/>
    <w:link w:val="ZpatChar"/>
    <w:uiPriority w:val="99"/>
    <w:unhideWhenUsed/>
    <w:rsid w:val="008555B9"/>
    <w:pPr>
      <w:tabs>
        <w:tab w:val="center" w:pos="4536"/>
        <w:tab w:val="right" w:pos="9072"/>
      </w:tabs>
    </w:pPr>
  </w:style>
  <w:style w:type="character" w:customStyle="1" w:styleId="ZpatChar">
    <w:name w:val="Zápatí Char"/>
    <w:basedOn w:val="Standardnpsmoodstavce"/>
    <w:link w:val="Zpat"/>
    <w:uiPriority w:val="99"/>
    <w:rsid w:val="008555B9"/>
    <w:rPr>
      <w:sz w:val="24"/>
      <w:szCs w:val="24"/>
    </w:rPr>
  </w:style>
  <w:style w:type="character" w:styleId="Hypertextovodkaz">
    <w:name w:val="Hyperlink"/>
    <w:basedOn w:val="Standardnpsmoodstavce"/>
    <w:uiPriority w:val="99"/>
    <w:unhideWhenUsed/>
    <w:rsid w:val="00BE7CAE"/>
    <w:rPr>
      <w:color w:val="0000FF" w:themeColor="hyperlink"/>
      <w:u w:val="single"/>
    </w:rPr>
  </w:style>
  <w:style w:type="character" w:styleId="Nevyeenzmnka">
    <w:name w:val="Unresolved Mention"/>
    <w:basedOn w:val="Standardnpsmoodstavce"/>
    <w:uiPriority w:val="99"/>
    <w:semiHidden/>
    <w:unhideWhenUsed/>
    <w:rsid w:val="00BE7CAE"/>
    <w:rPr>
      <w:color w:val="605E5C"/>
      <w:shd w:val="clear" w:color="auto" w:fill="E1DFDD"/>
    </w:rPr>
  </w:style>
  <w:style w:type="paragraph" w:customStyle="1" w:styleId="Default">
    <w:name w:val="Default"/>
    <w:rsid w:val="00AE621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78619">
      <w:bodyDiv w:val="1"/>
      <w:marLeft w:val="0"/>
      <w:marRight w:val="0"/>
      <w:marTop w:val="0"/>
      <w:marBottom w:val="0"/>
      <w:divBdr>
        <w:top w:val="none" w:sz="0" w:space="0" w:color="auto"/>
        <w:left w:val="none" w:sz="0" w:space="0" w:color="auto"/>
        <w:bottom w:val="none" w:sz="0" w:space="0" w:color="auto"/>
        <w:right w:val="none" w:sz="0" w:space="0" w:color="auto"/>
      </w:divBdr>
      <w:divsChild>
        <w:div w:id="736786452">
          <w:marLeft w:val="0"/>
          <w:marRight w:val="0"/>
          <w:marTop w:val="0"/>
          <w:marBottom w:val="0"/>
          <w:divBdr>
            <w:top w:val="none" w:sz="0" w:space="0" w:color="auto"/>
            <w:left w:val="none" w:sz="0" w:space="0" w:color="auto"/>
            <w:bottom w:val="none" w:sz="0" w:space="0" w:color="auto"/>
            <w:right w:val="none" w:sz="0" w:space="0" w:color="auto"/>
          </w:divBdr>
          <w:divsChild>
            <w:div w:id="2084911893">
              <w:marLeft w:val="0"/>
              <w:marRight w:val="0"/>
              <w:marTop w:val="0"/>
              <w:marBottom w:val="0"/>
              <w:divBdr>
                <w:top w:val="none" w:sz="0" w:space="0" w:color="auto"/>
                <w:left w:val="none" w:sz="0" w:space="0" w:color="auto"/>
                <w:bottom w:val="none" w:sz="0" w:space="0" w:color="auto"/>
                <w:right w:val="none" w:sz="0" w:space="0" w:color="auto"/>
              </w:divBdr>
              <w:divsChild>
                <w:div w:id="264271233">
                  <w:marLeft w:val="0"/>
                  <w:marRight w:val="0"/>
                  <w:marTop w:val="0"/>
                  <w:marBottom w:val="0"/>
                  <w:divBdr>
                    <w:top w:val="none" w:sz="0" w:space="0" w:color="auto"/>
                    <w:left w:val="none" w:sz="0" w:space="0" w:color="auto"/>
                    <w:bottom w:val="none" w:sz="0" w:space="0" w:color="auto"/>
                    <w:right w:val="none" w:sz="0" w:space="0" w:color="auto"/>
                  </w:divBdr>
                  <w:divsChild>
                    <w:div w:id="243612950">
                      <w:marLeft w:val="0"/>
                      <w:marRight w:val="120"/>
                      <w:marTop w:val="0"/>
                      <w:marBottom w:val="0"/>
                      <w:divBdr>
                        <w:top w:val="none" w:sz="0" w:space="0" w:color="auto"/>
                        <w:left w:val="none" w:sz="0" w:space="0" w:color="auto"/>
                        <w:bottom w:val="none" w:sz="0" w:space="0" w:color="auto"/>
                        <w:right w:val="none" w:sz="0" w:space="0" w:color="auto"/>
                      </w:divBdr>
                      <w:divsChild>
                        <w:div w:id="1187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097">
      <w:bodyDiv w:val="1"/>
      <w:marLeft w:val="0"/>
      <w:marRight w:val="0"/>
      <w:marTop w:val="0"/>
      <w:marBottom w:val="0"/>
      <w:divBdr>
        <w:top w:val="none" w:sz="0" w:space="0" w:color="auto"/>
        <w:left w:val="none" w:sz="0" w:space="0" w:color="auto"/>
        <w:bottom w:val="none" w:sz="0" w:space="0" w:color="auto"/>
        <w:right w:val="none" w:sz="0" w:space="0" w:color="auto"/>
      </w:divBdr>
    </w:div>
    <w:div w:id="1709452900">
      <w:bodyDiv w:val="1"/>
      <w:marLeft w:val="0"/>
      <w:marRight w:val="0"/>
      <w:marTop w:val="0"/>
      <w:marBottom w:val="0"/>
      <w:divBdr>
        <w:top w:val="none" w:sz="0" w:space="0" w:color="auto"/>
        <w:left w:val="none" w:sz="0" w:space="0" w:color="auto"/>
        <w:bottom w:val="none" w:sz="0" w:space="0" w:color="auto"/>
        <w:right w:val="none" w:sz="0" w:space="0" w:color="auto"/>
      </w:divBdr>
    </w:div>
    <w:div w:id="21115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pr@po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1208</Words>
  <Characters>7129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vt:lpstr>
    </vt:vector>
  </TitlesOfParts>
  <Company>POH</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Sykora</dc:creator>
  <cp:lastModifiedBy>Samková Kamila</cp:lastModifiedBy>
  <cp:revision>4</cp:revision>
  <cp:lastPrinted>2023-06-28T07:29:00Z</cp:lastPrinted>
  <dcterms:created xsi:type="dcterms:W3CDTF">2023-07-12T09:54:00Z</dcterms:created>
  <dcterms:modified xsi:type="dcterms:W3CDTF">2023-07-12T09:55:00Z</dcterms:modified>
</cp:coreProperties>
</file>