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C1638" w14:textId="77777777" w:rsidR="004A66B0" w:rsidRPr="004A66B0" w:rsidRDefault="004A66B0" w:rsidP="004A66B0">
      <w:pPr>
        <w:pStyle w:val="NZEV"/>
        <w:spacing w:before="0"/>
        <w:rPr>
          <w:rFonts w:ascii="Tahoma" w:hAnsi="Tahoma" w:cs="Tahoma"/>
          <w:sz w:val="32"/>
        </w:rPr>
      </w:pPr>
      <w:r w:rsidRPr="004A66B0">
        <w:rPr>
          <w:rFonts w:ascii="Tahoma" w:hAnsi="Tahoma" w:cs="Tahoma"/>
          <w:sz w:val="32"/>
        </w:rPr>
        <w:t>RÁMCOVÁ SMLOUVA o poskytování právních služeb</w:t>
      </w:r>
    </w:p>
    <w:p w14:paraId="5D7D2CF9" w14:textId="77777777" w:rsidR="004A66B0" w:rsidRPr="004A66B0" w:rsidRDefault="004A66B0" w:rsidP="004A66B0">
      <w:pPr>
        <w:widowControl w:val="0"/>
        <w:jc w:val="center"/>
        <w:rPr>
          <w:rFonts w:cs="Tahoma"/>
          <w:szCs w:val="20"/>
        </w:rPr>
      </w:pPr>
      <w:r w:rsidRPr="004A66B0">
        <w:rPr>
          <w:rFonts w:cs="Tahoma"/>
          <w:szCs w:val="20"/>
        </w:rPr>
        <w:t>uzavřená podle zákona č. </w:t>
      </w:r>
      <w:sdt>
        <w:sdtPr>
          <w:rPr>
            <w:rFonts w:cs="Tahoma"/>
            <w:szCs w:val="20"/>
          </w:rPr>
          <w:alias w:val="Čslo zákona"/>
          <w:tag w:val="Zadejte číslo zákona"/>
          <w:id w:val="-1171798451"/>
        </w:sdtPr>
        <w:sdtEndPr/>
        <w:sdtContent>
          <w:r w:rsidRPr="004A66B0">
            <w:rPr>
              <w:rFonts w:cs="Tahoma"/>
              <w:szCs w:val="20"/>
            </w:rPr>
            <w:t>89/2012</w:t>
          </w:r>
        </w:sdtContent>
      </w:sdt>
      <w:r w:rsidRPr="004A66B0">
        <w:rPr>
          <w:rFonts w:cs="Tahoma"/>
          <w:szCs w:val="20"/>
        </w:rPr>
        <w:t>, občanský zákoník, ve znění pozdějších předpisů (dále jen „</w:t>
      </w:r>
      <w:r w:rsidRPr="004A66B0">
        <w:rPr>
          <w:rFonts w:cs="Tahoma"/>
          <w:b/>
          <w:bCs/>
          <w:szCs w:val="20"/>
        </w:rPr>
        <w:t>Občanský zákoník</w:t>
      </w:r>
      <w:r w:rsidRPr="004A66B0">
        <w:rPr>
          <w:rFonts w:cs="Tahoma"/>
          <w:szCs w:val="20"/>
        </w:rPr>
        <w:t>“) a zákona č. 85/1996 Sb., o advokacii, ve znění pozdějších předpisů</w:t>
      </w:r>
    </w:p>
    <w:p w14:paraId="26332300" w14:textId="77777777" w:rsidR="004A66B0" w:rsidRPr="004A66B0" w:rsidRDefault="004A66B0" w:rsidP="004A66B0">
      <w:pPr>
        <w:widowControl w:val="0"/>
        <w:jc w:val="center"/>
        <w:rPr>
          <w:rFonts w:cs="Tahoma"/>
          <w:szCs w:val="20"/>
        </w:rPr>
      </w:pPr>
      <w:r w:rsidRPr="004A66B0">
        <w:rPr>
          <w:rFonts w:cs="Tahoma"/>
          <w:szCs w:val="20"/>
        </w:rPr>
        <w:t>(tato smlouva dále označena též jako „</w:t>
      </w:r>
      <w:r w:rsidRPr="004A66B0">
        <w:rPr>
          <w:rFonts w:cs="Tahoma"/>
          <w:b/>
          <w:szCs w:val="20"/>
        </w:rPr>
        <w:t>Smlouva</w:t>
      </w:r>
      <w:r w:rsidRPr="004A66B0">
        <w:rPr>
          <w:rFonts w:cs="Tahoma"/>
          <w:szCs w:val="20"/>
        </w:rPr>
        <w:t>“)</w:t>
      </w:r>
    </w:p>
    <w:p w14:paraId="12D288FA" w14:textId="77777777" w:rsidR="004A66B0" w:rsidRPr="004A66B0" w:rsidRDefault="004A66B0" w:rsidP="004A66B0">
      <w:pPr>
        <w:pStyle w:val="Styl1"/>
        <w:ind w:left="709" w:hanging="705"/>
        <w:rPr>
          <w:rFonts w:ascii="Tahoma" w:hAnsi="Tahoma" w:cs="Tahoma"/>
          <w:sz w:val="20"/>
          <w:szCs w:val="20"/>
        </w:rPr>
      </w:pPr>
      <w:r w:rsidRPr="004A66B0">
        <w:rPr>
          <w:rFonts w:ascii="Tahoma" w:hAnsi="Tahoma" w:cs="Tahoma"/>
          <w:sz w:val="20"/>
          <w:szCs w:val="20"/>
        </w:rPr>
        <w:t>Smluvní strany a jejich postavení</w:t>
      </w:r>
    </w:p>
    <w:p w14:paraId="31DD875C" w14:textId="77777777" w:rsidR="004A66B0" w:rsidRPr="004A66B0" w:rsidRDefault="004A66B0" w:rsidP="004A66B0">
      <w:pPr>
        <w:pStyle w:val="Styl2"/>
        <w:ind w:left="709" w:hanging="705"/>
        <w:rPr>
          <w:rFonts w:ascii="Tahoma" w:hAnsi="Tahoma" w:cs="Tahoma"/>
          <w:sz w:val="20"/>
          <w:szCs w:val="20"/>
        </w:rPr>
      </w:pPr>
      <w:r w:rsidRPr="004A66B0">
        <w:rPr>
          <w:rFonts w:ascii="Tahoma" w:hAnsi="Tahoma" w:cs="Tahoma"/>
          <w:sz w:val="20"/>
          <w:szCs w:val="20"/>
        </w:rPr>
        <w:t>Advokátní kancelář</w:t>
      </w:r>
    </w:p>
    <w:tbl>
      <w:tblPr>
        <w:tblW w:w="4697" w:type="pct"/>
        <w:tblInd w:w="709" w:type="dxa"/>
        <w:tblCellMar>
          <w:left w:w="142" w:type="dxa"/>
          <w:bottom w:w="113" w:type="dxa"/>
          <w:right w:w="142" w:type="dxa"/>
        </w:tblCellMar>
        <w:tblLook w:val="04A0" w:firstRow="1" w:lastRow="0" w:firstColumn="1" w:lastColumn="0" w:noHBand="0" w:noVBand="1"/>
      </w:tblPr>
      <w:tblGrid>
        <w:gridCol w:w="3161"/>
        <w:gridCol w:w="5354"/>
      </w:tblGrid>
      <w:tr w:rsidR="004A66B0" w:rsidRPr="004A66B0" w14:paraId="2CEAB97B" w14:textId="77777777" w:rsidTr="00090017">
        <w:tc>
          <w:tcPr>
            <w:tcW w:w="1856" w:type="pct"/>
          </w:tcPr>
          <w:p w14:paraId="1A9E922A" w14:textId="77777777" w:rsidR="004A66B0" w:rsidRPr="004A66B0" w:rsidRDefault="004A66B0" w:rsidP="00E94BB5">
            <w:pPr>
              <w:ind w:left="-142"/>
              <w:rPr>
                <w:rFonts w:cs="Tahoma"/>
                <w:szCs w:val="20"/>
              </w:rPr>
            </w:pPr>
            <w:r w:rsidRPr="004A66B0">
              <w:rPr>
                <w:rFonts w:cs="Tahoma"/>
                <w:szCs w:val="20"/>
              </w:rPr>
              <w:t>Název:</w:t>
            </w:r>
          </w:p>
        </w:tc>
        <w:tc>
          <w:tcPr>
            <w:tcW w:w="3144" w:type="pct"/>
          </w:tcPr>
          <w:p w14:paraId="505A2282" w14:textId="1BC40AA0" w:rsidR="004A66B0" w:rsidRPr="004A66B0" w:rsidRDefault="00E3740D" w:rsidP="00E94BB5">
            <w:pPr>
              <w:ind w:left="-142"/>
              <w:rPr>
                <w:rFonts w:cs="Tahoma"/>
                <w:b/>
                <w:szCs w:val="20"/>
              </w:rPr>
            </w:pPr>
            <w:r w:rsidRPr="00E94BB5">
              <w:rPr>
                <w:rFonts w:cs="Tahoma"/>
                <w:b/>
                <w:bCs/>
                <w:color w:val="333333"/>
                <w:szCs w:val="20"/>
                <w:shd w:val="clear" w:color="auto" w:fill="FFFFFF"/>
              </w:rPr>
              <w:t xml:space="preserve">Urban </w:t>
            </w:r>
            <w:proofErr w:type="spellStart"/>
            <w:r w:rsidRPr="00E94BB5">
              <w:rPr>
                <w:rFonts w:cs="Tahoma"/>
                <w:b/>
                <w:bCs/>
                <w:color w:val="333333"/>
                <w:szCs w:val="20"/>
                <w:shd w:val="clear" w:color="auto" w:fill="FFFFFF"/>
              </w:rPr>
              <w:t>legal</w:t>
            </w:r>
            <w:proofErr w:type="spellEnd"/>
            <w:r w:rsidRPr="00E94BB5">
              <w:rPr>
                <w:rFonts w:cs="Tahoma"/>
                <w:b/>
                <w:bCs/>
                <w:color w:val="333333"/>
                <w:szCs w:val="20"/>
                <w:shd w:val="clear" w:color="auto" w:fill="FFFFFF"/>
              </w:rPr>
              <w:t>, advokátní kancelář s.r.o.</w:t>
            </w:r>
          </w:p>
        </w:tc>
      </w:tr>
      <w:tr w:rsidR="004A66B0" w:rsidRPr="004A66B0" w14:paraId="70FA7B1D" w14:textId="77777777" w:rsidTr="00090017">
        <w:tc>
          <w:tcPr>
            <w:tcW w:w="1856" w:type="pct"/>
          </w:tcPr>
          <w:p w14:paraId="43DA7EDF" w14:textId="77777777" w:rsidR="004A66B0" w:rsidRPr="004A66B0" w:rsidRDefault="004A66B0" w:rsidP="00E94BB5">
            <w:pPr>
              <w:ind w:left="-142"/>
              <w:rPr>
                <w:rFonts w:cs="Tahoma"/>
                <w:szCs w:val="20"/>
              </w:rPr>
            </w:pPr>
            <w:r w:rsidRPr="004A66B0">
              <w:rPr>
                <w:rFonts w:cs="Tahoma"/>
                <w:szCs w:val="20"/>
              </w:rPr>
              <w:t>Sídlo:</w:t>
            </w:r>
          </w:p>
        </w:tc>
        <w:tc>
          <w:tcPr>
            <w:tcW w:w="3144" w:type="pct"/>
          </w:tcPr>
          <w:p w14:paraId="30420D06" w14:textId="67169CC1" w:rsidR="004A66B0" w:rsidRPr="004A66B0" w:rsidRDefault="00E3740D" w:rsidP="00CF5C01">
            <w:pPr>
              <w:ind w:left="-142"/>
              <w:rPr>
                <w:rFonts w:cs="Tahoma"/>
                <w:szCs w:val="20"/>
              </w:rPr>
            </w:pPr>
            <w:r w:rsidRPr="00E94BB5">
              <w:rPr>
                <w:rFonts w:cs="Tahoma"/>
                <w:color w:val="333333"/>
                <w:szCs w:val="20"/>
                <w:shd w:val="clear" w:color="auto" w:fill="FFFFFF"/>
              </w:rPr>
              <w:t>Moravské náměstí 754/13, Veveří</w:t>
            </w:r>
            <w:r w:rsidR="004A66B0" w:rsidRPr="004A66B0">
              <w:rPr>
                <w:rFonts w:cs="Tahoma"/>
                <w:szCs w:val="20"/>
              </w:rPr>
              <w:t>, 602 00 Brno</w:t>
            </w:r>
          </w:p>
        </w:tc>
      </w:tr>
      <w:tr w:rsidR="004A66B0" w:rsidRPr="004A66B0" w14:paraId="111B061F" w14:textId="77777777" w:rsidTr="00090017">
        <w:trPr>
          <w:trHeight w:val="163"/>
        </w:trPr>
        <w:tc>
          <w:tcPr>
            <w:tcW w:w="1856" w:type="pct"/>
          </w:tcPr>
          <w:p w14:paraId="545202DE" w14:textId="3472D3D2" w:rsidR="004A66B0" w:rsidRPr="004A66B0" w:rsidRDefault="004A66B0" w:rsidP="00E94BB5">
            <w:pPr>
              <w:ind w:left="-142"/>
              <w:rPr>
                <w:rFonts w:cs="Tahoma"/>
                <w:szCs w:val="20"/>
              </w:rPr>
            </w:pPr>
            <w:r w:rsidRPr="004A66B0">
              <w:rPr>
                <w:rFonts w:cs="Tahoma"/>
                <w:szCs w:val="20"/>
              </w:rPr>
              <w:t>IČ</w:t>
            </w:r>
            <w:r w:rsidR="005331BE">
              <w:rPr>
                <w:rFonts w:cs="Tahoma"/>
                <w:szCs w:val="20"/>
              </w:rPr>
              <w:t>O</w:t>
            </w:r>
            <w:r w:rsidRPr="004A66B0">
              <w:rPr>
                <w:rFonts w:cs="Tahoma"/>
                <w:szCs w:val="20"/>
              </w:rPr>
              <w:t>:</w:t>
            </w:r>
          </w:p>
        </w:tc>
        <w:tc>
          <w:tcPr>
            <w:tcW w:w="3144" w:type="pct"/>
          </w:tcPr>
          <w:p w14:paraId="6944D7E3" w14:textId="69888249" w:rsidR="004A66B0" w:rsidRPr="004A66B0" w:rsidRDefault="00E3740D" w:rsidP="00E94BB5">
            <w:pPr>
              <w:ind w:left="-142"/>
              <w:rPr>
                <w:rFonts w:cs="Tahoma"/>
                <w:szCs w:val="20"/>
                <w:lang w:val="en-US"/>
              </w:rPr>
            </w:pPr>
            <w:r w:rsidRPr="00E94BB5">
              <w:rPr>
                <w:rFonts w:cs="Tahoma"/>
                <w:color w:val="333333"/>
                <w:szCs w:val="20"/>
                <w:shd w:val="clear" w:color="auto" w:fill="FFFFFF"/>
              </w:rPr>
              <w:t>17983835</w:t>
            </w:r>
          </w:p>
        </w:tc>
      </w:tr>
      <w:tr w:rsidR="005331BE" w:rsidRPr="004A66B0" w14:paraId="04E3ABF8" w14:textId="77777777" w:rsidTr="00090017">
        <w:trPr>
          <w:trHeight w:val="163"/>
        </w:trPr>
        <w:tc>
          <w:tcPr>
            <w:tcW w:w="1856" w:type="pct"/>
          </w:tcPr>
          <w:p w14:paraId="2F074D13" w14:textId="43555C44" w:rsidR="005331BE" w:rsidRPr="004A66B0" w:rsidRDefault="005331BE" w:rsidP="00E94BB5">
            <w:pPr>
              <w:ind w:left="-142"/>
              <w:rPr>
                <w:rFonts w:cs="Tahoma"/>
                <w:szCs w:val="20"/>
              </w:rPr>
            </w:pPr>
            <w:r>
              <w:rPr>
                <w:rFonts w:cs="Tahoma"/>
                <w:szCs w:val="20"/>
              </w:rPr>
              <w:t>DIČ:</w:t>
            </w:r>
          </w:p>
        </w:tc>
        <w:tc>
          <w:tcPr>
            <w:tcW w:w="3144" w:type="pct"/>
          </w:tcPr>
          <w:p w14:paraId="462497E3" w14:textId="3CEBE715" w:rsidR="005331BE" w:rsidRPr="005331BE" w:rsidRDefault="005331BE" w:rsidP="00E94BB5">
            <w:pPr>
              <w:ind w:left="-142"/>
              <w:rPr>
                <w:rFonts w:cs="Tahoma"/>
                <w:color w:val="333333"/>
                <w:szCs w:val="20"/>
                <w:shd w:val="clear" w:color="auto" w:fill="FFFFFF"/>
              </w:rPr>
            </w:pPr>
            <w:r>
              <w:rPr>
                <w:rFonts w:cs="Tahoma"/>
                <w:color w:val="333333"/>
                <w:szCs w:val="20"/>
                <w:shd w:val="clear" w:color="auto" w:fill="FFFFFF"/>
              </w:rPr>
              <w:t>CZ17983835</w:t>
            </w:r>
          </w:p>
        </w:tc>
      </w:tr>
      <w:tr w:rsidR="004A66B0" w:rsidRPr="004A66B0" w14:paraId="26671B5A" w14:textId="77777777" w:rsidTr="00090017">
        <w:tc>
          <w:tcPr>
            <w:tcW w:w="1856" w:type="pct"/>
          </w:tcPr>
          <w:p w14:paraId="7FD81579" w14:textId="77777777" w:rsidR="004A66B0" w:rsidRPr="004A66B0" w:rsidRDefault="004A66B0" w:rsidP="00E94BB5">
            <w:pPr>
              <w:ind w:left="-142"/>
              <w:rPr>
                <w:rFonts w:cs="Tahoma"/>
                <w:szCs w:val="20"/>
              </w:rPr>
            </w:pPr>
            <w:r w:rsidRPr="00D36FF0">
              <w:rPr>
                <w:rFonts w:cs="Tahoma"/>
                <w:szCs w:val="20"/>
              </w:rPr>
              <w:t>Bankovní účet:</w:t>
            </w:r>
          </w:p>
        </w:tc>
        <w:tc>
          <w:tcPr>
            <w:tcW w:w="3144" w:type="pct"/>
          </w:tcPr>
          <w:p w14:paraId="1FBCBB38" w14:textId="34FB131F" w:rsidR="00583A57" w:rsidRPr="004A66B0" w:rsidRDefault="00E3740D" w:rsidP="00E94BB5">
            <w:pPr>
              <w:ind w:left="-142"/>
              <w:rPr>
                <w:rFonts w:cs="Tahoma"/>
                <w:szCs w:val="20"/>
                <w:lang w:val="en-US"/>
              </w:rPr>
            </w:pPr>
            <w:r>
              <w:rPr>
                <w:rFonts w:cs="Tahoma"/>
                <w:szCs w:val="20"/>
                <w:lang w:val="en-US"/>
              </w:rPr>
              <w:t>1220232/5500</w:t>
            </w:r>
          </w:p>
        </w:tc>
      </w:tr>
      <w:tr w:rsidR="00583A57" w:rsidRPr="004A66B0" w14:paraId="037BBF44" w14:textId="77777777" w:rsidTr="00090017">
        <w:tc>
          <w:tcPr>
            <w:tcW w:w="1856" w:type="pct"/>
          </w:tcPr>
          <w:p w14:paraId="21CE1725" w14:textId="632E0B3C" w:rsidR="00583A57" w:rsidRPr="00D36FF0" w:rsidRDefault="00583A57" w:rsidP="00E94BB5">
            <w:pPr>
              <w:ind w:left="-142"/>
              <w:rPr>
                <w:rFonts w:cs="Tahoma"/>
                <w:szCs w:val="20"/>
              </w:rPr>
            </w:pPr>
            <w:r w:rsidRPr="004A66B0">
              <w:rPr>
                <w:rFonts w:cs="Tahoma"/>
                <w:szCs w:val="20"/>
              </w:rPr>
              <w:t>Zastoupen:</w:t>
            </w:r>
            <w:r w:rsidRPr="004A66B0">
              <w:rPr>
                <w:rFonts w:cs="Tahoma"/>
                <w:szCs w:val="20"/>
              </w:rPr>
              <w:tab/>
            </w:r>
          </w:p>
        </w:tc>
        <w:tc>
          <w:tcPr>
            <w:tcW w:w="3144" w:type="pct"/>
          </w:tcPr>
          <w:p w14:paraId="7A5AABBF" w14:textId="6C09E957" w:rsidR="00583A57" w:rsidDel="00E3740D" w:rsidRDefault="00583A57" w:rsidP="00E94BB5">
            <w:pPr>
              <w:ind w:left="-142"/>
              <w:rPr>
                <w:rFonts w:cs="Tahoma"/>
                <w:szCs w:val="20"/>
                <w:lang w:val="en-US"/>
              </w:rPr>
            </w:pPr>
            <w:r>
              <w:rPr>
                <w:rFonts w:cs="Tahoma"/>
                <w:szCs w:val="20"/>
              </w:rPr>
              <w:t xml:space="preserve">Mgr. </w:t>
            </w:r>
            <w:r w:rsidR="005331BE">
              <w:rPr>
                <w:rFonts w:cs="Tahoma"/>
                <w:szCs w:val="20"/>
              </w:rPr>
              <w:t xml:space="preserve">et Mgr. </w:t>
            </w:r>
            <w:r>
              <w:rPr>
                <w:rFonts w:cs="Tahoma"/>
                <w:szCs w:val="20"/>
              </w:rPr>
              <w:t>Jan</w:t>
            </w:r>
            <w:r w:rsidR="005331BE">
              <w:rPr>
                <w:rFonts w:cs="Tahoma"/>
                <w:szCs w:val="20"/>
              </w:rPr>
              <w:t>em</w:t>
            </w:r>
            <w:r>
              <w:rPr>
                <w:rFonts w:cs="Tahoma"/>
                <w:szCs w:val="20"/>
              </w:rPr>
              <w:t xml:space="preserve"> Sedlá</w:t>
            </w:r>
            <w:r w:rsidR="005331BE">
              <w:rPr>
                <w:rFonts w:cs="Tahoma"/>
                <w:szCs w:val="20"/>
              </w:rPr>
              <w:t>čkem</w:t>
            </w:r>
            <w:r>
              <w:rPr>
                <w:rFonts w:cs="Tahoma"/>
                <w:szCs w:val="20"/>
              </w:rPr>
              <w:t>, jednatel</w:t>
            </w:r>
            <w:r w:rsidR="005331BE">
              <w:rPr>
                <w:rFonts w:cs="Tahoma"/>
                <w:szCs w:val="20"/>
              </w:rPr>
              <w:t>em</w:t>
            </w:r>
          </w:p>
        </w:tc>
      </w:tr>
      <w:tr w:rsidR="001F7601" w:rsidRPr="004A66B0" w14:paraId="13362ABB" w14:textId="77777777" w:rsidTr="00090017">
        <w:tc>
          <w:tcPr>
            <w:tcW w:w="1856" w:type="pct"/>
          </w:tcPr>
          <w:p w14:paraId="6384452B" w14:textId="79E7CD6A" w:rsidR="001F7601" w:rsidRPr="004A66B0" w:rsidRDefault="001F7601" w:rsidP="00E94BB5">
            <w:pPr>
              <w:ind w:left="-142"/>
              <w:rPr>
                <w:rFonts w:cs="Tahoma"/>
                <w:szCs w:val="20"/>
              </w:rPr>
            </w:pPr>
            <w:r>
              <w:rPr>
                <w:rFonts w:cs="Tahoma"/>
                <w:szCs w:val="20"/>
              </w:rPr>
              <w:t xml:space="preserve">Kontaktní osoba: </w:t>
            </w:r>
          </w:p>
        </w:tc>
        <w:tc>
          <w:tcPr>
            <w:tcW w:w="3144" w:type="pct"/>
          </w:tcPr>
          <w:p w14:paraId="645E5D82" w14:textId="0D74124D" w:rsidR="001F7601" w:rsidRDefault="001F7601" w:rsidP="00E94BB5">
            <w:pPr>
              <w:ind w:left="-142"/>
              <w:rPr>
                <w:rFonts w:cs="Tahoma"/>
                <w:szCs w:val="20"/>
              </w:rPr>
            </w:pPr>
            <w:r>
              <w:rPr>
                <w:rFonts w:cs="Tahoma"/>
                <w:szCs w:val="20"/>
              </w:rPr>
              <w:t>Mgr. et Mgr. Jan Sedláček</w:t>
            </w:r>
          </w:p>
        </w:tc>
      </w:tr>
      <w:tr w:rsidR="001F7601" w:rsidRPr="004A66B0" w14:paraId="3F1D0C33" w14:textId="77777777" w:rsidTr="00090017">
        <w:tc>
          <w:tcPr>
            <w:tcW w:w="1856" w:type="pct"/>
          </w:tcPr>
          <w:p w14:paraId="20120DFE" w14:textId="1E5646E0" w:rsidR="001F7601" w:rsidRPr="004A66B0" w:rsidRDefault="001F7601" w:rsidP="00E94BB5">
            <w:pPr>
              <w:ind w:left="-142"/>
              <w:rPr>
                <w:rFonts w:cs="Tahoma"/>
                <w:szCs w:val="20"/>
              </w:rPr>
            </w:pPr>
            <w:r>
              <w:rPr>
                <w:rFonts w:cs="Tahoma"/>
                <w:szCs w:val="20"/>
              </w:rPr>
              <w:t xml:space="preserve">E-mail: </w:t>
            </w:r>
          </w:p>
        </w:tc>
        <w:tc>
          <w:tcPr>
            <w:tcW w:w="3144" w:type="pct"/>
          </w:tcPr>
          <w:p w14:paraId="6FAF9CBE" w14:textId="30513DFC" w:rsidR="001F7601" w:rsidRDefault="00DF715B" w:rsidP="00E94BB5">
            <w:pPr>
              <w:ind w:left="-142"/>
              <w:rPr>
                <w:rFonts w:cs="Tahoma"/>
                <w:szCs w:val="20"/>
              </w:rPr>
            </w:pPr>
            <w:proofErr w:type="spellStart"/>
            <w:r>
              <w:rPr>
                <w:rFonts w:cs="Tahoma"/>
                <w:szCs w:val="20"/>
              </w:rPr>
              <w:t>xxxxx</w:t>
            </w:r>
            <w:proofErr w:type="spellEnd"/>
          </w:p>
        </w:tc>
      </w:tr>
      <w:tr w:rsidR="001F7601" w:rsidRPr="004A66B0" w14:paraId="5E580BE6" w14:textId="77777777" w:rsidTr="00090017">
        <w:tc>
          <w:tcPr>
            <w:tcW w:w="1856" w:type="pct"/>
          </w:tcPr>
          <w:p w14:paraId="5869DF03" w14:textId="306B346B" w:rsidR="001F7601" w:rsidRPr="004A66B0" w:rsidRDefault="001F7601" w:rsidP="00E94BB5">
            <w:pPr>
              <w:ind w:left="-142"/>
              <w:rPr>
                <w:rFonts w:cs="Tahoma"/>
                <w:szCs w:val="20"/>
              </w:rPr>
            </w:pPr>
            <w:r>
              <w:rPr>
                <w:rFonts w:cs="Tahoma"/>
                <w:szCs w:val="20"/>
              </w:rPr>
              <w:t xml:space="preserve">Tel: </w:t>
            </w:r>
          </w:p>
        </w:tc>
        <w:tc>
          <w:tcPr>
            <w:tcW w:w="3144" w:type="pct"/>
          </w:tcPr>
          <w:p w14:paraId="709D51CD" w14:textId="7AB97E8D" w:rsidR="001F7601" w:rsidRDefault="00DF715B" w:rsidP="00E94BB5">
            <w:pPr>
              <w:ind w:left="-142"/>
              <w:rPr>
                <w:rFonts w:cs="Tahoma"/>
                <w:szCs w:val="20"/>
              </w:rPr>
            </w:pPr>
            <w:proofErr w:type="spellStart"/>
            <w:r>
              <w:rPr>
                <w:rFonts w:cs="Tahoma"/>
                <w:szCs w:val="20"/>
              </w:rPr>
              <w:t>xxxxx</w:t>
            </w:r>
            <w:proofErr w:type="spellEnd"/>
          </w:p>
        </w:tc>
      </w:tr>
      <w:tr w:rsidR="00CF5C01" w:rsidRPr="004A66B0" w14:paraId="00C148FB" w14:textId="77777777" w:rsidTr="00090017">
        <w:tc>
          <w:tcPr>
            <w:tcW w:w="1856" w:type="pct"/>
          </w:tcPr>
          <w:p w14:paraId="0937CB50" w14:textId="61513503" w:rsidR="00CF5C01" w:rsidRDefault="00CF5C01" w:rsidP="00E94BB5">
            <w:pPr>
              <w:ind w:left="-142"/>
              <w:rPr>
                <w:rFonts w:cs="Tahoma"/>
                <w:szCs w:val="20"/>
              </w:rPr>
            </w:pPr>
            <w:r>
              <w:rPr>
                <w:rFonts w:cs="Tahoma"/>
                <w:szCs w:val="20"/>
              </w:rPr>
              <w:t xml:space="preserve">(dále jen </w:t>
            </w:r>
            <w:r w:rsidRPr="004A66B0">
              <w:rPr>
                <w:rFonts w:cs="Tahoma"/>
                <w:szCs w:val="20"/>
              </w:rPr>
              <w:t>„</w:t>
            </w:r>
            <w:r w:rsidRPr="00E94BB5">
              <w:rPr>
                <w:rFonts w:cs="Tahoma"/>
                <w:b/>
                <w:bCs/>
                <w:szCs w:val="20"/>
              </w:rPr>
              <w:t>Advokát</w:t>
            </w:r>
            <w:r w:rsidRPr="004A66B0">
              <w:rPr>
                <w:rFonts w:cs="Tahoma"/>
                <w:szCs w:val="20"/>
              </w:rPr>
              <w:t>“)</w:t>
            </w:r>
          </w:p>
        </w:tc>
        <w:tc>
          <w:tcPr>
            <w:tcW w:w="3144" w:type="pct"/>
          </w:tcPr>
          <w:p w14:paraId="3C7F753C" w14:textId="77777777" w:rsidR="00CF5C01" w:rsidRPr="001F7601" w:rsidRDefault="00CF5C01" w:rsidP="00583A57">
            <w:pPr>
              <w:spacing w:line="256" w:lineRule="auto"/>
              <w:ind w:left="-142"/>
              <w:rPr>
                <w:rFonts w:cs="Tahoma"/>
                <w:szCs w:val="20"/>
              </w:rPr>
            </w:pPr>
          </w:p>
        </w:tc>
      </w:tr>
    </w:tbl>
    <w:p w14:paraId="63073319" w14:textId="77777777" w:rsidR="004A66B0" w:rsidRPr="004A66B0" w:rsidRDefault="004A66B0" w:rsidP="004A66B0">
      <w:pPr>
        <w:pStyle w:val="Styl2"/>
        <w:ind w:left="709" w:hanging="705"/>
        <w:rPr>
          <w:rFonts w:ascii="Tahoma" w:hAnsi="Tahoma" w:cs="Tahoma"/>
          <w:sz w:val="20"/>
          <w:szCs w:val="20"/>
        </w:rPr>
      </w:pPr>
      <w:r w:rsidRPr="004A66B0">
        <w:rPr>
          <w:rFonts w:ascii="Tahoma" w:hAnsi="Tahoma" w:cs="Tahoma"/>
          <w:sz w:val="20"/>
          <w:szCs w:val="20"/>
        </w:rPr>
        <w:t>Klient</w:t>
      </w:r>
    </w:p>
    <w:p w14:paraId="2640337B" w14:textId="77777777" w:rsidR="004A66B0" w:rsidRPr="004A66B0" w:rsidRDefault="004A66B0" w:rsidP="004A66B0">
      <w:pPr>
        <w:pStyle w:val="Textodstavcebezslovn"/>
        <w:tabs>
          <w:tab w:val="left" w:pos="3828"/>
        </w:tabs>
        <w:spacing w:before="0"/>
        <w:rPr>
          <w:rFonts w:ascii="Tahoma" w:hAnsi="Tahoma" w:cs="Tahoma"/>
          <w:b/>
          <w:bCs/>
          <w:sz w:val="20"/>
          <w:szCs w:val="20"/>
        </w:rPr>
      </w:pPr>
      <w:r w:rsidRPr="004A66B0">
        <w:rPr>
          <w:rFonts w:ascii="Tahoma" w:hAnsi="Tahoma" w:cs="Tahoma"/>
          <w:sz w:val="20"/>
          <w:szCs w:val="20"/>
        </w:rPr>
        <w:t>Název:</w:t>
      </w:r>
      <w:r w:rsidRPr="004A66B0">
        <w:rPr>
          <w:rFonts w:ascii="Tahoma" w:hAnsi="Tahoma" w:cs="Tahoma"/>
          <w:sz w:val="20"/>
          <w:szCs w:val="20"/>
        </w:rPr>
        <w:tab/>
      </w:r>
      <w:r w:rsidRPr="004A66B0">
        <w:rPr>
          <w:rFonts w:ascii="Tahoma" w:hAnsi="Tahoma" w:cs="Tahoma"/>
          <w:b/>
          <w:bCs/>
          <w:sz w:val="20"/>
          <w:szCs w:val="20"/>
        </w:rPr>
        <w:t xml:space="preserve">Kancelář architekta města Brna, </w:t>
      </w:r>
      <w:proofErr w:type="spellStart"/>
      <w:r w:rsidRPr="004A66B0">
        <w:rPr>
          <w:rFonts w:ascii="Tahoma" w:hAnsi="Tahoma" w:cs="Tahoma"/>
          <w:b/>
          <w:bCs/>
          <w:sz w:val="20"/>
          <w:szCs w:val="20"/>
        </w:rPr>
        <w:t>p.o</w:t>
      </w:r>
      <w:proofErr w:type="spellEnd"/>
      <w:r w:rsidRPr="004A66B0">
        <w:rPr>
          <w:rFonts w:ascii="Tahoma" w:hAnsi="Tahoma" w:cs="Tahoma"/>
          <w:b/>
          <w:bCs/>
          <w:sz w:val="20"/>
          <w:szCs w:val="20"/>
        </w:rPr>
        <w:t>.</w:t>
      </w:r>
    </w:p>
    <w:p w14:paraId="0803B0A8" w14:textId="77777777" w:rsidR="004A66B0" w:rsidRPr="004A66B0" w:rsidRDefault="004A66B0" w:rsidP="004A66B0">
      <w:pPr>
        <w:pStyle w:val="Textodstavcebezslovn"/>
        <w:tabs>
          <w:tab w:val="left" w:pos="3828"/>
        </w:tabs>
        <w:spacing w:before="0"/>
        <w:rPr>
          <w:rFonts w:ascii="Tahoma" w:hAnsi="Tahoma" w:cs="Tahoma"/>
          <w:sz w:val="20"/>
          <w:szCs w:val="20"/>
        </w:rPr>
      </w:pPr>
      <w:r w:rsidRPr="004A66B0">
        <w:rPr>
          <w:rFonts w:ascii="Tahoma" w:hAnsi="Tahoma" w:cs="Tahoma"/>
          <w:sz w:val="20"/>
          <w:szCs w:val="20"/>
        </w:rPr>
        <w:t>Sídlo:</w:t>
      </w:r>
      <w:r w:rsidRPr="004A66B0">
        <w:rPr>
          <w:rFonts w:ascii="Tahoma" w:hAnsi="Tahoma" w:cs="Tahoma"/>
          <w:sz w:val="20"/>
          <w:szCs w:val="20"/>
        </w:rPr>
        <w:tab/>
        <w:t>Zelný trh 331/13, 602 00 Brno</w:t>
      </w:r>
    </w:p>
    <w:p w14:paraId="109CCEA3" w14:textId="77777777" w:rsidR="004A66B0" w:rsidRPr="004A66B0" w:rsidRDefault="004A66B0" w:rsidP="004A66B0">
      <w:pPr>
        <w:pStyle w:val="Textodstavcebezslovn"/>
        <w:tabs>
          <w:tab w:val="left" w:pos="3828"/>
        </w:tabs>
        <w:spacing w:before="0"/>
        <w:rPr>
          <w:rFonts w:ascii="Tahoma" w:hAnsi="Tahoma" w:cs="Tahoma"/>
          <w:sz w:val="20"/>
          <w:szCs w:val="20"/>
        </w:rPr>
      </w:pPr>
      <w:r w:rsidRPr="004A66B0">
        <w:rPr>
          <w:rFonts w:ascii="Tahoma" w:hAnsi="Tahoma" w:cs="Tahoma"/>
          <w:sz w:val="20"/>
          <w:szCs w:val="20"/>
        </w:rPr>
        <w:t>IČ:</w:t>
      </w:r>
      <w:r w:rsidRPr="004A66B0">
        <w:rPr>
          <w:rFonts w:ascii="Tahoma" w:hAnsi="Tahoma" w:cs="Tahoma"/>
          <w:sz w:val="20"/>
          <w:szCs w:val="20"/>
        </w:rPr>
        <w:tab/>
        <w:t>05128820</w:t>
      </w:r>
    </w:p>
    <w:p w14:paraId="6AB00021" w14:textId="77777777" w:rsidR="004A66B0" w:rsidRPr="004A66B0" w:rsidRDefault="004A66B0" w:rsidP="004A66B0">
      <w:pPr>
        <w:pStyle w:val="Textodstavcebezslovn"/>
        <w:tabs>
          <w:tab w:val="left" w:pos="3828"/>
        </w:tabs>
        <w:spacing w:before="0"/>
        <w:rPr>
          <w:rFonts w:ascii="Tahoma" w:hAnsi="Tahoma" w:cs="Tahoma"/>
          <w:sz w:val="20"/>
          <w:szCs w:val="20"/>
        </w:rPr>
      </w:pPr>
      <w:r w:rsidRPr="004A66B0">
        <w:rPr>
          <w:rFonts w:ascii="Tahoma" w:hAnsi="Tahoma" w:cs="Tahoma"/>
          <w:sz w:val="20"/>
          <w:szCs w:val="20"/>
        </w:rPr>
        <w:t>DIČ:</w:t>
      </w:r>
      <w:r w:rsidRPr="004A66B0">
        <w:rPr>
          <w:rFonts w:ascii="Tahoma" w:hAnsi="Tahoma" w:cs="Tahoma"/>
          <w:sz w:val="20"/>
          <w:szCs w:val="20"/>
        </w:rPr>
        <w:tab/>
        <w:t>CZ05128820</w:t>
      </w:r>
    </w:p>
    <w:p w14:paraId="7D01E5AD" w14:textId="13A0BC9A" w:rsidR="004A66B0" w:rsidRPr="004A66B0" w:rsidRDefault="004A66B0" w:rsidP="004A66B0">
      <w:pPr>
        <w:pStyle w:val="Textodstavcebezslovn"/>
        <w:tabs>
          <w:tab w:val="left" w:pos="3828"/>
        </w:tabs>
        <w:spacing w:before="0"/>
        <w:rPr>
          <w:rFonts w:ascii="Tahoma" w:hAnsi="Tahoma" w:cs="Tahoma"/>
          <w:sz w:val="20"/>
          <w:szCs w:val="20"/>
        </w:rPr>
      </w:pPr>
      <w:r w:rsidRPr="004A66B0">
        <w:rPr>
          <w:rFonts w:ascii="Tahoma" w:hAnsi="Tahoma" w:cs="Tahoma"/>
          <w:sz w:val="20"/>
          <w:szCs w:val="20"/>
        </w:rPr>
        <w:t>Bankovní účet:</w:t>
      </w:r>
      <w:r w:rsidRPr="004A66B0">
        <w:rPr>
          <w:rFonts w:ascii="Tahoma" w:hAnsi="Tahoma" w:cs="Tahoma"/>
          <w:sz w:val="20"/>
          <w:szCs w:val="20"/>
        </w:rPr>
        <w:tab/>
      </w:r>
      <w:r w:rsidR="00337C3C" w:rsidRPr="00337C3C">
        <w:rPr>
          <w:rFonts w:ascii="Tahoma" w:hAnsi="Tahoma" w:cs="Tahoma"/>
          <w:sz w:val="20"/>
          <w:szCs w:val="20"/>
        </w:rPr>
        <w:t>2001018746/2010</w:t>
      </w:r>
      <w:r w:rsidRPr="004A66B0">
        <w:rPr>
          <w:rFonts w:ascii="Tahoma" w:hAnsi="Tahoma" w:cs="Tahoma"/>
          <w:sz w:val="20"/>
          <w:szCs w:val="20"/>
        </w:rPr>
        <w:t xml:space="preserve">, vedený u </w:t>
      </w:r>
      <w:r w:rsidR="00337C3C">
        <w:rPr>
          <w:rFonts w:ascii="Tahoma" w:hAnsi="Tahoma" w:cs="Tahoma"/>
          <w:sz w:val="20"/>
          <w:szCs w:val="20"/>
        </w:rPr>
        <w:t>FIO banka a.s.</w:t>
      </w:r>
    </w:p>
    <w:p w14:paraId="4CD50912" w14:textId="3F4B3C05" w:rsidR="004A66B0" w:rsidRDefault="004A66B0" w:rsidP="004A66B0">
      <w:pPr>
        <w:pStyle w:val="Textodstavcebezslovn"/>
        <w:tabs>
          <w:tab w:val="left" w:pos="3828"/>
        </w:tabs>
        <w:spacing w:before="0"/>
        <w:ind w:left="3828" w:hanging="3119"/>
        <w:rPr>
          <w:rFonts w:ascii="Tahoma" w:hAnsi="Tahoma" w:cs="Tahoma"/>
          <w:sz w:val="20"/>
          <w:szCs w:val="20"/>
        </w:rPr>
      </w:pPr>
      <w:r w:rsidRPr="004A66B0">
        <w:rPr>
          <w:rFonts w:ascii="Tahoma" w:hAnsi="Tahoma" w:cs="Tahoma"/>
          <w:sz w:val="20"/>
          <w:szCs w:val="20"/>
        </w:rPr>
        <w:t>Zastoupen:</w:t>
      </w:r>
      <w:r w:rsidRPr="004A66B0">
        <w:rPr>
          <w:rFonts w:ascii="Tahoma" w:hAnsi="Tahoma" w:cs="Tahoma"/>
          <w:sz w:val="20"/>
          <w:szCs w:val="20"/>
        </w:rPr>
        <w:tab/>
        <w:t xml:space="preserve">Ing. arch. </w:t>
      </w:r>
      <w:r w:rsidR="003B6E02">
        <w:rPr>
          <w:rFonts w:ascii="Tahoma" w:hAnsi="Tahoma" w:cs="Tahoma"/>
          <w:sz w:val="20"/>
          <w:szCs w:val="20"/>
        </w:rPr>
        <w:t>Janem Tesárkem</w:t>
      </w:r>
      <w:r w:rsidRPr="004A66B0">
        <w:rPr>
          <w:rFonts w:ascii="Tahoma" w:hAnsi="Tahoma" w:cs="Tahoma"/>
          <w:sz w:val="20"/>
          <w:szCs w:val="20"/>
        </w:rPr>
        <w:t xml:space="preserve">, </w:t>
      </w:r>
      <w:r w:rsidR="00096682">
        <w:rPr>
          <w:rFonts w:ascii="Tahoma" w:hAnsi="Tahoma" w:cs="Tahoma"/>
          <w:sz w:val="20"/>
          <w:szCs w:val="20"/>
        </w:rPr>
        <w:t>ředitelem</w:t>
      </w:r>
    </w:p>
    <w:p w14:paraId="349656AB" w14:textId="70DE0395" w:rsidR="001F7601" w:rsidRDefault="001F7601" w:rsidP="004A66B0">
      <w:pPr>
        <w:pStyle w:val="Textodstavcebezslovn"/>
        <w:tabs>
          <w:tab w:val="left" w:pos="3828"/>
        </w:tabs>
        <w:spacing w:before="0"/>
        <w:ind w:left="3828" w:hanging="3119"/>
        <w:rPr>
          <w:rFonts w:ascii="Tahoma" w:hAnsi="Tahoma" w:cs="Tahoma"/>
          <w:sz w:val="20"/>
          <w:szCs w:val="20"/>
        </w:rPr>
      </w:pPr>
      <w:r>
        <w:rPr>
          <w:rFonts w:ascii="Tahoma" w:hAnsi="Tahoma" w:cs="Tahoma"/>
          <w:sz w:val="20"/>
          <w:szCs w:val="20"/>
        </w:rPr>
        <w:t xml:space="preserve">Kontaktní osoba: </w:t>
      </w:r>
      <w:r>
        <w:rPr>
          <w:rFonts w:ascii="Tahoma" w:hAnsi="Tahoma" w:cs="Tahoma"/>
          <w:sz w:val="20"/>
          <w:szCs w:val="20"/>
        </w:rPr>
        <w:tab/>
        <w:t>Ing. Jan Novák, vedoucí Administrativy</w:t>
      </w:r>
    </w:p>
    <w:p w14:paraId="71CA485C" w14:textId="5C78E14B" w:rsidR="001F7601" w:rsidRDefault="001F7601" w:rsidP="004A66B0">
      <w:pPr>
        <w:pStyle w:val="Textodstavcebezslovn"/>
        <w:tabs>
          <w:tab w:val="left" w:pos="3828"/>
        </w:tabs>
        <w:spacing w:before="0"/>
        <w:ind w:left="3828" w:hanging="3119"/>
        <w:rPr>
          <w:rFonts w:ascii="Tahoma" w:hAnsi="Tahoma" w:cs="Tahoma"/>
          <w:sz w:val="20"/>
          <w:szCs w:val="20"/>
        </w:rPr>
      </w:pPr>
      <w:r>
        <w:rPr>
          <w:rFonts w:ascii="Tahoma" w:hAnsi="Tahoma" w:cs="Tahoma"/>
          <w:sz w:val="20"/>
          <w:szCs w:val="20"/>
        </w:rPr>
        <w:t xml:space="preserve">E-mail: </w:t>
      </w:r>
      <w:r>
        <w:rPr>
          <w:rFonts w:ascii="Tahoma" w:hAnsi="Tahoma" w:cs="Tahoma"/>
          <w:sz w:val="20"/>
          <w:szCs w:val="20"/>
        </w:rPr>
        <w:tab/>
      </w:r>
      <w:proofErr w:type="spellStart"/>
      <w:r w:rsidR="00DF715B" w:rsidRPr="00DF715B">
        <w:rPr>
          <w:rFonts w:ascii="Tahoma" w:hAnsi="Tahoma" w:cs="Tahoma"/>
          <w:sz w:val="20"/>
          <w:szCs w:val="20"/>
        </w:rPr>
        <w:t>xxxxx</w:t>
      </w:r>
      <w:proofErr w:type="spellEnd"/>
    </w:p>
    <w:p w14:paraId="5C4348FC" w14:textId="42C8AE91" w:rsidR="001F7601" w:rsidRPr="004A66B0" w:rsidRDefault="001F7601" w:rsidP="00E94BB5">
      <w:pPr>
        <w:pStyle w:val="Textodstavcebezslovn"/>
        <w:tabs>
          <w:tab w:val="left" w:pos="3828"/>
        </w:tabs>
        <w:spacing w:before="0"/>
        <w:ind w:left="3828" w:hanging="3119"/>
        <w:jc w:val="left"/>
        <w:rPr>
          <w:rFonts w:ascii="Tahoma" w:hAnsi="Tahoma" w:cs="Tahoma"/>
          <w:sz w:val="20"/>
          <w:szCs w:val="20"/>
        </w:rPr>
      </w:pPr>
      <w:r>
        <w:rPr>
          <w:rFonts w:ascii="Tahoma" w:hAnsi="Tahoma" w:cs="Tahoma"/>
          <w:sz w:val="20"/>
          <w:szCs w:val="20"/>
        </w:rPr>
        <w:t>Tel:</w:t>
      </w:r>
      <w:r>
        <w:rPr>
          <w:rFonts w:ascii="Tahoma" w:hAnsi="Tahoma" w:cs="Tahoma"/>
          <w:sz w:val="20"/>
          <w:szCs w:val="20"/>
        </w:rPr>
        <w:tab/>
      </w:r>
      <w:proofErr w:type="spellStart"/>
      <w:r w:rsidR="00DF715B">
        <w:rPr>
          <w:rFonts w:ascii="Tahoma" w:hAnsi="Tahoma" w:cs="Tahoma"/>
          <w:sz w:val="20"/>
          <w:szCs w:val="20"/>
        </w:rPr>
        <w:t>xxxxx</w:t>
      </w:r>
      <w:proofErr w:type="spellEnd"/>
    </w:p>
    <w:p w14:paraId="23C9CEAF" w14:textId="7D5A336B" w:rsidR="004A66B0" w:rsidRPr="004A66B0" w:rsidRDefault="004A66B0" w:rsidP="00E94BB5">
      <w:pPr>
        <w:pStyle w:val="Textodstavcebezslovn"/>
        <w:spacing w:before="0"/>
        <w:jc w:val="left"/>
        <w:rPr>
          <w:rFonts w:ascii="Tahoma" w:hAnsi="Tahoma" w:cs="Tahoma"/>
          <w:sz w:val="20"/>
          <w:szCs w:val="20"/>
        </w:rPr>
      </w:pPr>
      <w:r w:rsidRPr="004A66B0">
        <w:rPr>
          <w:rFonts w:ascii="Tahoma" w:hAnsi="Tahoma" w:cs="Tahoma"/>
          <w:sz w:val="20"/>
          <w:szCs w:val="20"/>
        </w:rPr>
        <w:t>(dále jen „</w:t>
      </w:r>
      <w:bookmarkStart w:id="0" w:name="Smluvni_strana2"/>
      <w:r w:rsidRPr="004A66B0">
        <w:rPr>
          <w:rFonts w:ascii="Tahoma" w:hAnsi="Tahoma" w:cs="Tahoma"/>
          <w:b/>
          <w:sz w:val="20"/>
          <w:szCs w:val="20"/>
        </w:rPr>
        <w:t>Klient</w:t>
      </w:r>
      <w:bookmarkEnd w:id="0"/>
      <w:r w:rsidRPr="004A66B0">
        <w:rPr>
          <w:rFonts w:ascii="Tahoma" w:hAnsi="Tahoma" w:cs="Tahoma"/>
          <w:sz w:val="20"/>
          <w:szCs w:val="20"/>
        </w:rPr>
        <w:t>“)</w:t>
      </w:r>
      <w:r w:rsidR="00CF5C01">
        <w:rPr>
          <w:rFonts w:ascii="Tahoma" w:hAnsi="Tahoma" w:cs="Tahoma"/>
          <w:sz w:val="20"/>
          <w:szCs w:val="20"/>
        </w:rPr>
        <w:br/>
      </w:r>
    </w:p>
    <w:p w14:paraId="100ACC92" w14:textId="01449A88" w:rsidR="004A66B0" w:rsidRPr="004A66B0" w:rsidRDefault="004A66B0" w:rsidP="004A66B0">
      <w:pPr>
        <w:pStyle w:val="Textodstavcebezslovn"/>
        <w:spacing w:before="0"/>
        <w:rPr>
          <w:rFonts w:ascii="Tahoma" w:hAnsi="Tahoma" w:cs="Tahoma"/>
          <w:sz w:val="20"/>
          <w:szCs w:val="20"/>
          <w:lang w:eastAsia="en-US"/>
        </w:rPr>
      </w:pPr>
      <w:r w:rsidRPr="004A66B0">
        <w:rPr>
          <w:rFonts w:ascii="Tahoma" w:hAnsi="Tahoma" w:cs="Tahoma"/>
          <w:sz w:val="20"/>
          <w:szCs w:val="20"/>
        </w:rPr>
        <w:t>(Advokát</w:t>
      </w:r>
      <w:r w:rsidRPr="004A66B0">
        <w:rPr>
          <w:rFonts w:ascii="Tahoma" w:hAnsi="Tahoma" w:cs="Tahoma"/>
          <w:sz w:val="20"/>
          <w:szCs w:val="20"/>
          <w:lang w:val="en-US"/>
        </w:rPr>
        <w:t xml:space="preserve"> a </w:t>
      </w:r>
      <w:r w:rsidRPr="004A66B0">
        <w:rPr>
          <w:rFonts w:ascii="Tahoma" w:hAnsi="Tahoma" w:cs="Tahoma"/>
          <w:sz w:val="20"/>
          <w:szCs w:val="20"/>
        </w:rPr>
        <w:t>Klient dále společně též „</w:t>
      </w:r>
      <w:r w:rsidRPr="004A66B0">
        <w:rPr>
          <w:rFonts w:ascii="Tahoma" w:hAnsi="Tahoma" w:cs="Tahoma"/>
          <w:b/>
          <w:sz w:val="20"/>
          <w:szCs w:val="20"/>
        </w:rPr>
        <w:t>Smluvní strany</w:t>
      </w:r>
      <w:r w:rsidRPr="004A66B0">
        <w:rPr>
          <w:rFonts w:ascii="Tahoma" w:hAnsi="Tahoma" w:cs="Tahoma"/>
          <w:sz w:val="20"/>
          <w:szCs w:val="20"/>
        </w:rPr>
        <w:t>“)</w:t>
      </w:r>
    </w:p>
    <w:p w14:paraId="0956AAF9" w14:textId="77777777" w:rsidR="004A66B0" w:rsidRPr="004A66B0" w:rsidRDefault="004A66B0" w:rsidP="004A66B0">
      <w:pPr>
        <w:pStyle w:val="Styl1"/>
        <w:ind w:left="709" w:hanging="705"/>
        <w:rPr>
          <w:rFonts w:ascii="Tahoma" w:hAnsi="Tahoma" w:cs="Tahoma"/>
          <w:sz w:val="20"/>
          <w:szCs w:val="20"/>
        </w:rPr>
      </w:pPr>
      <w:r w:rsidRPr="004A66B0">
        <w:rPr>
          <w:rFonts w:ascii="Tahoma" w:hAnsi="Tahoma" w:cs="Tahoma"/>
          <w:sz w:val="20"/>
          <w:szCs w:val="20"/>
        </w:rPr>
        <w:t>Předmět Smlouvy</w:t>
      </w:r>
    </w:p>
    <w:p w14:paraId="5CE9D332" w14:textId="336BE471" w:rsidR="004A66B0" w:rsidRDefault="004A66B0" w:rsidP="004A66B0">
      <w:pPr>
        <w:pStyle w:val="Styl2"/>
        <w:ind w:left="709" w:hanging="705"/>
        <w:rPr>
          <w:rFonts w:ascii="Tahoma" w:hAnsi="Tahoma" w:cs="Tahoma"/>
          <w:sz w:val="20"/>
          <w:szCs w:val="20"/>
        </w:rPr>
      </w:pPr>
      <w:bookmarkStart w:id="1" w:name="_Ref511762456"/>
      <w:r w:rsidRPr="004A66B0">
        <w:rPr>
          <w:rFonts w:ascii="Tahoma" w:hAnsi="Tahoma" w:cs="Tahoma"/>
          <w:sz w:val="20"/>
          <w:szCs w:val="20"/>
        </w:rPr>
        <w:t>Advokát</w:t>
      </w:r>
      <w:r w:rsidR="00391A28">
        <w:rPr>
          <w:rFonts w:ascii="Tahoma" w:hAnsi="Tahoma" w:cs="Tahoma"/>
          <w:sz w:val="20"/>
          <w:szCs w:val="20"/>
        </w:rPr>
        <w:t xml:space="preserve"> </w:t>
      </w:r>
      <w:r w:rsidRPr="004A66B0">
        <w:rPr>
          <w:rFonts w:ascii="Tahoma" w:hAnsi="Tahoma" w:cs="Tahoma"/>
          <w:sz w:val="20"/>
          <w:szCs w:val="20"/>
        </w:rPr>
        <w:t xml:space="preserve">se touto Smlouvou zavazuje poskytovat Klientovi komplexní </w:t>
      </w:r>
      <w:bookmarkEnd w:id="1"/>
      <w:r w:rsidRPr="004A66B0">
        <w:rPr>
          <w:rFonts w:ascii="Tahoma" w:hAnsi="Tahoma" w:cs="Tahoma"/>
          <w:sz w:val="20"/>
          <w:szCs w:val="20"/>
        </w:rPr>
        <w:t>právní poradenství související se zadáváním veřejných zakázek</w:t>
      </w:r>
      <w:r w:rsidR="005331BE">
        <w:rPr>
          <w:rFonts w:ascii="Tahoma" w:hAnsi="Tahoma" w:cs="Tahoma"/>
          <w:sz w:val="20"/>
          <w:szCs w:val="20"/>
        </w:rPr>
        <w:t xml:space="preserve"> a oblastí architektury</w:t>
      </w:r>
      <w:r w:rsidRPr="004A66B0">
        <w:rPr>
          <w:rFonts w:ascii="Tahoma" w:hAnsi="Tahoma" w:cs="Tahoma"/>
          <w:sz w:val="20"/>
          <w:szCs w:val="20"/>
        </w:rPr>
        <w:t>, a to v souladu s touto Smlouvou a</w:t>
      </w:r>
      <w:r>
        <w:rPr>
          <w:rFonts w:ascii="Tahoma" w:hAnsi="Tahoma" w:cs="Tahoma"/>
          <w:sz w:val="20"/>
          <w:szCs w:val="20"/>
        </w:rPr>
        <w:t> </w:t>
      </w:r>
      <w:r w:rsidRPr="004A66B0">
        <w:rPr>
          <w:rFonts w:ascii="Tahoma" w:hAnsi="Tahoma" w:cs="Tahoma"/>
          <w:sz w:val="20"/>
          <w:szCs w:val="20"/>
        </w:rPr>
        <w:t>s požadavky Klienta, na základě dílčích smluv uzavíraných způsobem uvedeným v čl. 2.2. této Smlouvy. Právní služby budou spočívat zejména v:</w:t>
      </w:r>
    </w:p>
    <w:p w14:paraId="1157FC9C" w14:textId="77777777" w:rsidR="004A66B0" w:rsidRPr="004A66B0" w:rsidRDefault="004A66B0" w:rsidP="004A66B0">
      <w:pPr>
        <w:pStyle w:val="Styl2"/>
        <w:numPr>
          <w:ilvl w:val="2"/>
          <w:numId w:val="2"/>
        </w:numPr>
        <w:rPr>
          <w:rFonts w:ascii="Tahoma" w:hAnsi="Tahoma" w:cs="Tahoma"/>
          <w:sz w:val="20"/>
          <w:szCs w:val="20"/>
        </w:rPr>
      </w:pPr>
      <w:r w:rsidRPr="004A66B0">
        <w:rPr>
          <w:rFonts w:ascii="Tahoma" w:hAnsi="Tahoma" w:cs="Tahoma"/>
          <w:sz w:val="20"/>
          <w:szCs w:val="20"/>
        </w:rPr>
        <w:t>konzultační a poradenské činnosti, tj.</w:t>
      </w:r>
    </w:p>
    <w:p w14:paraId="77829F2C" w14:textId="77777777" w:rsidR="004A66B0" w:rsidRPr="004A66B0" w:rsidRDefault="004A66B0" w:rsidP="004A66B0">
      <w:pPr>
        <w:pStyle w:val="Styl2"/>
        <w:numPr>
          <w:ilvl w:val="0"/>
          <w:numId w:val="3"/>
        </w:numPr>
        <w:spacing w:before="0" w:after="0"/>
        <w:rPr>
          <w:rFonts w:ascii="Tahoma" w:hAnsi="Tahoma" w:cs="Tahoma"/>
          <w:sz w:val="20"/>
          <w:szCs w:val="20"/>
        </w:rPr>
      </w:pPr>
      <w:r w:rsidRPr="004A66B0">
        <w:rPr>
          <w:rFonts w:ascii="Tahoma" w:hAnsi="Tahoma" w:cs="Tahoma"/>
          <w:sz w:val="20"/>
          <w:szCs w:val="20"/>
        </w:rPr>
        <w:t>průběžné konzultační činnosti (osobní, telefonické nebo prostřednictvím e-mailu),</w:t>
      </w:r>
    </w:p>
    <w:p w14:paraId="69214528" w14:textId="77777777" w:rsidR="004A66B0" w:rsidRPr="004A66B0" w:rsidRDefault="004A66B0" w:rsidP="004A66B0">
      <w:pPr>
        <w:pStyle w:val="Styl2"/>
        <w:numPr>
          <w:ilvl w:val="0"/>
          <w:numId w:val="3"/>
        </w:numPr>
        <w:spacing w:before="0" w:after="0"/>
        <w:rPr>
          <w:rFonts w:ascii="Tahoma" w:hAnsi="Tahoma" w:cs="Tahoma"/>
          <w:sz w:val="20"/>
          <w:szCs w:val="20"/>
        </w:rPr>
      </w:pPr>
      <w:r w:rsidRPr="004A66B0">
        <w:rPr>
          <w:rFonts w:ascii="Tahoma" w:hAnsi="Tahoma" w:cs="Tahoma"/>
          <w:sz w:val="20"/>
          <w:szCs w:val="20"/>
        </w:rPr>
        <w:lastRenderedPageBreak/>
        <w:t>zpracovávání písemných stanovisek a vyjádření,</w:t>
      </w:r>
    </w:p>
    <w:p w14:paraId="3C66F835" w14:textId="77777777" w:rsidR="004A66B0" w:rsidRPr="004A66B0" w:rsidRDefault="004A66B0" w:rsidP="004A66B0">
      <w:pPr>
        <w:pStyle w:val="Styl2"/>
        <w:numPr>
          <w:ilvl w:val="0"/>
          <w:numId w:val="3"/>
        </w:numPr>
        <w:spacing w:before="0"/>
        <w:rPr>
          <w:rFonts w:ascii="Tahoma" w:hAnsi="Tahoma" w:cs="Tahoma"/>
          <w:sz w:val="20"/>
          <w:szCs w:val="20"/>
        </w:rPr>
      </w:pPr>
      <w:r w:rsidRPr="004A66B0">
        <w:rPr>
          <w:rFonts w:ascii="Tahoma" w:hAnsi="Tahoma" w:cs="Tahoma"/>
          <w:sz w:val="20"/>
          <w:szCs w:val="20"/>
        </w:rPr>
        <w:t>právním poradenství;</w:t>
      </w:r>
    </w:p>
    <w:p w14:paraId="554CD993" w14:textId="77777777" w:rsidR="004A66B0" w:rsidRPr="004A66B0" w:rsidRDefault="004A66B0" w:rsidP="004A66B0">
      <w:pPr>
        <w:pStyle w:val="Styl2"/>
        <w:numPr>
          <w:ilvl w:val="2"/>
          <w:numId w:val="2"/>
        </w:numPr>
        <w:spacing w:before="0" w:after="0"/>
        <w:rPr>
          <w:rFonts w:ascii="Tahoma" w:hAnsi="Tahoma" w:cs="Tahoma"/>
          <w:sz w:val="20"/>
          <w:szCs w:val="20"/>
        </w:rPr>
      </w:pPr>
      <w:r w:rsidRPr="004A66B0">
        <w:rPr>
          <w:rFonts w:ascii="Tahoma" w:hAnsi="Tahoma" w:cs="Tahoma"/>
          <w:sz w:val="20"/>
          <w:szCs w:val="20"/>
        </w:rPr>
        <w:t>právním jednání, tj.</w:t>
      </w:r>
    </w:p>
    <w:p w14:paraId="0043D1D2" w14:textId="1A7F2C8E" w:rsidR="004A66B0" w:rsidRPr="004A66B0" w:rsidRDefault="004A66B0" w:rsidP="004A66B0">
      <w:pPr>
        <w:pStyle w:val="Styl2"/>
        <w:numPr>
          <w:ilvl w:val="0"/>
          <w:numId w:val="4"/>
        </w:numPr>
        <w:spacing w:before="0" w:after="0"/>
        <w:rPr>
          <w:rFonts w:ascii="Tahoma" w:hAnsi="Tahoma" w:cs="Tahoma"/>
          <w:sz w:val="20"/>
          <w:szCs w:val="20"/>
        </w:rPr>
      </w:pPr>
      <w:r w:rsidRPr="004A66B0">
        <w:rPr>
          <w:rFonts w:ascii="Tahoma" w:hAnsi="Tahoma" w:cs="Tahoma"/>
          <w:sz w:val="20"/>
          <w:szCs w:val="20"/>
        </w:rPr>
        <w:t>zpracovávání a revizí výzev k podání nabídek na veřejnou zakázkou, včetně veškeré potřebné zadávací dokumentace</w:t>
      </w:r>
      <w:r w:rsidR="005331BE">
        <w:rPr>
          <w:rFonts w:ascii="Tahoma" w:hAnsi="Tahoma" w:cs="Tahoma"/>
          <w:sz w:val="20"/>
          <w:szCs w:val="20"/>
        </w:rPr>
        <w:t xml:space="preserve"> nebo soutěžních podmínek</w:t>
      </w:r>
      <w:r w:rsidRPr="004A66B0">
        <w:rPr>
          <w:rFonts w:ascii="Tahoma" w:hAnsi="Tahoma" w:cs="Tahoma"/>
          <w:sz w:val="20"/>
          <w:szCs w:val="20"/>
        </w:rPr>
        <w:t>,</w:t>
      </w:r>
    </w:p>
    <w:p w14:paraId="44D50A9A" w14:textId="3F0695BF" w:rsidR="004A66B0" w:rsidRPr="004A66B0" w:rsidRDefault="004A66B0" w:rsidP="004A66B0">
      <w:pPr>
        <w:pStyle w:val="Styl2"/>
        <w:numPr>
          <w:ilvl w:val="0"/>
          <w:numId w:val="4"/>
        </w:numPr>
        <w:spacing w:before="0" w:after="0"/>
        <w:rPr>
          <w:rFonts w:ascii="Tahoma" w:hAnsi="Tahoma" w:cs="Tahoma"/>
          <w:sz w:val="20"/>
          <w:szCs w:val="20"/>
        </w:rPr>
      </w:pPr>
      <w:r w:rsidRPr="004A66B0">
        <w:rPr>
          <w:rFonts w:ascii="Tahoma" w:hAnsi="Tahoma" w:cs="Tahoma"/>
          <w:sz w:val="20"/>
          <w:szCs w:val="20"/>
        </w:rPr>
        <w:t>administrací veřejných zakázek</w:t>
      </w:r>
      <w:r w:rsidR="00466C48">
        <w:rPr>
          <w:rFonts w:ascii="Tahoma" w:hAnsi="Tahoma" w:cs="Tahoma"/>
          <w:sz w:val="20"/>
          <w:szCs w:val="20"/>
        </w:rPr>
        <w:t xml:space="preserve"> a soutěží</w:t>
      </w:r>
      <w:r w:rsidR="005331BE">
        <w:rPr>
          <w:rFonts w:ascii="Tahoma" w:hAnsi="Tahoma" w:cs="Tahoma"/>
          <w:sz w:val="20"/>
          <w:szCs w:val="20"/>
        </w:rPr>
        <w:t xml:space="preserve"> o návrh</w:t>
      </w:r>
      <w:r w:rsidRPr="004A66B0">
        <w:rPr>
          <w:rFonts w:ascii="Tahoma" w:hAnsi="Tahoma" w:cs="Tahoma"/>
          <w:sz w:val="20"/>
          <w:szCs w:val="20"/>
        </w:rPr>
        <w:t>,</w:t>
      </w:r>
      <w:r w:rsidR="00466C48">
        <w:rPr>
          <w:rFonts w:ascii="Tahoma" w:hAnsi="Tahoma" w:cs="Tahoma"/>
          <w:sz w:val="20"/>
          <w:szCs w:val="20"/>
        </w:rPr>
        <w:t xml:space="preserve"> </w:t>
      </w:r>
    </w:p>
    <w:p w14:paraId="3C04A152" w14:textId="75FF6621" w:rsidR="004A66B0" w:rsidRPr="004A66B0" w:rsidRDefault="004A66B0" w:rsidP="004A66B0">
      <w:pPr>
        <w:pStyle w:val="Styl2"/>
        <w:numPr>
          <w:ilvl w:val="0"/>
          <w:numId w:val="4"/>
        </w:numPr>
        <w:spacing w:before="0" w:after="0"/>
        <w:rPr>
          <w:rFonts w:ascii="Tahoma" w:hAnsi="Tahoma" w:cs="Tahoma"/>
          <w:sz w:val="20"/>
          <w:szCs w:val="20"/>
        </w:rPr>
      </w:pPr>
      <w:r w:rsidRPr="004A66B0">
        <w:rPr>
          <w:rFonts w:ascii="Tahoma" w:hAnsi="Tahoma" w:cs="Tahoma"/>
          <w:sz w:val="20"/>
          <w:szCs w:val="20"/>
        </w:rPr>
        <w:t xml:space="preserve">případných </w:t>
      </w:r>
      <w:r w:rsidR="00204D70">
        <w:rPr>
          <w:rFonts w:ascii="Tahoma" w:hAnsi="Tahoma" w:cs="Tahoma"/>
          <w:sz w:val="20"/>
          <w:szCs w:val="20"/>
        </w:rPr>
        <w:t xml:space="preserve">zastupování při zadávacích nebo výběrových řízení, před kontrolními a dotačními orgány, při </w:t>
      </w:r>
      <w:r w:rsidRPr="004A66B0">
        <w:rPr>
          <w:rFonts w:ascii="Tahoma" w:hAnsi="Tahoma" w:cs="Tahoma"/>
          <w:sz w:val="20"/>
          <w:szCs w:val="20"/>
        </w:rPr>
        <w:t>námitkových řízení v rámci zadávacího nebo výběrového řízení</w:t>
      </w:r>
      <w:r w:rsidR="005331BE">
        <w:rPr>
          <w:rFonts w:ascii="Tahoma" w:hAnsi="Tahoma" w:cs="Tahoma"/>
          <w:sz w:val="20"/>
          <w:szCs w:val="20"/>
        </w:rPr>
        <w:t xml:space="preserve">, příp. soutěže o návrh, a to </w:t>
      </w:r>
      <w:r w:rsidRPr="004A66B0">
        <w:rPr>
          <w:rFonts w:ascii="Tahoma" w:hAnsi="Tahoma" w:cs="Tahoma"/>
          <w:sz w:val="20"/>
          <w:szCs w:val="20"/>
        </w:rPr>
        <w:t>včetně zastupování před Úřadem pro ochranu hospodářské soutěže.</w:t>
      </w:r>
    </w:p>
    <w:p w14:paraId="18AD93D1" w14:textId="114CDC20" w:rsidR="004A66B0" w:rsidRPr="004A66B0" w:rsidRDefault="008C324F" w:rsidP="004A66B0">
      <w:pPr>
        <w:pStyle w:val="Styl2"/>
        <w:ind w:left="709" w:hanging="705"/>
        <w:rPr>
          <w:rFonts w:ascii="Tahoma" w:hAnsi="Tahoma" w:cs="Tahoma"/>
          <w:sz w:val="20"/>
          <w:szCs w:val="20"/>
        </w:rPr>
      </w:pPr>
      <w:r>
        <w:rPr>
          <w:rFonts w:ascii="Tahoma" w:hAnsi="Tahoma" w:cs="Tahoma"/>
          <w:sz w:val="20"/>
          <w:szCs w:val="20"/>
        </w:rPr>
        <w:t>Právní služby jsou poskytovány na základě ústních nebo písemných pokynů Klienta.</w:t>
      </w:r>
    </w:p>
    <w:p w14:paraId="560C8846" w14:textId="52E48FB7" w:rsidR="004A66B0" w:rsidRPr="004A66B0" w:rsidRDefault="004A66B0" w:rsidP="004A66B0">
      <w:pPr>
        <w:pStyle w:val="Styl2"/>
        <w:ind w:left="709" w:hanging="705"/>
        <w:rPr>
          <w:rFonts w:ascii="Tahoma" w:hAnsi="Tahoma" w:cs="Tahoma"/>
          <w:sz w:val="20"/>
          <w:szCs w:val="20"/>
        </w:rPr>
      </w:pPr>
      <w:r w:rsidRPr="004A66B0">
        <w:rPr>
          <w:rFonts w:ascii="Tahoma" w:hAnsi="Tahoma" w:cs="Tahoma"/>
          <w:sz w:val="20"/>
          <w:szCs w:val="20"/>
        </w:rPr>
        <w:t>Advokát je povin</w:t>
      </w:r>
      <w:r w:rsidR="00391A28">
        <w:rPr>
          <w:rFonts w:ascii="Tahoma" w:hAnsi="Tahoma" w:cs="Tahoma"/>
          <w:sz w:val="20"/>
          <w:szCs w:val="20"/>
        </w:rPr>
        <w:t>en</w:t>
      </w:r>
      <w:r w:rsidRPr="004A66B0">
        <w:rPr>
          <w:rFonts w:ascii="Tahoma" w:hAnsi="Tahoma" w:cs="Tahoma"/>
          <w:sz w:val="20"/>
          <w:szCs w:val="20"/>
        </w:rPr>
        <w:t xml:space="preserve"> reagovat na </w:t>
      </w:r>
      <w:r w:rsidR="008C324F">
        <w:rPr>
          <w:rFonts w:ascii="Tahoma" w:hAnsi="Tahoma" w:cs="Tahoma"/>
          <w:sz w:val="20"/>
          <w:szCs w:val="20"/>
        </w:rPr>
        <w:t xml:space="preserve">písemný pokyn </w:t>
      </w:r>
      <w:r w:rsidRPr="004A66B0">
        <w:rPr>
          <w:rFonts w:ascii="Tahoma" w:hAnsi="Tahoma" w:cs="Tahoma"/>
          <w:sz w:val="20"/>
          <w:szCs w:val="20"/>
        </w:rPr>
        <w:t>Klienta nejpozději do následujícího pracovního dne po jejím doručení</w:t>
      </w:r>
      <w:r w:rsidR="008C324F">
        <w:rPr>
          <w:rFonts w:ascii="Tahoma" w:hAnsi="Tahoma" w:cs="Tahoma"/>
          <w:sz w:val="20"/>
          <w:szCs w:val="20"/>
        </w:rPr>
        <w:t xml:space="preserve">, není-li dohodnuto jinak. Pokud to je s ohledem na povahu zadání možné, </w:t>
      </w:r>
      <w:r w:rsidRPr="004A66B0">
        <w:rPr>
          <w:rFonts w:ascii="Tahoma" w:hAnsi="Tahoma" w:cs="Tahoma"/>
          <w:sz w:val="20"/>
          <w:szCs w:val="20"/>
        </w:rPr>
        <w:t>Advokát je povin</w:t>
      </w:r>
      <w:r w:rsidR="00391A28">
        <w:rPr>
          <w:rFonts w:ascii="Tahoma" w:hAnsi="Tahoma" w:cs="Tahoma"/>
          <w:sz w:val="20"/>
          <w:szCs w:val="20"/>
        </w:rPr>
        <w:t>en</w:t>
      </w:r>
      <w:r w:rsidRPr="004A66B0">
        <w:rPr>
          <w:rFonts w:ascii="Tahoma" w:hAnsi="Tahoma" w:cs="Tahoma"/>
          <w:sz w:val="20"/>
          <w:szCs w:val="20"/>
        </w:rPr>
        <w:t xml:space="preserve"> poskytnout Klientovi základní informace o řešení zadání a navrhnout termín pro splnění požadovaných právních služeb.</w:t>
      </w:r>
    </w:p>
    <w:p w14:paraId="39D4CCFB" w14:textId="1D98830B" w:rsidR="004A66B0" w:rsidRPr="004A66B0" w:rsidRDefault="004A66B0" w:rsidP="004A66B0">
      <w:pPr>
        <w:pStyle w:val="Styl2"/>
        <w:ind w:left="709" w:hanging="705"/>
        <w:rPr>
          <w:rFonts w:ascii="Tahoma" w:hAnsi="Tahoma" w:cs="Tahoma"/>
          <w:sz w:val="20"/>
          <w:szCs w:val="20"/>
        </w:rPr>
      </w:pPr>
      <w:r w:rsidRPr="004A66B0">
        <w:rPr>
          <w:rFonts w:ascii="Tahoma" w:hAnsi="Tahoma" w:cs="Tahoma"/>
          <w:sz w:val="20"/>
          <w:szCs w:val="20"/>
        </w:rPr>
        <w:t>Advokát je povin</w:t>
      </w:r>
      <w:r w:rsidR="00391A28">
        <w:rPr>
          <w:rFonts w:ascii="Tahoma" w:hAnsi="Tahoma" w:cs="Tahoma"/>
          <w:sz w:val="20"/>
          <w:szCs w:val="20"/>
        </w:rPr>
        <w:t>en</w:t>
      </w:r>
      <w:r w:rsidRPr="004A66B0">
        <w:rPr>
          <w:rFonts w:ascii="Tahoma" w:hAnsi="Tahoma" w:cs="Tahoma"/>
          <w:sz w:val="20"/>
          <w:szCs w:val="20"/>
        </w:rPr>
        <w:t xml:space="preserve"> řešit telefonické požadavky Klienta bezodkladně.</w:t>
      </w:r>
    </w:p>
    <w:p w14:paraId="33C89413" w14:textId="3242D4D9" w:rsidR="004A66B0" w:rsidRPr="00D36FF0" w:rsidRDefault="004A66B0" w:rsidP="004A66B0">
      <w:pPr>
        <w:pStyle w:val="Styl2"/>
        <w:ind w:left="709" w:hanging="705"/>
        <w:rPr>
          <w:rFonts w:ascii="Tahoma" w:hAnsi="Tahoma" w:cs="Tahoma"/>
          <w:sz w:val="20"/>
          <w:szCs w:val="20"/>
        </w:rPr>
      </w:pPr>
      <w:r w:rsidRPr="00D36FF0">
        <w:rPr>
          <w:rFonts w:ascii="Tahoma" w:hAnsi="Tahoma" w:cs="Tahoma"/>
          <w:sz w:val="20"/>
          <w:szCs w:val="20"/>
        </w:rPr>
        <w:t>Advokát je povin</w:t>
      </w:r>
      <w:r w:rsidR="00391A28" w:rsidRPr="00D36FF0">
        <w:rPr>
          <w:rFonts w:ascii="Tahoma" w:hAnsi="Tahoma" w:cs="Tahoma"/>
          <w:sz w:val="20"/>
          <w:szCs w:val="20"/>
        </w:rPr>
        <w:t>en</w:t>
      </w:r>
      <w:r w:rsidRPr="00D36FF0">
        <w:rPr>
          <w:rFonts w:ascii="Tahoma" w:hAnsi="Tahoma" w:cs="Tahoma"/>
          <w:sz w:val="20"/>
          <w:szCs w:val="20"/>
        </w:rPr>
        <w:t xml:space="preserve"> vyřizovat námitky v rámci výběrového nebo zadávacího řízení na veřejnou zakázkou nejpozději do 5 pracovních dnů ode dne jejich doručení Klientem</w:t>
      </w:r>
      <w:r w:rsidR="008C324F">
        <w:rPr>
          <w:rFonts w:ascii="Tahoma" w:hAnsi="Tahoma" w:cs="Tahoma"/>
          <w:sz w:val="20"/>
          <w:szCs w:val="20"/>
        </w:rPr>
        <w:t>, není-li dohodnuto jinak</w:t>
      </w:r>
      <w:r w:rsidRPr="00D36FF0">
        <w:rPr>
          <w:rFonts w:ascii="Tahoma" w:hAnsi="Tahoma" w:cs="Tahoma"/>
          <w:sz w:val="20"/>
          <w:szCs w:val="20"/>
        </w:rPr>
        <w:t xml:space="preserve">. </w:t>
      </w:r>
    </w:p>
    <w:p w14:paraId="30E55D0B" w14:textId="11DBD76D" w:rsidR="004A66B0" w:rsidRPr="00D36FF0" w:rsidRDefault="004A66B0" w:rsidP="004A66B0">
      <w:pPr>
        <w:pStyle w:val="Styl2"/>
        <w:ind w:left="709" w:hanging="705"/>
        <w:rPr>
          <w:rFonts w:ascii="Tahoma" w:hAnsi="Tahoma" w:cs="Tahoma"/>
          <w:sz w:val="20"/>
          <w:szCs w:val="20"/>
        </w:rPr>
      </w:pPr>
      <w:r w:rsidRPr="00D36FF0">
        <w:rPr>
          <w:rFonts w:ascii="Tahoma" w:hAnsi="Tahoma" w:cs="Tahoma"/>
          <w:sz w:val="20"/>
          <w:szCs w:val="20"/>
        </w:rPr>
        <w:t>Klient se zavazuje poskytnout Advokát</w:t>
      </w:r>
      <w:r w:rsidR="00391A28" w:rsidRPr="00D36FF0">
        <w:rPr>
          <w:rFonts w:ascii="Tahoma" w:hAnsi="Tahoma" w:cs="Tahoma"/>
          <w:sz w:val="20"/>
          <w:szCs w:val="20"/>
        </w:rPr>
        <w:t>ovi</w:t>
      </w:r>
      <w:r w:rsidRPr="00D36FF0">
        <w:rPr>
          <w:rFonts w:ascii="Tahoma" w:hAnsi="Tahoma" w:cs="Tahoma"/>
          <w:sz w:val="20"/>
          <w:szCs w:val="20"/>
        </w:rPr>
        <w:t xml:space="preserve"> veškerou součinnost potřebnou k řádnému poskytnutí právních služeb a za tyto právní služby uhradit Advokát</w:t>
      </w:r>
      <w:r w:rsidR="00391A28" w:rsidRPr="00D36FF0">
        <w:rPr>
          <w:rFonts w:ascii="Tahoma" w:hAnsi="Tahoma" w:cs="Tahoma"/>
          <w:sz w:val="20"/>
          <w:szCs w:val="20"/>
        </w:rPr>
        <w:t>ovi</w:t>
      </w:r>
      <w:r w:rsidRPr="00D36FF0">
        <w:rPr>
          <w:rFonts w:ascii="Tahoma" w:hAnsi="Tahoma" w:cs="Tahoma"/>
          <w:sz w:val="20"/>
          <w:szCs w:val="20"/>
        </w:rPr>
        <w:t xml:space="preserve"> dohodnutou odměnu.</w:t>
      </w:r>
    </w:p>
    <w:p w14:paraId="6A2F350D" w14:textId="36A23405" w:rsidR="004A66B0" w:rsidRPr="00D36FF0" w:rsidRDefault="004A66B0" w:rsidP="004A66B0">
      <w:pPr>
        <w:pStyle w:val="Styl1"/>
        <w:ind w:left="709" w:hanging="705"/>
        <w:rPr>
          <w:rFonts w:ascii="Tahoma" w:hAnsi="Tahoma" w:cs="Tahoma"/>
          <w:sz w:val="20"/>
          <w:szCs w:val="20"/>
        </w:rPr>
      </w:pPr>
      <w:bookmarkStart w:id="2" w:name="_Ref500848721"/>
      <w:r w:rsidRPr="00D36FF0">
        <w:rPr>
          <w:rFonts w:ascii="Tahoma" w:hAnsi="Tahoma" w:cs="Tahoma"/>
          <w:sz w:val="20"/>
          <w:szCs w:val="20"/>
        </w:rPr>
        <w:t>Odměna Advokát</w:t>
      </w:r>
      <w:r w:rsidR="00391A28" w:rsidRPr="00D36FF0">
        <w:rPr>
          <w:rFonts w:ascii="Tahoma" w:hAnsi="Tahoma" w:cs="Tahoma"/>
          <w:sz w:val="20"/>
          <w:szCs w:val="20"/>
        </w:rPr>
        <w:t>ovi</w:t>
      </w:r>
      <w:r w:rsidRPr="00D36FF0">
        <w:rPr>
          <w:rFonts w:ascii="Tahoma" w:hAnsi="Tahoma" w:cs="Tahoma"/>
          <w:sz w:val="20"/>
          <w:szCs w:val="20"/>
        </w:rPr>
        <w:t xml:space="preserve"> a platební podmínky</w:t>
      </w:r>
      <w:bookmarkEnd w:id="2"/>
    </w:p>
    <w:p w14:paraId="129E8BD3" w14:textId="7AC086F2" w:rsidR="004A66B0" w:rsidRPr="00D36FF0" w:rsidRDefault="004A66B0" w:rsidP="00D36FF0">
      <w:pPr>
        <w:pStyle w:val="Styl2"/>
        <w:ind w:left="709" w:hanging="709"/>
        <w:rPr>
          <w:rFonts w:ascii="Tahoma" w:hAnsi="Tahoma" w:cs="Tahoma"/>
          <w:sz w:val="20"/>
          <w:szCs w:val="20"/>
        </w:rPr>
      </w:pPr>
      <w:r w:rsidRPr="00D36FF0">
        <w:rPr>
          <w:rFonts w:ascii="Tahoma" w:hAnsi="Tahoma" w:cs="Tahoma"/>
          <w:sz w:val="20"/>
          <w:szCs w:val="20"/>
        </w:rPr>
        <w:t xml:space="preserve">Smluvní odměna za poskytnuté právní služby bude stanovena na základě pevné a maximální hodinové sazby </w:t>
      </w:r>
      <w:r w:rsidR="00204D70">
        <w:rPr>
          <w:rFonts w:ascii="Tahoma" w:hAnsi="Tahoma" w:cs="Tahoma"/>
          <w:sz w:val="20"/>
          <w:szCs w:val="20"/>
        </w:rPr>
        <w:t>1.900</w:t>
      </w:r>
      <w:r w:rsidR="00D36FF0" w:rsidRPr="00D36FF0">
        <w:rPr>
          <w:rFonts w:ascii="Tahoma" w:hAnsi="Tahoma" w:cs="Tahoma"/>
          <w:sz w:val="20"/>
          <w:szCs w:val="20"/>
        </w:rPr>
        <w:t xml:space="preserve">,- Kč bez DPH </w:t>
      </w:r>
      <w:r w:rsidRPr="00D36FF0">
        <w:rPr>
          <w:rFonts w:ascii="Tahoma" w:hAnsi="Tahoma" w:cs="Tahoma"/>
          <w:sz w:val="20"/>
          <w:szCs w:val="20"/>
        </w:rPr>
        <w:t>a násobena časem, který Advokát</w:t>
      </w:r>
      <w:r w:rsidR="00391A28" w:rsidRPr="00D36FF0">
        <w:rPr>
          <w:rFonts w:ascii="Tahoma" w:hAnsi="Tahoma" w:cs="Tahoma"/>
          <w:sz w:val="20"/>
          <w:szCs w:val="20"/>
        </w:rPr>
        <w:t xml:space="preserve"> </w:t>
      </w:r>
      <w:r w:rsidRPr="00D36FF0">
        <w:rPr>
          <w:rFonts w:ascii="Tahoma" w:hAnsi="Tahoma" w:cs="Tahoma"/>
          <w:sz w:val="20"/>
          <w:szCs w:val="20"/>
        </w:rPr>
        <w:t xml:space="preserve">vynaloží při poskytování požadovaných právních služeb. Smluvní strany se dohodly, že vynaložený čas bude počítán za každou započatou </w:t>
      </w:r>
      <w:r w:rsidR="00204D70">
        <w:rPr>
          <w:rFonts w:ascii="Tahoma" w:hAnsi="Tahoma" w:cs="Tahoma"/>
          <w:sz w:val="20"/>
          <w:szCs w:val="20"/>
        </w:rPr>
        <w:t>čtvrthodinu</w:t>
      </w:r>
      <w:r w:rsidR="00204D70" w:rsidRPr="00D36FF0">
        <w:rPr>
          <w:rFonts w:ascii="Tahoma" w:hAnsi="Tahoma" w:cs="Tahoma"/>
          <w:sz w:val="20"/>
          <w:szCs w:val="20"/>
        </w:rPr>
        <w:t xml:space="preserve"> </w:t>
      </w:r>
      <w:r w:rsidRPr="00D36FF0">
        <w:rPr>
          <w:rFonts w:ascii="Tahoma" w:hAnsi="Tahoma" w:cs="Tahoma"/>
          <w:sz w:val="20"/>
          <w:szCs w:val="20"/>
        </w:rPr>
        <w:t>práce.</w:t>
      </w:r>
    </w:p>
    <w:p w14:paraId="6766DC5E" w14:textId="51513785" w:rsidR="004A66B0" w:rsidRPr="00D36FF0" w:rsidRDefault="004A66B0" w:rsidP="004A66B0">
      <w:pPr>
        <w:pStyle w:val="Styl2"/>
        <w:ind w:left="709" w:hanging="705"/>
        <w:rPr>
          <w:rFonts w:ascii="Tahoma" w:hAnsi="Tahoma" w:cs="Tahoma"/>
          <w:sz w:val="20"/>
          <w:szCs w:val="20"/>
        </w:rPr>
      </w:pPr>
      <w:r w:rsidRPr="00D36FF0">
        <w:rPr>
          <w:rFonts w:ascii="Tahoma" w:hAnsi="Tahoma" w:cs="Tahoma"/>
          <w:sz w:val="20"/>
          <w:szCs w:val="20"/>
        </w:rPr>
        <w:t>Smluvní odměna bude hrazena na základě dílčích měsíčních faktur – daňových dokladů vystavených Advokát</w:t>
      </w:r>
      <w:r w:rsidR="00391A28" w:rsidRPr="00D36FF0">
        <w:rPr>
          <w:rFonts w:ascii="Tahoma" w:hAnsi="Tahoma" w:cs="Tahoma"/>
          <w:sz w:val="20"/>
          <w:szCs w:val="20"/>
        </w:rPr>
        <w:t xml:space="preserve">em </w:t>
      </w:r>
      <w:r w:rsidRPr="00D36FF0">
        <w:rPr>
          <w:rFonts w:ascii="Tahoma" w:hAnsi="Tahoma" w:cs="Tahoma"/>
          <w:sz w:val="20"/>
          <w:szCs w:val="20"/>
        </w:rPr>
        <w:t xml:space="preserve">vždy k poslednímu dni kalendářního měsíce, za který jí odměna náleží. Faktury musí obsahovat měsíční výkaz poskytnutých právních služeb za příslušný kalendářní měsíc, který musí být společně s fakturou odsouhlasený Klientem. Splatnost každé faktury činí </w:t>
      </w:r>
      <w:r w:rsidR="001932C8" w:rsidRPr="00D36FF0">
        <w:rPr>
          <w:rFonts w:ascii="Tahoma" w:hAnsi="Tahoma" w:cs="Tahoma"/>
          <w:sz w:val="20"/>
          <w:szCs w:val="20"/>
        </w:rPr>
        <w:t>21</w:t>
      </w:r>
      <w:r w:rsidRPr="00D36FF0">
        <w:rPr>
          <w:rFonts w:ascii="Tahoma" w:hAnsi="Tahoma" w:cs="Tahoma"/>
          <w:sz w:val="20"/>
          <w:szCs w:val="20"/>
        </w:rPr>
        <w:t xml:space="preserve"> dní ode dne jejího doručení Klientovi a bude uvedena na faktuře. Smluvní strany souhlasí, že Advokát může příslušné faktury Klientovi zasílat i v elektronické podobě.</w:t>
      </w:r>
    </w:p>
    <w:p w14:paraId="7020DD42" w14:textId="77777777" w:rsidR="004A66B0" w:rsidRPr="00D36FF0" w:rsidRDefault="004A66B0" w:rsidP="004A66B0">
      <w:pPr>
        <w:pStyle w:val="Styl2"/>
        <w:ind w:left="709" w:hanging="705"/>
        <w:rPr>
          <w:rFonts w:ascii="Tahoma" w:hAnsi="Tahoma" w:cs="Tahoma"/>
          <w:sz w:val="20"/>
          <w:szCs w:val="20"/>
        </w:rPr>
      </w:pPr>
      <w:r w:rsidRPr="00D36FF0">
        <w:rPr>
          <w:rFonts w:ascii="Tahoma" w:hAnsi="Tahoma" w:cs="Tahoma"/>
          <w:sz w:val="20"/>
          <w:szCs w:val="20"/>
        </w:rPr>
        <w:t>Faktura musí mít náležitosti daňového dokladu ve smyslu zákona č. 563/1991 Sb., o účetnictví, ve znění pozdějších předpisů, a zákona č. 235/2004 Sb., o dani z přidané hodnoty, ve znění pozdějších předpisů.</w:t>
      </w:r>
    </w:p>
    <w:p w14:paraId="37D52862" w14:textId="30662C0F" w:rsidR="004A66B0" w:rsidRPr="004A66B0" w:rsidRDefault="004A66B0" w:rsidP="004A66B0">
      <w:pPr>
        <w:pStyle w:val="Styl2"/>
        <w:ind w:left="709" w:hanging="705"/>
        <w:rPr>
          <w:rFonts w:ascii="Tahoma" w:hAnsi="Tahoma" w:cs="Tahoma"/>
          <w:sz w:val="20"/>
          <w:szCs w:val="20"/>
        </w:rPr>
      </w:pPr>
      <w:r w:rsidRPr="004A66B0">
        <w:rPr>
          <w:rFonts w:ascii="Tahoma" w:hAnsi="Tahoma" w:cs="Tahoma"/>
          <w:sz w:val="20"/>
          <w:szCs w:val="20"/>
        </w:rPr>
        <w:t>Klient je oprávněn vrátit fakturu Advoká</w:t>
      </w:r>
      <w:r w:rsidR="00391A28">
        <w:rPr>
          <w:rFonts w:ascii="Tahoma" w:hAnsi="Tahoma" w:cs="Tahoma"/>
          <w:sz w:val="20"/>
          <w:szCs w:val="20"/>
        </w:rPr>
        <w:t>tovi</w:t>
      </w:r>
      <w:r w:rsidRPr="004A66B0">
        <w:rPr>
          <w:rFonts w:ascii="Tahoma" w:hAnsi="Tahoma" w:cs="Tahoma"/>
          <w:sz w:val="20"/>
          <w:szCs w:val="20"/>
        </w:rPr>
        <w:t xml:space="preserve"> před uplynutím její splatnosti, a to v případě, že nebude obsahovat právními předpisy stanovené náležitosti. V takovém případě je Advokát</w:t>
      </w:r>
      <w:r w:rsidR="00391A28">
        <w:rPr>
          <w:rFonts w:ascii="Tahoma" w:hAnsi="Tahoma" w:cs="Tahoma"/>
          <w:sz w:val="20"/>
          <w:szCs w:val="20"/>
        </w:rPr>
        <w:t xml:space="preserve"> </w:t>
      </w:r>
      <w:r w:rsidRPr="004A66B0">
        <w:rPr>
          <w:rFonts w:ascii="Tahoma" w:hAnsi="Tahoma" w:cs="Tahoma"/>
          <w:sz w:val="20"/>
          <w:szCs w:val="20"/>
        </w:rPr>
        <w:t>povin</w:t>
      </w:r>
      <w:r w:rsidR="00391A28">
        <w:rPr>
          <w:rFonts w:ascii="Tahoma" w:hAnsi="Tahoma" w:cs="Tahoma"/>
          <w:sz w:val="20"/>
          <w:szCs w:val="20"/>
        </w:rPr>
        <w:t>e</w:t>
      </w:r>
      <w:r w:rsidRPr="004A66B0">
        <w:rPr>
          <w:rFonts w:ascii="Tahoma" w:hAnsi="Tahoma" w:cs="Tahoma"/>
          <w:sz w:val="20"/>
          <w:szCs w:val="20"/>
        </w:rPr>
        <w:t>n vystavit novou opravenou fakturu s lhůtou splatnosti v délce 14 kalendářních dnů ode dne doručení Klientovi.</w:t>
      </w:r>
    </w:p>
    <w:p w14:paraId="077B17BD" w14:textId="77777777" w:rsidR="004A66B0" w:rsidRPr="004A66B0" w:rsidRDefault="004A66B0" w:rsidP="004A66B0">
      <w:pPr>
        <w:pStyle w:val="Styl1"/>
        <w:ind w:left="709" w:hanging="705"/>
        <w:rPr>
          <w:rFonts w:ascii="Tahoma" w:hAnsi="Tahoma" w:cs="Tahoma"/>
          <w:sz w:val="20"/>
          <w:szCs w:val="20"/>
        </w:rPr>
      </w:pPr>
      <w:r w:rsidRPr="004A66B0">
        <w:rPr>
          <w:rFonts w:ascii="Tahoma" w:hAnsi="Tahoma" w:cs="Tahoma"/>
          <w:sz w:val="20"/>
          <w:szCs w:val="20"/>
        </w:rPr>
        <w:t>Poskytování právních služeb</w:t>
      </w:r>
    </w:p>
    <w:p w14:paraId="78BF6A69" w14:textId="104FE42C" w:rsidR="004A66B0" w:rsidRPr="004A66B0" w:rsidRDefault="004A66B0" w:rsidP="004A66B0">
      <w:pPr>
        <w:pStyle w:val="Styl2"/>
        <w:ind w:left="709" w:hanging="705"/>
        <w:rPr>
          <w:rFonts w:ascii="Tahoma" w:hAnsi="Tahoma" w:cs="Tahoma"/>
          <w:sz w:val="20"/>
          <w:szCs w:val="20"/>
        </w:rPr>
      </w:pPr>
      <w:r w:rsidRPr="004A66B0">
        <w:rPr>
          <w:rFonts w:ascii="Tahoma" w:hAnsi="Tahoma" w:cs="Tahoma"/>
          <w:sz w:val="20"/>
          <w:szCs w:val="20"/>
        </w:rPr>
        <w:t>Pokud Klientovi jsou či budou známy okolnosti, které mohou v souvislosti s poskytováním služeb Advokát</w:t>
      </w:r>
      <w:r w:rsidR="00391A28">
        <w:rPr>
          <w:rFonts w:ascii="Tahoma" w:hAnsi="Tahoma" w:cs="Tahoma"/>
          <w:sz w:val="20"/>
          <w:szCs w:val="20"/>
        </w:rPr>
        <w:t>a</w:t>
      </w:r>
      <w:r w:rsidRPr="004A66B0">
        <w:rPr>
          <w:rFonts w:ascii="Tahoma" w:hAnsi="Tahoma" w:cs="Tahoma"/>
          <w:sz w:val="20"/>
          <w:szCs w:val="20"/>
        </w:rPr>
        <w:t xml:space="preserve"> vést ke střetu zájmů, je Klient povinen o nich neprodleně informovat Advokát</w:t>
      </w:r>
      <w:r w:rsidR="00391A28">
        <w:rPr>
          <w:rFonts w:ascii="Tahoma" w:hAnsi="Tahoma" w:cs="Tahoma"/>
          <w:sz w:val="20"/>
          <w:szCs w:val="20"/>
        </w:rPr>
        <w:t>a</w:t>
      </w:r>
      <w:r w:rsidRPr="004A66B0">
        <w:rPr>
          <w:rFonts w:ascii="Tahoma" w:hAnsi="Tahoma" w:cs="Tahoma"/>
          <w:sz w:val="20"/>
          <w:szCs w:val="20"/>
        </w:rPr>
        <w:t>.</w:t>
      </w:r>
    </w:p>
    <w:p w14:paraId="62622BD6" w14:textId="30EB7EB1" w:rsidR="004A66B0" w:rsidRPr="004A66B0" w:rsidRDefault="004A66B0" w:rsidP="004A66B0">
      <w:pPr>
        <w:pStyle w:val="Styl2"/>
        <w:ind w:left="709" w:hanging="705"/>
        <w:rPr>
          <w:rFonts w:ascii="Tahoma" w:hAnsi="Tahoma" w:cs="Tahoma"/>
          <w:sz w:val="20"/>
          <w:szCs w:val="20"/>
        </w:rPr>
      </w:pPr>
      <w:r w:rsidRPr="004A66B0">
        <w:rPr>
          <w:rFonts w:ascii="Tahoma" w:hAnsi="Tahoma" w:cs="Tahoma"/>
          <w:sz w:val="20"/>
          <w:szCs w:val="20"/>
        </w:rPr>
        <w:t>Advokát</w:t>
      </w:r>
      <w:r w:rsidR="00391A28">
        <w:rPr>
          <w:rFonts w:ascii="Tahoma" w:hAnsi="Tahoma" w:cs="Tahoma"/>
          <w:sz w:val="20"/>
          <w:szCs w:val="20"/>
        </w:rPr>
        <w:t xml:space="preserve"> </w:t>
      </w:r>
      <w:r w:rsidRPr="004A66B0">
        <w:rPr>
          <w:rFonts w:ascii="Tahoma" w:hAnsi="Tahoma" w:cs="Tahoma"/>
          <w:sz w:val="20"/>
          <w:szCs w:val="20"/>
        </w:rPr>
        <w:t>je povin</w:t>
      </w:r>
      <w:r w:rsidR="00391A28">
        <w:rPr>
          <w:rFonts w:ascii="Tahoma" w:hAnsi="Tahoma" w:cs="Tahoma"/>
          <w:sz w:val="20"/>
          <w:szCs w:val="20"/>
        </w:rPr>
        <w:t>en</w:t>
      </w:r>
      <w:r w:rsidRPr="004A66B0">
        <w:rPr>
          <w:rFonts w:ascii="Tahoma" w:hAnsi="Tahoma" w:cs="Tahoma"/>
          <w:sz w:val="20"/>
          <w:szCs w:val="20"/>
        </w:rPr>
        <w:t xml:space="preserve"> chránit a prosazovat práva a oprávněné zájmy Klienta a řídit se jeho pokyny, a to v mezích zákona a stavovského předpisu.</w:t>
      </w:r>
    </w:p>
    <w:p w14:paraId="6B38ADF2" w14:textId="77777777" w:rsidR="004A66B0" w:rsidRPr="004A66B0" w:rsidRDefault="004A66B0" w:rsidP="004A66B0">
      <w:pPr>
        <w:pStyle w:val="Styl1"/>
        <w:ind w:left="709" w:hanging="705"/>
        <w:rPr>
          <w:rFonts w:ascii="Tahoma" w:hAnsi="Tahoma" w:cs="Tahoma"/>
          <w:sz w:val="20"/>
          <w:szCs w:val="20"/>
        </w:rPr>
      </w:pPr>
      <w:r w:rsidRPr="004A66B0">
        <w:rPr>
          <w:rFonts w:ascii="Tahoma" w:hAnsi="Tahoma" w:cs="Tahoma"/>
          <w:sz w:val="20"/>
          <w:szCs w:val="20"/>
        </w:rPr>
        <w:lastRenderedPageBreak/>
        <w:t>Ochrana důvěrných informací</w:t>
      </w:r>
    </w:p>
    <w:p w14:paraId="78760AC1" w14:textId="77777777" w:rsidR="004A66B0" w:rsidRPr="004A66B0" w:rsidRDefault="004A66B0" w:rsidP="004A66B0">
      <w:pPr>
        <w:pStyle w:val="SML11"/>
        <w:numPr>
          <w:ilvl w:val="1"/>
          <w:numId w:val="2"/>
        </w:numPr>
        <w:ind w:left="709" w:hanging="711"/>
        <w:rPr>
          <w:rFonts w:ascii="Tahoma" w:hAnsi="Tahoma" w:cs="Tahoma"/>
          <w:sz w:val="20"/>
          <w:szCs w:val="20"/>
        </w:rPr>
      </w:pPr>
      <w:r w:rsidRPr="004A66B0">
        <w:rPr>
          <w:rFonts w:ascii="Tahoma" w:hAnsi="Tahoma" w:cs="Tahoma"/>
          <w:sz w:val="20"/>
          <w:szCs w:val="20"/>
        </w:rPr>
        <w:t>Smluvní strany se zavazují zachovávat mlčenlivost o všech skutečnostech, údajích, podkladech a dalších informacích, které obdržely, získaly anebo se o nich dozvěděly v souvislosti s plněním této Smlouvy. Důvěrnými informacemi se bez ohledu na formu jejich zachycení rozumí zejména obchodní tajemství a dále veškeré údaje, skutečnosti a informace, které nebyly sdělující Smluvní stranou označeny jako veřejné.</w:t>
      </w:r>
    </w:p>
    <w:p w14:paraId="63879967" w14:textId="77777777" w:rsidR="004A66B0" w:rsidRPr="004A66B0" w:rsidRDefault="004A66B0" w:rsidP="004A66B0">
      <w:pPr>
        <w:pStyle w:val="SML11"/>
        <w:numPr>
          <w:ilvl w:val="1"/>
          <w:numId w:val="2"/>
        </w:numPr>
        <w:ind w:left="709" w:hanging="711"/>
        <w:rPr>
          <w:rFonts w:ascii="Tahoma" w:hAnsi="Tahoma" w:cs="Tahoma"/>
          <w:sz w:val="20"/>
          <w:szCs w:val="20"/>
        </w:rPr>
      </w:pPr>
      <w:r w:rsidRPr="004A66B0">
        <w:rPr>
          <w:rFonts w:ascii="Tahoma" w:hAnsi="Tahoma" w:cs="Tahoma"/>
          <w:sz w:val="20"/>
          <w:szCs w:val="20"/>
        </w:rPr>
        <w:t>Povinnosti mlčenlivosti a ochrany Důvěrných informací jsou účinné i po ukončení této Smlouvy.</w:t>
      </w:r>
    </w:p>
    <w:p w14:paraId="6414F808" w14:textId="0F00ABEA" w:rsidR="004A66B0" w:rsidRPr="004A66B0" w:rsidRDefault="004A66B0" w:rsidP="004A66B0">
      <w:pPr>
        <w:pStyle w:val="Styl2"/>
        <w:ind w:left="709" w:hanging="705"/>
        <w:rPr>
          <w:rFonts w:ascii="Tahoma" w:hAnsi="Tahoma" w:cs="Tahoma"/>
          <w:sz w:val="20"/>
          <w:szCs w:val="20"/>
        </w:rPr>
      </w:pPr>
      <w:r w:rsidRPr="004A66B0">
        <w:rPr>
          <w:rFonts w:ascii="Tahoma" w:hAnsi="Tahoma" w:cs="Tahoma"/>
          <w:sz w:val="20"/>
          <w:szCs w:val="20"/>
        </w:rPr>
        <w:t>Klient souhlasí s tím, že Advokát je oprávněn uvést referenci, tj. stručný popis právních služeb poskytnutých Klientovi společně s obchodní firmou a logem Klienta za účelem prokázání svých zkušeností.</w:t>
      </w:r>
    </w:p>
    <w:p w14:paraId="137C2F2A" w14:textId="77777777" w:rsidR="004A66B0" w:rsidRPr="004A66B0" w:rsidRDefault="004A66B0" w:rsidP="004A66B0">
      <w:pPr>
        <w:pStyle w:val="Styl1"/>
        <w:ind w:left="709" w:hanging="705"/>
        <w:rPr>
          <w:rFonts w:ascii="Tahoma" w:hAnsi="Tahoma" w:cs="Tahoma"/>
          <w:sz w:val="20"/>
          <w:szCs w:val="20"/>
        </w:rPr>
      </w:pPr>
      <w:r w:rsidRPr="004A66B0">
        <w:rPr>
          <w:rFonts w:ascii="Tahoma" w:hAnsi="Tahoma" w:cs="Tahoma"/>
          <w:sz w:val="20"/>
          <w:szCs w:val="20"/>
        </w:rPr>
        <w:t xml:space="preserve">Smluvní pokuty </w:t>
      </w:r>
    </w:p>
    <w:p w14:paraId="1E2A1316" w14:textId="1ADA18B7" w:rsidR="004A66B0" w:rsidRPr="004A66B0" w:rsidRDefault="004A66B0" w:rsidP="004A66B0">
      <w:pPr>
        <w:pStyle w:val="Styl2"/>
        <w:ind w:left="709" w:hanging="709"/>
        <w:rPr>
          <w:rFonts w:ascii="Tahoma" w:hAnsi="Tahoma" w:cs="Tahoma"/>
          <w:sz w:val="20"/>
          <w:szCs w:val="20"/>
        </w:rPr>
      </w:pPr>
      <w:r w:rsidRPr="004A66B0">
        <w:rPr>
          <w:rFonts w:ascii="Tahoma" w:hAnsi="Tahoma" w:cs="Tahoma"/>
          <w:sz w:val="20"/>
          <w:szCs w:val="20"/>
        </w:rPr>
        <w:t>Advoká</w:t>
      </w:r>
      <w:r w:rsidR="00391A28">
        <w:rPr>
          <w:rFonts w:ascii="Tahoma" w:hAnsi="Tahoma" w:cs="Tahoma"/>
          <w:sz w:val="20"/>
          <w:szCs w:val="20"/>
        </w:rPr>
        <w:t xml:space="preserve">t </w:t>
      </w:r>
      <w:r w:rsidRPr="004A66B0">
        <w:rPr>
          <w:rFonts w:ascii="Tahoma" w:hAnsi="Tahoma" w:cs="Tahoma"/>
          <w:sz w:val="20"/>
          <w:szCs w:val="20"/>
        </w:rPr>
        <w:t>je povin</w:t>
      </w:r>
      <w:r w:rsidR="00391A28">
        <w:rPr>
          <w:rFonts w:ascii="Tahoma" w:hAnsi="Tahoma" w:cs="Tahoma"/>
          <w:sz w:val="20"/>
          <w:szCs w:val="20"/>
        </w:rPr>
        <w:t>e</w:t>
      </w:r>
      <w:r w:rsidRPr="004A66B0">
        <w:rPr>
          <w:rFonts w:ascii="Tahoma" w:hAnsi="Tahoma" w:cs="Tahoma"/>
          <w:sz w:val="20"/>
          <w:szCs w:val="20"/>
        </w:rPr>
        <w:t>n uhradit Klientovi smluvní pokutu 5.000,- Kč za každé jednotlivé prodlení, v jehož důsledku vznikla Klientovi prokazatelně škoda.</w:t>
      </w:r>
    </w:p>
    <w:p w14:paraId="4F2AE8A4" w14:textId="27CFE6A2" w:rsidR="004A66B0" w:rsidRDefault="004A66B0" w:rsidP="004A66B0">
      <w:pPr>
        <w:pStyle w:val="Styl2"/>
        <w:ind w:left="709" w:hanging="709"/>
        <w:rPr>
          <w:rFonts w:ascii="Tahoma" w:hAnsi="Tahoma" w:cs="Tahoma"/>
          <w:sz w:val="20"/>
          <w:szCs w:val="20"/>
        </w:rPr>
      </w:pPr>
      <w:r w:rsidRPr="004A66B0">
        <w:rPr>
          <w:rFonts w:ascii="Tahoma" w:hAnsi="Tahoma" w:cs="Tahoma"/>
          <w:sz w:val="20"/>
          <w:szCs w:val="20"/>
        </w:rPr>
        <w:t>Advokát je povin</w:t>
      </w:r>
      <w:r w:rsidR="00391A28">
        <w:rPr>
          <w:rFonts w:ascii="Tahoma" w:hAnsi="Tahoma" w:cs="Tahoma"/>
          <w:sz w:val="20"/>
          <w:szCs w:val="20"/>
        </w:rPr>
        <w:t>e</w:t>
      </w:r>
      <w:r w:rsidRPr="004A66B0">
        <w:rPr>
          <w:rFonts w:ascii="Tahoma" w:hAnsi="Tahoma" w:cs="Tahoma"/>
          <w:sz w:val="20"/>
          <w:szCs w:val="20"/>
        </w:rPr>
        <w:t xml:space="preserve">n uhradit Klientovi smluvní pokutu 500,- Kč v případě prodlení s reakcí na </w:t>
      </w:r>
      <w:r w:rsidR="008C324F">
        <w:rPr>
          <w:rFonts w:ascii="Tahoma" w:hAnsi="Tahoma" w:cs="Tahoma"/>
          <w:sz w:val="20"/>
          <w:szCs w:val="20"/>
        </w:rPr>
        <w:t xml:space="preserve">pokyn </w:t>
      </w:r>
      <w:r w:rsidRPr="004A66B0">
        <w:rPr>
          <w:rFonts w:ascii="Tahoma" w:hAnsi="Tahoma" w:cs="Tahoma"/>
          <w:sz w:val="20"/>
          <w:szCs w:val="20"/>
        </w:rPr>
        <w:t>Klienta delším než 10 kalendářních dnů, a to za každý započatý den prodlení.</w:t>
      </w:r>
    </w:p>
    <w:p w14:paraId="37CAC21C" w14:textId="123C6ED1" w:rsidR="00D75BEB" w:rsidRPr="004A66B0" w:rsidRDefault="00D75BEB" w:rsidP="004A66B0">
      <w:pPr>
        <w:pStyle w:val="Styl2"/>
        <w:ind w:left="709" w:hanging="709"/>
        <w:rPr>
          <w:rFonts w:ascii="Tahoma" w:hAnsi="Tahoma" w:cs="Tahoma"/>
          <w:sz w:val="20"/>
          <w:szCs w:val="20"/>
        </w:rPr>
      </w:pPr>
      <w:r>
        <w:rPr>
          <w:rFonts w:ascii="Tahoma" w:hAnsi="Tahoma" w:cs="Tahoma"/>
          <w:sz w:val="20"/>
          <w:szCs w:val="20"/>
        </w:rPr>
        <w:t>Smluvní pokuty stanovené v předchozích odstav</w:t>
      </w:r>
      <w:r w:rsidR="00F146E5">
        <w:rPr>
          <w:rFonts w:ascii="Tahoma" w:hAnsi="Tahoma" w:cs="Tahoma"/>
          <w:sz w:val="20"/>
          <w:szCs w:val="20"/>
        </w:rPr>
        <w:t>c</w:t>
      </w:r>
      <w:r>
        <w:rPr>
          <w:rFonts w:ascii="Tahoma" w:hAnsi="Tahoma" w:cs="Tahoma"/>
          <w:sz w:val="20"/>
          <w:szCs w:val="20"/>
        </w:rPr>
        <w:t xml:space="preserve">ích toho článku smlouvy </w:t>
      </w:r>
      <w:r w:rsidR="00F146E5">
        <w:rPr>
          <w:rFonts w:ascii="Tahoma" w:hAnsi="Tahoma" w:cs="Tahoma"/>
          <w:sz w:val="20"/>
          <w:szCs w:val="20"/>
        </w:rPr>
        <w:t>se nedotýkají práva Klienta požadovat náhradu škody v rozsahu převyšujícím vzniklou smluvní pokutu a tuto Klient může požadovat vedle smluvní pokuty.</w:t>
      </w:r>
    </w:p>
    <w:p w14:paraId="3C2BB784" w14:textId="77777777" w:rsidR="004A66B0" w:rsidRPr="004A66B0" w:rsidRDefault="004A66B0" w:rsidP="004A66B0">
      <w:pPr>
        <w:pStyle w:val="Styl1"/>
        <w:ind w:left="709" w:hanging="705"/>
        <w:rPr>
          <w:rFonts w:ascii="Tahoma" w:hAnsi="Tahoma" w:cs="Tahoma"/>
          <w:sz w:val="20"/>
          <w:szCs w:val="20"/>
        </w:rPr>
      </w:pPr>
      <w:r w:rsidRPr="004A66B0">
        <w:rPr>
          <w:rFonts w:ascii="Tahoma" w:hAnsi="Tahoma" w:cs="Tahoma"/>
          <w:sz w:val="20"/>
          <w:szCs w:val="20"/>
        </w:rPr>
        <w:t>Odpovědnost za škodu</w:t>
      </w:r>
    </w:p>
    <w:p w14:paraId="742C17EB" w14:textId="46CAE564" w:rsidR="004A66B0" w:rsidRPr="004A66B0" w:rsidRDefault="004A66B0" w:rsidP="004A66B0">
      <w:pPr>
        <w:pStyle w:val="Styl2"/>
        <w:ind w:left="709" w:hanging="705"/>
        <w:rPr>
          <w:rFonts w:ascii="Tahoma" w:hAnsi="Tahoma" w:cs="Tahoma"/>
          <w:sz w:val="20"/>
          <w:szCs w:val="20"/>
        </w:rPr>
      </w:pPr>
      <w:r w:rsidRPr="004A66B0">
        <w:rPr>
          <w:rFonts w:ascii="Tahoma" w:hAnsi="Tahoma" w:cs="Tahoma"/>
          <w:sz w:val="20"/>
          <w:szCs w:val="20"/>
        </w:rPr>
        <w:t>Advokát odpovídá Klientovi za újmu, kterou mu způsobila svojí činností při plnění této Smlouvy nebo v souvislosti s ní v důsledku služby poskytované dle této Smlouvy, konkrétně v důsledku porušení povinností, které způsobil Advoká</w:t>
      </w:r>
      <w:r w:rsidR="00391A28">
        <w:rPr>
          <w:rFonts w:ascii="Tahoma" w:hAnsi="Tahoma" w:cs="Tahoma"/>
          <w:sz w:val="20"/>
          <w:szCs w:val="20"/>
        </w:rPr>
        <w:t>t</w:t>
      </w:r>
      <w:r w:rsidRPr="004A66B0">
        <w:rPr>
          <w:rFonts w:ascii="Tahoma" w:hAnsi="Tahoma" w:cs="Tahoma"/>
          <w:sz w:val="20"/>
          <w:szCs w:val="20"/>
        </w:rPr>
        <w:t>, anebo porušení povinností, o kterém Advokát</w:t>
      </w:r>
      <w:r w:rsidR="00391A28">
        <w:rPr>
          <w:rFonts w:ascii="Tahoma" w:hAnsi="Tahoma" w:cs="Tahoma"/>
          <w:sz w:val="20"/>
          <w:szCs w:val="20"/>
        </w:rPr>
        <w:t xml:space="preserve"> </w:t>
      </w:r>
      <w:r w:rsidRPr="004A66B0">
        <w:rPr>
          <w:rFonts w:ascii="Tahoma" w:hAnsi="Tahoma" w:cs="Tahoma"/>
          <w:sz w:val="20"/>
          <w:szCs w:val="20"/>
        </w:rPr>
        <w:t>věděl</w:t>
      </w:r>
      <w:r w:rsidR="00391A28">
        <w:rPr>
          <w:rFonts w:ascii="Tahoma" w:hAnsi="Tahoma" w:cs="Tahoma"/>
          <w:sz w:val="20"/>
          <w:szCs w:val="20"/>
        </w:rPr>
        <w:t>,</w:t>
      </w:r>
      <w:r w:rsidRPr="004A66B0">
        <w:rPr>
          <w:rFonts w:ascii="Tahoma" w:hAnsi="Tahoma" w:cs="Tahoma"/>
          <w:sz w:val="20"/>
          <w:szCs w:val="20"/>
        </w:rPr>
        <w:t xml:space="preserve"> případně vědět měl a mohl.</w:t>
      </w:r>
    </w:p>
    <w:p w14:paraId="104D2472" w14:textId="77777777" w:rsidR="004A66B0" w:rsidRPr="004A66B0" w:rsidRDefault="004A66B0" w:rsidP="004A66B0">
      <w:pPr>
        <w:pStyle w:val="Styl1"/>
        <w:ind w:left="709" w:hanging="705"/>
        <w:rPr>
          <w:rFonts w:ascii="Tahoma" w:hAnsi="Tahoma" w:cs="Tahoma"/>
          <w:sz w:val="20"/>
          <w:szCs w:val="20"/>
        </w:rPr>
      </w:pPr>
      <w:r w:rsidRPr="004A66B0">
        <w:rPr>
          <w:rFonts w:ascii="Tahoma" w:hAnsi="Tahoma" w:cs="Tahoma"/>
          <w:sz w:val="20"/>
          <w:szCs w:val="20"/>
        </w:rPr>
        <w:t>Doba trvání Smlouvy a ukončení Smlouvy</w:t>
      </w:r>
    </w:p>
    <w:p w14:paraId="7A7BE641" w14:textId="77777777" w:rsidR="004A66B0" w:rsidRPr="004A66B0" w:rsidRDefault="004A66B0" w:rsidP="004A66B0">
      <w:pPr>
        <w:pStyle w:val="Styl2"/>
        <w:ind w:left="709" w:hanging="705"/>
        <w:rPr>
          <w:rFonts w:ascii="Tahoma" w:hAnsi="Tahoma" w:cs="Tahoma"/>
          <w:sz w:val="20"/>
          <w:szCs w:val="20"/>
        </w:rPr>
      </w:pPr>
      <w:r w:rsidRPr="004A66B0">
        <w:rPr>
          <w:rFonts w:ascii="Tahoma" w:hAnsi="Tahoma" w:cs="Tahoma"/>
          <w:sz w:val="20"/>
          <w:szCs w:val="20"/>
        </w:rPr>
        <w:t xml:space="preserve">Tato Smlouva je uzavřena na </w:t>
      </w:r>
      <w:bookmarkStart w:id="3" w:name="_Hlk519582250"/>
      <w:r w:rsidRPr="004A66B0">
        <w:rPr>
          <w:rFonts w:ascii="Tahoma" w:hAnsi="Tahoma" w:cs="Tahoma"/>
          <w:sz w:val="20"/>
          <w:szCs w:val="20"/>
        </w:rPr>
        <w:t>dobu určitou, a to nejpozději do vyčerpání finančního limitu 2.000.000,- Kč bez DPH</w:t>
      </w:r>
      <w:bookmarkEnd w:id="3"/>
      <w:r w:rsidRPr="004A66B0">
        <w:rPr>
          <w:rFonts w:ascii="Tahoma" w:hAnsi="Tahoma" w:cs="Tahoma"/>
          <w:sz w:val="20"/>
          <w:szCs w:val="20"/>
        </w:rPr>
        <w:t>.</w:t>
      </w:r>
    </w:p>
    <w:p w14:paraId="7E3D3855" w14:textId="77777777" w:rsidR="004A66B0" w:rsidRPr="004A66B0" w:rsidRDefault="004A66B0" w:rsidP="004A66B0">
      <w:pPr>
        <w:pStyle w:val="Styl2"/>
        <w:ind w:left="709" w:hanging="705"/>
        <w:rPr>
          <w:rFonts w:ascii="Tahoma" w:hAnsi="Tahoma" w:cs="Tahoma"/>
          <w:sz w:val="20"/>
          <w:szCs w:val="20"/>
        </w:rPr>
      </w:pPr>
      <w:r w:rsidRPr="004A66B0">
        <w:rPr>
          <w:rFonts w:ascii="Tahoma" w:hAnsi="Tahoma" w:cs="Tahoma"/>
          <w:sz w:val="20"/>
          <w:szCs w:val="20"/>
        </w:rPr>
        <w:t>Kterákoli ze Smluvních stran je oprávněna tuto Smlouvu vypovědět bez udání důvodu. Výpovědní doba bude činit jeden kalendářní měsíc, přičemž počne běžet od prvního dne kalendářního měsíce následujícího po doručení výpovědi druhé smluvní straně.</w:t>
      </w:r>
    </w:p>
    <w:p w14:paraId="5B5CB558" w14:textId="77777777" w:rsidR="004A66B0" w:rsidRPr="004A66B0" w:rsidRDefault="004A66B0" w:rsidP="004A66B0">
      <w:pPr>
        <w:pStyle w:val="Styl1"/>
        <w:ind w:left="709" w:hanging="705"/>
        <w:rPr>
          <w:rFonts w:ascii="Tahoma" w:hAnsi="Tahoma" w:cs="Tahoma"/>
          <w:sz w:val="20"/>
          <w:szCs w:val="20"/>
        </w:rPr>
      </w:pPr>
      <w:r w:rsidRPr="004A66B0">
        <w:rPr>
          <w:rFonts w:ascii="Tahoma" w:hAnsi="Tahoma" w:cs="Tahoma"/>
          <w:sz w:val="20"/>
          <w:szCs w:val="20"/>
        </w:rPr>
        <w:t>Zpracování osobních údajů</w:t>
      </w:r>
    </w:p>
    <w:p w14:paraId="0EA5D3BA" w14:textId="58728A44" w:rsidR="004A66B0" w:rsidRPr="004A66B0" w:rsidRDefault="004A66B0" w:rsidP="004A66B0">
      <w:pPr>
        <w:pStyle w:val="Styl2"/>
        <w:ind w:left="709" w:hanging="705"/>
        <w:rPr>
          <w:rFonts w:ascii="Tahoma" w:hAnsi="Tahoma" w:cs="Tahoma"/>
          <w:sz w:val="20"/>
          <w:szCs w:val="20"/>
        </w:rPr>
      </w:pPr>
      <w:r w:rsidRPr="004A66B0">
        <w:rPr>
          <w:rFonts w:ascii="Tahoma" w:hAnsi="Tahoma" w:cs="Tahoma"/>
          <w:sz w:val="20"/>
          <w:szCs w:val="20"/>
        </w:rPr>
        <w:t>V souvislosti s poskytováním právních služeb dochází ze strany Advokát</w:t>
      </w:r>
      <w:r w:rsidR="00415BC9">
        <w:rPr>
          <w:rFonts w:ascii="Tahoma" w:hAnsi="Tahoma" w:cs="Tahoma"/>
          <w:sz w:val="20"/>
          <w:szCs w:val="20"/>
        </w:rPr>
        <w:t>a</w:t>
      </w:r>
      <w:r w:rsidRPr="004A66B0">
        <w:rPr>
          <w:rFonts w:ascii="Tahoma" w:hAnsi="Tahoma" w:cs="Tahoma"/>
          <w:sz w:val="20"/>
          <w:szCs w:val="20"/>
        </w:rPr>
        <w:t xml:space="preserve"> ke zpracování osobních údajů Klienta ve smyslu Nařízení Evropského parlamentu a Rady (EU) 2016/679.</w:t>
      </w:r>
    </w:p>
    <w:p w14:paraId="0AB8497C" w14:textId="77777777" w:rsidR="004A66B0" w:rsidRPr="004A66B0" w:rsidRDefault="004A66B0" w:rsidP="004A66B0">
      <w:pPr>
        <w:pStyle w:val="Styl1"/>
        <w:keepNext w:val="0"/>
        <w:keepLines w:val="0"/>
        <w:widowControl w:val="0"/>
        <w:ind w:left="709" w:hanging="705"/>
        <w:rPr>
          <w:rFonts w:ascii="Tahoma" w:hAnsi="Tahoma" w:cs="Tahoma"/>
          <w:sz w:val="20"/>
          <w:szCs w:val="20"/>
        </w:rPr>
      </w:pPr>
      <w:r w:rsidRPr="004A66B0">
        <w:rPr>
          <w:rFonts w:ascii="Tahoma" w:hAnsi="Tahoma" w:cs="Tahoma"/>
          <w:sz w:val="20"/>
          <w:szCs w:val="20"/>
        </w:rPr>
        <w:t>Přechodná a závěrečná ustanovení</w:t>
      </w:r>
    </w:p>
    <w:p w14:paraId="5AE7D564" w14:textId="694F4950" w:rsidR="004A66B0" w:rsidRPr="004A66B0" w:rsidRDefault="004A66B0" w:rsidP="004A66B0">
      <w:pPr>
        <w:pStyle w:val="SML11"/>
        <w:widowControl w:val="0"/>
        <w:numPr>
          <w:ilvl w:val="1"/>
          <w:numId w:val="2"/>
        </w:numPr>
        <w:ind w:left="709" w:hanging="711"/>
        <w:rPr>
          <w:rFonts w:ascii="Tahoma" w:hAnsi="Tahoma" w:cs="Tahoma"/>
          <w:sz w:val="20"/>
          <w:szCs w:val="20"/>
        </w:rPr>
      </w:pPr>
      <w:r w:rsidRPr="004A66B0">
        <w:rPr>
          <w:rFonts w:ascii="Tahoma" w:hAnsi="Tahoma" w:cs="Tahoma"/>
          <w:sz w:val="20"/>
          <w:szCs w:val="20"/>
        </w:rPr>
        <w:t>Advoká</w:t>
      </w:r>
      <w:r w:rsidR="00415BC9">
        <w:rPr>
          <w:rFonts w:ascii="Tahoma" w:hAnsi="Tahoma" w:cs="Tahoma"/>
          <w:sz w:val="20"/>
          <w:szCs w:val="20"/>
        </w:rPr>
        <w:t>t</w:t>
      </w:r>
      <w:r w:rsidRPr="004A66B0">
        <w:rPr>
          <w:rFonts w:ascii="Tahoma" w:hAnsi="Tahoma" w:cs="Tahoma"/>
          <w:sz w:val="20"/>
          <w:szCs w:val="20"/>
        </w:rPr>
        <w:t xml:space="preserve"> si je vědom povinnosti Klienta uveřejnit tuto Smlouvu v registru smluv podle zákona č. 340/2015 Sb., o zvláštních podmínkách účinnosti některých smluv, uveřejňování těchto smluv a o registru smluv (zákon o registru smluv), ve znění pozdějších předpisů. Klient zajistí zveřejnění Smlouvy zasláním správci registru smluv nejpozději ve lhůtě 30 kalendářních dnů ode dne podpisu Smlouvy oběma Smluvními stranami. Advokát obdrží potvrzení o uveřejnění v registru smluv automaticky vygenerované správcem registru smluv do své datové schránky. Smluvní strany dále prohlašují, že skutečnosti uvedené v této Smlouvě nepovažují za obchodní tajemství ve smyslu ustanovení § 504 Občanského zákoníku a udělují svolení k jejich užití a zveřejnění bez stanovení jakýchkoliv dalších podmínek.</w:t>
      </w:r>
    </w:p>
    <w:p w14:paraId="0AF231C7" w14:textId="0FDD293D" w:rsidR="004A66B0" w:rsidRPr="004A66B0" w:rsidRDefault="004A66B0" w:rsidP="004A66B0">
      <w:pPr>
        <w:pStyle w:val="SML11"/>
        <w:widowControl w:val="0"/>
        <w:numPr>
          <w:ilvl w:val="1"/>
          <w:numId w:val="2"/>
        </w:numPr>
        <w:ind w:left="709" w:hanging="711"/>
        <w:rPr>
          <w:rFonts w:ascii="Tahoma" w:hAnsi="Tahoma" w:cs="Tahoma"/>
          <w:sz w:val="20"/>
          <w:szCs w:val="20"/>
        </w:rPr>
      </w:pPr>
      <w:r w:rsidRPr="004A66B0">
        <w:rPr>
          <w:rFonts w:ascii="Tahoma" w:hAnsi="Tahoma" w:cs="Tahoma"/>
          <w:sz w:val="20"/>
          <w:szCs w:val="20"/>
        </w:rPr>
        <w:lastRenderedPageBreak/>
        <w:t>Advokát souhlasí s poskytováním informací o Smlouvě v rozsahu zákona č. 106/1999 Sb., o</w:t>
      </w:r>
      <w:r w:rsidR="00415BC9">
        <w:rPr>
          <w:rFonts w:ascii="Tahoma" w:hAnsi="Tahoma" w:cs="Tahoma"/>
          <w:sz w:val="20"/>
          <w:szCs w:val="20"/>
        </w:rPr>
        <w:t> </w:t>
      </w:r>
      <w:r w:rsidRPr="004A66B0">
        <w:rPr>
          <w:rFonts w:ascii="Tahoma" w:hAnsi="Tahoma" w:cs="Tahoma"/>
          <w:sz w:val="20"/>
          <w:szCs w:val="20"/>
        </w:rPr>
        <w:t>svobodném přístupu k informacím, ve znění pozdějších předpisů.</w:t>
      </w:r>
    </w:p>
    <w:p w14:paraId="086C479C" w14:textId="56A5DDF7" w:rsidR="004A66B0" w:rsidRPr="004A66B0" w:rsidRDefault="004A66B0" w:rsidP="004A66B0">
      <w:pPr>
        <w:pStyle w:val="SML11"/>
        <w:widowControl w:val="0"/>
        <w:numPr>
          <w:ilvl w:val="1"/>
          <w:numId w:val="2"/>
        </w:numPr>
        <w:ind w:left="709" w:hanging="711"/>
        <w:rPr>
          <w:rFonts w:ascii="Tahoma" w:hAnsi="Tahoma" w:cs="Tahoma"/>
          <w:sz w:val="20"/>
          <w:szCs w:val="20"/>
        </w:rPr>
      </w:pPr>
      <w:r w:rsidRPr="004A66B0">
        <w:rPr>
          <w:rFonts w:ascii="Tahoma" w:hAnsi="Tahoma" w:cs="Tahoma"/>
          <w:sz w:val="20"/>
          <w:szCs w:val="20"/>
        </w:rPr>
        <w:t>Tato Smlouva se bude vztahovat na poskytování právních služeb ode dne zahájení poskytování právních služeb a písemné uzavření této Smlouvy se považuje za potvrzení jejího ústního uzavření k datu zahájení poskytování právních služeb ze strany Advokát</w:t>
      </w:r>
      <w:r w:rsidR="00415BC9">
        <w:rPr>
          <w:rFonts w:ascii="Tahoma" w:hAnsi="Tahoma" w:cs="Tahoma"/>
          <w:sz w:val="20"/>
          <w:szCs w:val="20"/>
        </w:rPr>
        <w:t>a</w:t>
      </w:r>
      <w:r w:rsidRPr="004A66B0">
        <w:rPr>
          <w:rFonts w:ascii="Tahoma" w:hAnsi="Tahoma" w:cs="Tahoma"/>
          <w:sz w:val="20"/>
          <w:szCs w:val="20"/>
        </w:rPr>
        <w:t xml:space="preserve"> Klientovi. Tato Smlouva nahrazuje veškeré případné předchozí verze smluvních podmínek týkajících se předmětu této Smlouvy.</w:t>
      </w:r>
    </w:p>
    <w:p w14:paraId="3D03D482" w14:textId="59C9296E" w:rsidR="004A66B0" w:rsidRPr="004A66B0" w:rsidRDefault="004A66B0" w:rsidP="004A66B0">
      <w:pPr>
        <w:pStyle w:val="SML11"/>
        <w:widowControl w:val="0"/>
        <w:numPr>
          <w:ilvl w:val="1"/>
          <w:numId w:val="2"/>
        </w:numPr>
        <w:ind w:left="709" w:hanging="711"/>
        <w:rPr>
          <w:rFonts w:ascii="Tahoma" w:hAnsi="Tahoma" w:cs="Tahoma"/>
          <w:sz w:val="20"/>
          <w:szCs w:val="20"/>
        </w:rPr>
      </w:pPr>
      <w:r w:rsidRPr="004A66B0">
        <w:rPr>
          <w:rFonts w:ascii="Tahoma" w:hAnsi="Tahoma" w:cs="Tahoma"/>
          <w:sz w:val="20"/>
          <w:szCs w:val="20"/>
        </w:rPr>
        <w:t>Smluvní strany se dohodly, že rozhodným právem pro tuto Smlouvu nebo právní vztahy, které vznikly v souvislosti s touto Smlouvou, je právní řád České republiky a jakýkoliv spor vzniklý v</w:t>
      </w:r>
      <w:r w:rsidR="00415BC9">
        <w:rPr>
          <w:rFonts w:ascii="Tahoma" w:hAnsi="Tahoma" w:cs="Tahoma"/>
          <w:sz w:val="20"/>
          <w:szCs w:val="20"/>
        </w:rPr>
        <w:t> </w:t>
      </w:r>
      <w:r w:rsidRPr="004A66B0">
        <w:rPr>
          <w:rFonts w:ascii="Tahoma" w:hAnsi="Tahoma" w:cs="Tahoma"/>
          <w:sz w:val="20"/>
          <w:szCs w:val="20"/>
        </w:rPr>
        <w:t>souvislosti s touto Smlouvou a/nebo dalšími souvisejícími dohodami bude spadat do soudní pravomoci českého soudu místně příslušného dle sídla Advokát</w:t>
      </w:r>
      <w:r w:rsidR="00415BC9">
        <w:rPr>
          <w:rFonts w:ascii="Tahoma" w:hAnsi="Tahoma" w:cs="Tahoma"/>
          <w:sz w:val="20"/>
          <w:szCs w:val="20"/>
        </w:rPr>
        <w:t>a</w:t>
      </w:r>
      <w:r w:rsidRPr="004A66B0">
        <w:rPr>
          <w:rFonts w:ascii="Tahoma" w:hAnsi="Tahoma" w:cs="Tahoma"/>
          <w:sz w:val="20"/>
          <w:szCs w:val="20"/>
        </w:rPr>
        <w:t>.</w:t>
      </w:r>
    </w:p>
    <w:p w14:paraId="56FC58D7" w14:textId="77777777" w:rsidR="004A66B0" w:rsidRPr="004A66B0" w:rsidRDefault="004A66B0" w:rsidP="004A66B0">
      <w:pPr>
        <w:pStyle w:val="Styl2"/>
        <w:widowControl w:val="0"/>
        <w:ind w:left="709" w:hanging="705"/>
        <w:rPr>
          <w:rFonts w:ascii="Tahoma" w:hAnsi="Tahoma" w:cs="Tahoma"/>
          <w:sz w:val="20"/>
          <w:szCs w:val="20"/>
        </w:rPr>
      </w:pPr>
      <w:r w:rsidRPr="004A66B0">
        <w:rPr>
          <w:rFonts w:ascii="Tahoma" w:hAnsi="Tahoma" w:cs="Tahoma"/>
          <w:sz w:val="20"/>
          <w:szCs w:val="20"/>
        </w:rPr>
        <w:t xml:space="preserve">Tuto Smlouvu lze měnit pouze dohodou Smluvních stran v písemné formě. </w:t>
      </w:r>
    </w:p>
    <w:p w14:paraId="29E9133D" w14:textId="77777777" w:rsidR="004A66B0" w:rsidRPr="004A66B0" w:rsidRDefault="004A66B0" w:rsidP="004A66B0">
      <w:pPr>
        <w:pStyle w:val="Styl2"/>
        <w:widowControl w:val="0"/>
        <w:ind w:left="709" w:hanging="705"/>
        <w:rPr>
          <w:rFonts w:ascii="Tahoma" w:hAnsi="Tahoma" w:cs="Tahoma"/>
          <w:sz w:val="20"/>
          <w:szCs w:val="20"/>
        </w:rPr>
      </w:pPr>
      <w:r w:rsidRPr="004A66B0">
        <w:rPr>
          <w:rFonts w:ascii="Tahoma" w:hAnsi="Tahoma" w:cs="Tahoma"/>
          <w:sz w:val="20"/>
          <w:szCs w:val="20"/>
        </w:rPr>
        <w:t>Tato Smlouva se vyhotovuje ve dvou stejnopisech. Každá Smluvní strana obdrží po jednom vyhotovení.</w:t>
      </w:r>
    </w:p>
    <w:p w14:paraId="6D93CA8C" w14:textId="77777777" w:rsidR="004A66B0" w:rsidRPr="004A66B0" w:rsidRDefault="004A66B0" w:rsidP="004A66B0">
      <w:pPr>
        <w:pStyle w:val="Styl2"/>
        <w:widowControl w:val="0"/>
        <w:numPr>
          <w:ilvl w:val="1"/>
          <w:numId w:val="0"/>
        </w:numPr>
        <w:ind w:left="709"/>
        <w:rPr>
          <w:rFonts w:ascii="Tahoma" w:hAnsi="Tahoma" w:cs="Tahoma"/>
          <w:sz w:val="20"/>
          <w:szCs w:val="20"/>
        </w:rPr>
      </w:pPr>
    </w:p>
    <w:p w14:paraId="59CE5053" w14:textId="1FFC9004" w:rsidR="004A66B0" w:rsidRDefault="004A66B0" w:rsidP="004A66B0">
      <w:pPr>
        <w:widowControl w:val="0"/>
        <w:outlineLvl w:val="0"/>
        <w:rPr>
          <w:rFonts w:cs="Tahoma"/>
          <w:szCs w:val="20"/>
        </w:rPr>
      </w:pPr>
      <w:r w:rsidRPr="004A66B0">
        <w:rPr>
          <w:rFonts w:cs="Tahoma"/>
          <w:szCs w:val="20"/>
        </w:rPr>
        <w:t xml:space="preserve">V Brně dne </w:t>
      </w:r>
      <w:r w:rsidR="00DF715B">
        <w:rPr>
          <w:rFonts w:cs="Tahoma"/>
          <w:szCs w:val="20"/>
        </w:rPr>
        <w:t>_13.7.2023_</w:t>
      </w:r>
    </w:p>
    <w:p w14:paraId="2A3D7BFC" w14:textId="77777777" w:rsidR="00E94BB5" w:rsidRDefault="00E94BB5" w:rsidP="004A66B0">
      <w:pPr>
        <w:widowControl w:val="0"/>
        <w:outlineLvl w:val="0"/>
        <w:rPr>
          <w:rFonts w:cs="Tahoma"/>
          <w:szCs w:val="20"/>
        </w:rPr>
      </w:pPr>
    </w:p>
    <w:p w14:paraId="054820A5" w14:textId="77777777" w:rsidR="00E94BB5" w:rsidRDefault="00E94BB5" w:rsidP="004A66B0">
      <w:pPr>
        <w:widowControl w:val="0"/>
        <w:outlineLvl w:val="0"/>
        <w:rPr>
          <w:rFonts w:cs="Tahoma"/>
          <w:szCs w:val="20"/>
        </w:rPr>
      </w:pPr>
    </w:p>
    <w:p w14:paraId="50E1191B" w14:textId="77777777" w:rsidR="00E94BB5" w:rsidRPr="004A66B0" w:rsidRDefault="00E94BB5" w:rsidP="004A66B0">
      <w:pPr>
        <w:widowControl w:val="0"/>
        <w:outlineLvl w:val="0"/>
        <w:rPr>
          <w:rFonts w:cs="Tahoma"/>
          <w:szCs w:val="20"/>
        </w:rPr>
      </w:pPr>
    </w:p>
    <w:p w14:paraId="5AEC568B" w14:textId="77777777" w:rsidR="004A66B0" w:rsidRPr="004A66B0" w:rsidRDefault="004A66B0" w:rsidP="004A66B0">
      <w:pPr>
        <w:widowControl w:val="0"/>
        <w:outlineLvl w:val="0"/>
        <w:rPr>
          <w:rFonts w:cs="Tahoma"/>
          <w:b/>
          <w:szCs w:val="20"/>
        </w:rPr>
      </w:pPr>
    </w:p>
    <w:p w14:paraId="37C0FCE5" w14:textId="77777777" w:rsidR="004A66B0" w:rsidRPr="004A66B0" w:rsidRDefault="004A66B0" w:rsidP="004A66B0">
      <w:pPr>
        <w:widowControl w:val="0"/>
        <w:outlineLvl w:val="0"/>
        <w:rPr>
          <w:rFonts w:cs="Tahoma"/>
          <w:b/>
          <w:szCs w:val="20"/>
        </w:rPr>
      </w:pPr>
    </w:p>
    <w:p w14:paraId="01B2B456" w14:textId="77777777" w:rsidR="004A66B0" w:rsidRPr="004A66B0" w:rsidRDefault="004A66B0" w:rsidP="004A66B0">
      <w:pPr>
        <w:widowControl w:val="0"/>
        <w:outlineLvl w:val="0"/>
        <w:rPr>
          <w:rFonts w:cs="Tahoma"/>
          <w:szCs w:val="20"/>
        </w:rPr>
      </w:pPr>
      <w:r w:rsidRPr="004A66B0">
        <w:rPr>
          <w:rFonts w:cs="Tahoma"/>
          <w:szCs w:val="20"/>
        </w:rPr>
        <w:t>________________________________</w:t>
      </w:r>
      <w:r w:rsidRPr="004A66B0">
        <w:rPr>
          <w:rFonts w:cs="Tahoma"/>
          <w:szCs w:val="20"/>
        </w:rPr>
        <w:tab/>
      </w:r>
      <w:r w:rsidRPr="004A66B0">
        <w:rPr>
          <w:rFonts w:cs="Tahoma"/>
          <w:szCs w:val="20"/>
        </w:rPr>
        <w:tab/>
        <w:t>_________________________________</w:t>
      </w:r>
    </w:p>
    <w:p w14:paraId="3FBD043C" w14:textId="41F2ECA0" w:rsidR="004A66B0" w:rsidRPr="004A66B0" w:rsidRDefault="004A66B0" w:rsidP="004A66B0">
      <w:pPr>
        <w:widowControl w:val="0"/>
        <w:outlineLvl w:val="0"/>
        <w:rPr>
          <w:rFonts w:cs="Tahoma"/>
          <w:szCs w:val="20"/>
        </w:rPr>
      </w:pPr>
      <w:r w:rsidRPr="004A66B0">
        <w:rPr>
          <w:rFonts w:cs="Tahoma"/>
          <w:szCs w:val="20"/>
        </w:rPr>
        <w:t xml:space="preserve">Kancelář architekta města Brna, </w:t>
      </w:r>
      <w:proofErr w:type="spellStart"/>
      <w:r w:rsidRPr="004A66B0">
        <w:rPr>
          <w:rFonts w:cs="Tahoma"/>
          <w:szCs w:val="20"/>
        </w:rPr>
        <w:t>p.o</w:t>
      </w:r>
      <w:proofErr w:type="spellEnd"/>
      <w:r w:rsidRPr="004A66B0">
        <w:rPr>
          <w:rFonts w:cs="Tahoma"/>
          <w:szCs w:val="20"/>
        </w:rPr>
        <w:t>.</w:t>
      </w:r>
      <w:r w:rsidRPr="004A66B0">
        <w:rPr>
          <w:rFonts w:cs="Tahoma"/>
          <w:szCs w:val="20"/>
        </w:rPr>
        <w:tab/>
      </w:r>
      <w:r w:rsidRPr="004A66B0">
        <w:rPr>
          <w:rFonts w:cs="Tahoma"/>
          <w:szCs w:val="20"/>
        </w:rPr>
        <w:tab/>
      </w:r>
      <w:r w:rsidR="00CF5C01">
        <w:rPr>
          <w:rFonts w:cs="Tahoma"/>
          <w:szCs w:val="20"/>
        </w:rPr>
        <w:t xml:space="preserve">Urban </w:t>
      </w:r>
      <w:proofErr w:type="spellStart"/>
      <w:r w:rsidR="00CF5C01">
        <w:rPr>
          <w:rFonts w:cs="Tahoma"/>
          <w:szCs w:val="20"/>
        </w:rPr>
        <w:t>legal</w:t>
      </w:r>
      <w:proofErr w:type="spellEnd"/>
      <w:r w:rsidR="00CF5C01">
        <w:rPr>
          <w:rFonts w:cs="Tahoma"/>
          <w:szCs w:val="20"/>
        </w:rPr>
        <w:t>, advokátní kancelář s.r.o.</w:t>
      </w:r>
    </w:p>
    <w:p w14:paraId="51584618" w14:textId="20048920" w:rsidR="004A66B0" w:rsidRPr="004A66B0" w:rsidRDefault="004A66B0" w:rsidP="004A66B0">
      <w:pPr>
        <w:widowControl w:val="0"/>
        <w:outlineLvl w:val="0"/>
        <w:rPr>
          <w:rFonts w:cs="Tahoma"/>
          <w:szCs w:val="20"/>
        </w:rPr>
      </w:pPr>
      <w:r w:rsidRPr="00E9022E">
        <w:rPr>
          <w:rStyle w:val="Zstupntext"/>
          <w:rFonts w:cs="Tahoma"/>
          <w:color w:val="auto"/>
          <w:szCs w:val="20"/>
        </w:rPr>
        <w:t xml:space="preserve">Ing. arch. </w:t>
      </w:r>
      <w:r w:rsidR="00F06551">
        <w:rPr>
          <w:rStyle w:val="Zstupntext"/>
          <w:rFonts w:cs="Tahoma"/>
          <w:color w:val="auto"/>
          <w:szCs w:val="20"/>
        </w:rPr>
        <w:t>Jan Tesárek</w:t>
      </w:r>
      <w:r w:rsidR="00CF5C01">
        <w:rPr>
          <w:rStyle w:val="Zstupntext"/>
          <w:rFonts w:cs="Tahoma"/>
          <w:color w:val="auto"/>
          <w:szCs w:val="20"/>
        </w:rPr>
        <w:tab/>
      </w:r>
      <w:r w:rsidR="00CF5C01">
        <w:rPr>
          <w:rStyle w:val="Zstupntext"/>
          <w:rFonts w:cs="Tahoma"/>
          <w:color w:val="auto"/>
          <w:szCs w:val="20"/>
        </w:rPr>
        <w:tab/>
      </w:r>
      <w:r w:rsidR="00CF5C01">
        <w:rPr>
          <w:rStyle w:val="Zstupntext"/>
          <w:rFonts w:cs="Tahoma"/>
          <w:color w:val="auto"/>
          <w:szCs w:val="20"/>
        </w:rPr>
        <w:tab/>
      </w:r>
      <w:r w:rsidR="00CF5C01">
        <w:rPr>
          <w:rStyle w:val="Zstupntext"/>
          <w:rFonts w:cs="Tahoma"/>
          <w:color w:val="auto"/>
          <w:szCs w:val="20"/>
        </w:rPr>
        <w:tab/>
      </w:r>
      <w:r w:rsidR="00CF5C01" w:rsidRPr="00415BC9">
        <w:rPr>
          <w:rFonts w:cs="Tahoma"/>
          <w:szCs w:val="20"/>
        </w:rPr>
        <w:t>Mgr</w:t>
      </w:r>
      <w:r w:rsidR="00CF5C01">
        <w:rPr>
          <w:rFonts w:cs="Tahoma"/>
          <w:szCs w:val="20"/>
        </w:rPr>
        <w:t>. et Mgr. Jan Sedláček</w:t>
      </w:r>
      <w:r w:rsidRPr="004A66B0">
        <w:rPr>
          <w:rStyle w:val="Zstupntext"/>
          <w:rFonts w:cs="Tahoma"/>
          <w:szCs w:val="20"/>
        </w:rPr>
        <w:tab/>
      </w:r>
      <w:r w:rsidRPr="004A66B0">
        <w:rPr>
          <w:rStyle w:val="Zstupntext"/>
          <w:rFonts w:cs="Tahoma"/>
          <w:szCs w:val="20"/>
        </w:rPr>
        <w:tab/>
      </w:r>
      <w:r w:rsidRPr="004A66B0">
        <w:rPr>
          <w:rStyle w:val="Zstupntext"/>
          <w:rFonts w:cs="Tahoma"/>
          <w:szCs w:val="20"/>
        </w:rPr>
        <w:tab/>
      </w:r>
    </w:p>
    <w:p w14:paraId="4285DE76" w14:textId="77777777" w:rsidR="004A66B0" w:rsidRPr="004A66B0" w:rsidRDefault="004A66B0" w:rsidP="004A66B0">
      <w:pPr>
        <w:rPr>
          <w:rFonts w:cs="Tahoma"/>
          <w:szCs w:val="20"/>
        </w:rPr>
      </w:pPr>
    </w:p>
    <w:p w14:paraId="5F5C6B30" w14:textId="77777777" w:rsidR="00143F5E" w:rsidRPr="004A66B0" w:rsidRDefault="00143F5E" w:rsidP="004A66B0">
      <w:pPr>
        <w:rPr>
          <w:rFonts w:cs="Tahoma"/>
          <w:szCs w:val="20"/>
        </w:rPr>
      </w:pPr>
    </w:p>
    <w:sectPr w:rsidR="00143F5E" w:rsidRPr="004A66B0" w:rsidSect="00E94BB5">
      <w:footerReference w:type="default" r:id="rId8"/>
      <w:headerReference w:type="first" r:id="rId9"/>
      <w:pgSz w:w="11900" w:h="16840"/>
      <w:pgMar w:top="2552" w:right="1418" w:bottom="162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8DF55" w14:textId="77777777" w:rsidR="001E1C52" w:rsidRDefault="001E1C52" w:rsidP="003E17AD">
      <w:r>
        <w:separator/>
      </w:r>
    </w:p>
  </w:endnote>
  <w:endnote w:type="continuationSeparator" w:id="0">
    <w:p w14:paraId="56A338BD" w14:textId="77777777" w:rsidR="001E1C52" w:rsidRDefault="001E1C52" w:rsidP="003E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oderat">
    <w:altName w:val="Calibri"/>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9E86" w14:textId="77777777" w:rsidR="00143F5E" w:rsidRDefault="00143F5E" w:rsidP="006110CB">
    <w:pPr>
      <w:pStyle w:val="Zpat"/>
      <w:rPr>
        <w:rFonts w:ascii="Moderat" w:hAnsi="Moderat" w:cs="Tahoma"/>
        <w:sz w:val="16"/>
        <w:szCs w:val="16"/>
      </w:rPr>
    </w:pPr>
  </w:p>
  <w:p w14:paraId="330E3D48" w14:textId="77777777" w:rsidR="006110CB" w:rsidRDefault="006110CB" w:rsidP="006110CB">
    <w:pPr>
      <w:pStyle w:val="Zpat"/>
      <w:rPr>
        <w:rFonts w:ascii="Moderat" w:hAnsi="Moderat"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9ADCC" w14:textId="77777777" w:rsidR="001E1C52" w:rsidRDefault="001E1C52" w:rsidP="003E17AD">
      <w:r>
        <w:separator/>
      </w:r>
    </w:p>
  </w:footnote>
  <w:footnote w:type="continuationSeparator" w:id="0">
    <w:p w14:paraId="267CCCA9" w14:textId="77777777" w:rsidR="001E1C52" w:rsidRDefault="001E1C52" w:rsidP="003E1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CE95" w14:textId="779F638B" w:rsidR="001F7601" w:rsidRDefault="001F7601">
    <w:pPr>
      <w:pStyle w:val="Zhlav"/>
    </w:pPr>
    <w:r>
      <w:t>Číslo smlouvy: S/</w:t>
    </w:r>
    <w:r w:rsidR="00732515">
      <w:t>008</w:t>
    </w:r>
    <w: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83573"/>
    <w:multiLevelType w:val="hybridMultilevel"/>
    <w:tmpl w:val="8BE4485E"/>
    <w:lvl w:ilvl="0" w:tplc="F0080D88">
      <w:start w:val="2"/>
      <w:numFmt w:val="bullet"/>
      <w:lvlText w:val="-"/>
      <w:lvlJc w:val="left"/>
      <w:pPr>
        <w:ind w:left="1944" w:hanging="360"/>
      </w:pPr>
      <w:rPr>
        <w:rFonts w:ascii="Calibri" w:eastAsia="Times New Roman" w:hAnsi="Calibri" w:cs="Calibri"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1" w15:restartNumberingAfterBreak="0">
    <w:nsid w:val="378E721D"/>
    <w:multiLevelType w:val="hybridMultilevel"/>
    <w:tmpl w:val="48742174"/>
    <w:lvl w:ilvl="0" w:tplc="F0080D88">
      <w:start w:val="2"/>
      <w:numFmt w:val="bullet"/>
      <w:lvlText w:val="-"/>
      <w:lvlJc w:val="left"/>
      <w:pPr>
        <w:ind w:left="1944" w:hanging="360"/>
      </w:pPr>
      <w:rPr>
        <w:rFonts w:ascii="Calibri" w:eastAsia="Times New Roman" w:hAnsi="Calibri" w:cs="Calibri"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2" w15:restartNumberingAfterBreak="0">
    <w:nsid w:val="7A100038"/>
    <w:multiLevelType w:val="multilevel"/>
    <w:tmpl w:val="04AC81D0"/>
    <w:lvl w:ilvl="0">
      <w:start w:val="1"/>
      <w:numFmt w:val="decimal"/>
      <w:pStyle w:val="Styl1"/>
      <w:lvlText w:val="%1."/>
      <w:lvlJc w:val="left"/>
      <w:pPr>
        <w:ind w:left="360" w:hanging="356"/>
      </w:pPr>
    </w:lvl>
    <w:lvl w:ilvl="1">
      <w:start w:val="1"/>
      <w:numFmt w:val="decimal"/>
      <w:pStyle w:val="Styl2"/>
      <w:lvlText w:val="%1.%2."/>
      <w:lvlJc w:val="left"/>
      <w:pPr>
        <w:ind w:left="792" w:hanging="428"/>
      </w:pPr>
    </w:lvl>
    <w:lvl w:ilvl="2">
      <w:start w:val="1"/>
      <w:numFmt w:val="decimal"/>
      <w:lvlText w:val="%1.%2.%3."/>
      <w:lvlJc w:val="left"/>
      <w:pPr>
        <w:ind w:left="1224" w:hanging="500"/>
      </w:pPr>
    </w:lvl>
    <w:lvl w:ilvl="3">
      <w:start w:val="1"/>
      <w:numFmt w:val="lowerLetter"/>
      <w:lvlText w:val="%4)"/>
      <w:lvlJc w:val="left"/>
      <w:pPr>
        <w:ind w:left="1728" w:hanging="644"/>
      </w:pPr>
    </w:lvl>
    <w:lvl w:ilvl="4">
      <w:start w:val="1"/>
      <w:numFmt w:val="decimal"/>
      <w:lvlText w:val="%1.%2.%3.%4.%5."/>
      <w:lvlJc w:val="left"/>
      <w:pPr>
        <w:ind w:left="2232" w:hanging="788"/>
      </w:pPr>
    </w:lvl>
    <w:lvl w:ilvl="5">
      <w:start w:val="1"/>
      <w:numFmt w:val="decimal"/>
      <w:lvlText w:val="%1.%2.%3.%4.%5.%6."/>
      <w:lvlJc w:val="left"/>
      <w:pPr>
        <w:ind w:left="2736" w:hanging="932"/>
      </w:pPr>
    </w:lvl>
    <w:lvl w:ilvl="6">
      <w:start w:val="1"/>
      <w:numFmt w:val="decimal"/>
      <w:lvlText w:val="%1.%2.%3.%4.%5.%6.%7."/>
      <w:lvlJc w:val="left"/>
      <w:pPr>
        <w:ind w:left="3240" w:hanging="1076"/>
      </w:pPr>
    </w:lvl>
    <w:lvl w:ilvl="7">
      <w:start w:val="1"/>
      <w:numFmt w:val="decimal"/>
      <w:lvlText w:val="%1.%2.%3.%4.%5.%6.%7.%8."/>
      <w:lvlJc w:val="left"/>
      <w:pPr>
        <w:ind w:left="3744" w:hanging="1220"/>
      </w:pPr>
    </w:lvl>
    <w:lvl w:ilvl="8">
      <w:start w:val="1"/>
      <w:numFmt w:val="decimal"/>
      <w:lvlText w:val="%1.%2.%3.%4.%5.%6.%7.%8.%9."/>
      <w:lvlJc w:val="left"/>
      <w:pPr>
        <w:ind w:left="4320" w:hanging="1436"/>
      </w:pPr>
    </w:lvl>
  </w:abstractNum>
  <w:abstractNum w:abstractNumId="3" w15:restartNumberingAfterBreak="0">
    <w:nsid w:val="7F35561B"/>
    <w:multiLevelType w:val="hybridMultilevel"/>
    <w:tmpl w:val="1DCEB3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47590571">
    <w:abstractNumId w:val="3"/>
  </w:num>
  <w:num w:numId="2" w16cid:durableId="304163050">
    <w:abstractNumId w:val="2"/>
  </w:num>
  <w:num w:numId="3" w16cid:durableId="1443838521">
    <w:abstractNumId w:val="0"/>
  </w:num>
  <w:num w:numId="4" w16cid:durableId="323707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7AD"/>
    <w:rsid w:val="00012174"/>
    <w:rsid w:val="00063667"/>
    <w:rsid w:val="000663C8"/>
    <w:rsid w:val="00096682"/>
    <w:rsid w:val="000B7AA9"/>
    <w:rsid w:val="0010376D"/>
    <w:rsid w:val="0013623D"/>
    <w:rsid w:val="00143F5E"/>
    <w:rsid w:val="00161344"/>
    <w:rsid w:val="001852B5"/>
    <w:rsid w:val="001932C8"/>
    <w:rsid w:val="001E1C52"/>
    <w:rsid w:val="001F7601"/>
    <w:rsid w:val="00204D70"/>
    <w:rsid w:val="00255EB6"/>
    <w:rsid w:val="002856BA"/>
    <w:rsid w:val="002F2103"/>
    <w:rsid w:val="002F3D82"/>
    <w:rsid w:val="0031721D"/>
    <w:rsid w:val="003305FB"/>
    <w:rsid w:val="00330AD4"/>
    <w:rsid w:val="00337C3C"/>
    <w:rsid w:val="00391A28"/>
    <w:rsid w:val="003B6E02"/>
    <w:rsid w:val="003C67AF"/>
    <w:rsid w:val="003E17AD"/>
    <w:rsid w:val="00415BC9"/>
    <w:rsid w:val="00443D70"/>
    <w:rsid w:val="00466C48"/>
    <w:rsid w:val="004A66B0"/>
    <w:rsid w:val="004E67DB"/>
    <w:rsid w:val="005331BE"/>
    <w:rsid w:val="00583A57"/>
    <w:rsid w:val="005C7FE4"/>
    <w:rsid w:val="006110CB"/>
    <w:rsid w:val="00614648"/>
    <w:rsid w:val="006272B7"/>
    <w:rsid w:val="006B117C"/>
    <w:rsid w:val="006B7E95"/>
    <w:rsid w:val="006E6927"/>
    <w:rsid w:val="006F13B1"/>
    <w:rsid w:val="006F1DB2"/>
    <w:rsid w:val="00714315"/>
    <w:rsid w:val="00726E36"/>
    <w:rsid w:val="00732515"/>
    <w:rsid w:val="00771CA7"/>
    <w:rsid w:val="007B3AFD"/>
    <w:rsid w:val="007C2544"/>
    <w:rsid w:val="007F2B36"/>
    <w:rsid w:val="007F3E3C"/>
    <w:rsid w:val="00816E90"/>
    <w:rsid w:val="0084176B"/>
    <w:rsid w:val="008872DC"/>
    <w:rsid w:val="008B1706"/>
    <w:rsid w:val="008C324F"/>
    <w:rsid w:val="009204B7"/>
    <w:rsid w:val="00A121FC"/>
    <w:rsid w:val="00A17D51"/>
    <w:rsid w:val="00A55591"/>
    <w:rsid w:val="00A82894"/>
    <w:rsid w:val="00A90824"/>
    <w:rsid w:val="00B041E2"/>
    <w:rsid w:val="00B0582B"/>
    <w:rsid w:val="00B42B71"/>
    <w:rsid w:val="00B63975"/>
    <w:rsid w:val="00C022E0"/>
    <w:rsid w:val="00C05171"/>
    <w:rsid w:val="00C8619D"/>
    <w:rsid w:val="00C86562"/>
    <w:rsid w:val="00CF5C01"/>
    <w:rsid w:val="00D34169"/>
    <w:rsid w:val="00D36FF0"/>
    <w:rsid w:val="00D602EF"/>
    <w:rsid w:val="00D75BEB"/>
    <w:rsid w:val="00DB6DFF"/>
    <w:rsid w:val="00DC3A92"/>
    <w:rsid w:val="00DF715B"/>
    <w:rsid w:val="00E3740D"/>
    <w:rsid w:val="00E54752"/>
    <w:rsid w:val="00E801C6"/>
    <w:rsid w:val="00E9022E"/>
    <w:rsid w:val="00E94BB5"/>
    <w:rsid w:val="00F06551"/>
    <w:rsid w:val="00F11B1A"/>
    <w:rsid w:val="00F146E5"/>
    <w:rsid w:val="00F2519C"/>
    <w:rsid w:val="00F860DA"/>
    <w:rsid w:val="00FD2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0BF06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ln">
    <w:name w:val="Normal"/>
    <w:qFormat/>
    <w:rsid w:val="0013623D"/>
    <w:pPr>
      <w:jc w:val="both"/>
    </w:pPr>
    <w:rPr>
      <w:rFonts w:ascii="Tahoma" w:hAnsi="Tahoma"/>
      <w:sz w:val="20"/>
    </w:rPr>
  </w:style>
  <w:style w:type="paragraph" w:styleId="Nadpis1">
    <w:name w:val="heading 1"/>
    <w:basedOn w:val="Normln"/>
    <w:next w:val="Normln"/>
    <w:link w:val="Nadpis1Char"/>
    <w:uiPriority w:val="9"/>
    <w:qFormat/>
    <w:rsid w:val="0013623D"/>
    <w:pPr>
      <w:keepNext/>
      <w:keepLines/>
      <w:spacing w:before="240"/>
      <w:outlineLvl w:val="0"/>
    </w:pPr>
    <w:rPr>
      <w:rFonts w:eastAsiaTheme="majorEastAsia" w:cstheme="majorBidi"/>
      <w:sz w:val="28"/>
      <w:szCs w:val="32"/>
    </w:rPr>
  </w:style>
  <w:style w:type="paragraph" w:styleId="Nadpis2">
    <w:name w:val="heading 2"/>
    <w:basedOn w:val="Normln"/>
    <w:next w:val="Normln"/>
    <w:link w:val="Nadpis2Char"/>
    <w:uiPriority w:val="9"/>
    <w:semiHidden/>
    <w:unhideWhenUsed/>
    <w:qFormat/>
    <w:rsid w:val="0013623D"/>
    <w:pPr>
      <w:keepNext/>
      <w:keepLines/>
      <w:spacing w:before="40"/>
      <w:outlineLvl w:val="1"/>
    </w:pPr>
    <w:rPr>
      <w:rFonts w:eastAsiaTheme="majorEastAsia" w:cstheme="majorBidi"/>
      <w:sz w:val="24"/>
      <w:szCs w:val="26"/>
    </w:rPr>
  </w:style>
  <w:style w:type="paragraph" w:styleId="Nadpis3">
    <w:name w:val="heading 3"/>
    <w:basedOn w:val="Normln"/>
    <w:next w:val="Normln"/>
    <w:link w:val="Nadpis3Char"/>
    <w:uiPriority w:val="9"/>
    <w:unhideWhenUsed/>
    <w:qFormat/>
    <w:rsid w:val="006110CB"/>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17AD"/>
    <w:pPr>
      <w:tabs>
        <w:tab w:val="center" w:pos="4536"/>
        <w:tab w:val="right" w:pos="9072"/>
      </w:tabs>
    </w:pPr>
  </w:style>
  <w:style w:type="character" w:customStyle="1" w:styleId="ZhlavChar">
    <w:name w:val="Záhlaví Char"/>
    <w:basedOn w:val="Standardnpsmoodstavce"/>
    <w:link w:val="Zhlav"/>
    <w:uiPriority w:val="99"/>
    <w:rsid w:val="003E17AD"/>
  </w:style>
  <w:style w:type="paragraph" w:styleId="Zpat">
    <w:name w:val="footer"/>
    <w:basedOn w:val="Normln"/>
    <w:link w:val="ZpatChar"/>
    <w:uiPriority w:val="99"/>
    <w:unhideWhenUsed/>
    <w:rsid w:val="003E17AD"/>
    <w:pPr>
      <w:tabs>
        <w:tab w:val="center" w:pos="4536"/>
        <w:tab w:val="right" w:pos="9072"/>
      </w:tabs>
    </w:pPr>
  </w:style>
  <w:style w:type="character" w:customStyle="1" w:styleId="ZpatChar">
    <w:name w:val="Zápatí Char"/>
    <w:basedOn w:val="Standardnpsmoodstavce"/>
    <w:link w:val="Zpat"/>
    <w:uiPriority w:val="99"/>
    <w:rsid w:val="003E17AD"/>
  </w:style>
  <w:style w:type="paragraph" w:styleId="Textbubliny">
    <w:name w:val="Balloon Text"/>
    <w:basedOn w:val="Normln"/>
    <w:link w:val="TextbublinyChar"/>
    <w:uiPriority w:val="99"/>
    <w:semiHidden/>
    <w:unhideWhenUsed/>
    <w:rsid w:val="00A17D5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17D51"/>
    <w:rPr>
      <w:rFonts w:ascii="Segoe UI" w:hAnsi="Segoe UI" w:cs="Segoe UI"/>
      <w:sz w:val="18"/>
      <w:szCs w:val="18"/>
    </w:rPr>
  </w:style>
  <w:style w:type="character" w:customStyle="1" w:styleId="Nadpis1Char">
    <w:name w:val="Nadpis 1 Char"/>
    <w:basedOn w:val="Standardnpsmoodstavce"/>
    <w:link w:val="Nadpis1"/>
    <w:uiPriority w:val="9"/>
    <w:rsid w:val="0013623D"/>
    <w:rPr>
      <w:rFonts w:ascii="Tahoma" w:eastAsiaTheme="majorEastAsia" w:hAnsi="Tahoma" w:cstheme="majorBidi"/>
      <w:sz w:val="28"/>
      <w:szCs w:val="32"/>
    </w:rPr>
  </w:style>
  <w:style w:type="character" w:customStyle="1" w:styleId="Nadpis2Char">
    <w:name w:val="Nadpis 2 Char"/>
    <w:basedOn w:val="Standardnpsmoodstavce"/>
    <w:link w:val="Nadpis2"/>
    <w:uiPriority w:val="9"/>
    <w:semiHidden/>
    <w:rsid w:val="0013623D"/>
    <w:rPr>
      <w:rFonts w:ascii="Tahoma" w:eastAsiaTheme="majorEastAsia" w:hAnsi="Tahoma" w:cstheme="majorBidi"/>
      <w:szCs w:val="26"/>
    </w:rPr>
  </w:style>
  <w:style w:type="character" w:styleId="Hypertextovodkaz">
    <w:name w:val="Hyperlink"/>
    <w:basedOn w:val="Standardnpsmoodstavce"/>
    <w:uiPriority w:val="99"/>
    <w:unhideWhenUsed/>
    <w:rsid w:val="006110CB"/>
    <w:rPr>
      <w:color w:val="0563C1" w:themeColor="hyperlink"/>
      <w:u w:val="single"/>
    </w:rPr>
  </w:style>
  <w:style w:type="character" w:styleId="Nevyeenzmnka">
    <w:name w:val="Unresolved Mention"/>
    <w:basedOn w:val="Standardnpsmoodstavce"/>
    <w:uiPriority w:val="99"/>
    <w:semiHidden/>
    <w:unhideWhenUsed/>
    <w:rsid w:val="006110CB"/>
    <w:rPr>
      <w:color w:val="605E5C"/>
      <w:shd w:val="clear" w:color="auto" w:fill="E1DFDD"/>
    </w:rPr>
  </w:style>
  <w:style w:type="character" w:customStyle="1" w:styleId="Nadpis3Char">
    <w:name w:val="Nadpis 3 Char"/>
    <w:basedOn w:val="Standardnpsmoodstavce"/>
    <w:link w:val="Nadpis3"/>
    <w:uiPriority w:val="9"/>
    <w:rsid w:val="006110CB"/>
    <w:rPr>
      <w:rFonts w:asciiTheme="majorHAnsi" w:eastAsiaTheme="majorEastAsia" w:hAnsiTheme="majorHAnsi" w:cstheme="majorBidi"/>
      <w:color w:val="1F4D78" w:themeColor="accent1" w:themeShade="7F"/>
    </w:rPr>
  </w:style>
  <w:style w:type="paragraph" w:customStyle="1" w:styleId="NZEV">
    <w:name w:val="NÁZEV"/>
    <w:basedOn w:val="Normln"/>
    <w:next w:val="Normln"/>
    <w:rsid w:val="004A66B0"/>
    <w:pPr>
      <w:pBdr>
        <w:top w:val="none" w:sz="4" w:space="0" w:color="000000"/>
        <w:left w:val="none" w:sz="4" w:space="0" w:color="000000"/>
        <w:bottom w:val="none" w:sz="4" w:space="0" w:color="000000"/>
        <w:right w:val="none" w:sz="4" w:space="0" w:color="000000"/>
        <w:between w:val="none" w:sz="4" w:space="0" w:color="000000"/>
      </w:pBdr>
      <w:spacing w:before="240" w:after="120"/>
      <w:jc w:val="center"/>
    </w:pPr>
    <w:rPr>
      <w:rFonts w:ascii="Calibri Light" w:eastAsia="Calibri" w:hAnsi="Calibri Light" w:cs="Times New Roman"/>
      <w:caps/>
      <w:sz w:val="40"/>
      <w:szCs w:val="32"/>
      <w:lang w:eastAsia="cs-CZ"/>
    </w:rPr>
  </w:style>
  <w:style w:type="paragraph" w:customStyle="1" w:styleId="Textodstavcebezslovn">
    <w:name w:val="Text odstavce (bez číslování)"/>
    <w:basedOn w:val="Normln"/>
    <w:rsid w:val="004A66B0"/>
    <w:pPr>
      <w:pBdr>
        <w:top w:val="none" w:sz="4" w:space="0" w:color="000000"/>
        <w:left w:val="none" w:sz="4" w:space="0" w:color="000000"/>
        <w:bottom w:val="none" w:sz="4" w:space="0" w:color="000000"/>
        <w:right w:val="none" w:sz="4" w:space="0" w:color="000000"/>
        <w:between w:val="none" w:sz="4" w:space="0" w:color="000000"/>
      </w:pBdr>
      <w:spacing w:before="240" w:after="120"/>
      <w:ind w:left="709"/>
    </w:pPr>
    <w:rPr>
      <w:rFonts w:ascii="Calibri" w:eastAsia="Calibri" w:hAnsi="Calibri" w:cs="Arial"/>
      <w:sz w:val="24"/>
      <w:szCs w:val="22"/>
      <w:lang w:eastAsia="cs-CZ"/>
    </w:rPr>
  </w:style>
  <w:style w:type="character" w:styleId="Zstupntext">
    <w:name w:val="Placeholder Text"/>
    <w:basedOn w:val="Standardnpsmoodstavce"/>
    <w:uiPriority w:val="99"/>
    <w:semiHidden/>
    <w:rsid w:val="004A66B0"/>
    <w:rPr>
      <w:color w:val="808080"/>
    </w:rPr>
  </w:style>
  <w:style w:type="paragraph" w:customStyle="1" w:styleId="Styl1">
    <w:name w:val="Styl 1"/>
    <w:basedOn w:val="Nadpis3"/>
    <w:qFormat/>
    <w:rsid w:val="004A66B0"/>
    <w:pPr>
      <w:numPr>
        <w:numId w:val="2"/>
      </w:numPr>
      <w:pBdr>
        <w:top w:val="none" w:sz="4" w:space="0" w:color="000000"/>
        <w:left w:val="none" w:sz="4" w:space="0" w:color="000000"/>
        <w:bottom w:val="none" w:sz="4" w:space="0" w:color="000000"/>
        <w:right w:val="none" w:sz="4" w:space="0" w:color="000000"/>
        <w:between w:val="none" w:sz="4" w:space="0" w:color="000000"/>
      </w:pBdr>
      <w:spacing w:before="240" w:after="120"/>
      <w:outlineLvl w:val="0"/>
    </w:pPr>
    <w:rPr>
      <w:rFonts w:ascii="Calibri" w:eastAsia="Times New Roman" w:hAnsi="Calibri" w:cs="Arial"/>
      <w:b/>
      <w:bCs/>
      <w:color w:val="auto"/>
      <w:szCs w:val="26"/>
      <w:shd w:val="clear" w:color="auto" w:fill="FFFFFF"/>
      <w:lang w:eastAsia="cs-CZ"/>
    </w:rPr>
  </w:style>
  <w:style w:type="paragraph" w:customStyle="1" w:styleId="Styl2">
    <w:name w:val="Styl 2"/>
    <w:basedOn w:val="Styl1"/>
    <w:qFormat/>
    <w:rsid w:val="004A66B0"/>
    <w:pPr>
      <w:keepNext w:val="0"/>
      <w:keepLines w:val="0"/>
      <w:numPr>
        <w:ilvl w:val="1"/>
      </w:numPr>
      <w:spacing w:before="120"/>
      <w:outlineLvl w:val="1"/>
    </w:pPr>
    <w:rPr>
      <w:b w:val="0"/>
    </w:rPr>
  </w:style>
  <w:style w:type="paragraph" w:customStyle="1" w:styleId="SML11">
    <w:name w:val="!SML 1.1."/>
    <w:basedOn w:val="Normln"/>
    <w:qFormat/>
    <w:rsid w:val="004A66B0"/>
    <w:pPr>
      <w:pBdr>
        <w:top w:val="none" w:sz="4" w:space="0" w:color="000000"/>
        <w:left w:val="none" w:sz="4" w:space="0" w:color="000000"/>
        <w:bottom w:val="none" w:sz="4" w:space="0" w:color="000000"/>
        <w:right w:val="none" w:sz="4" w:space="0" w:color="000000"/>
        <w:between w:val="none" w:sz="4" w:space="0" w:color="000000"/>
      </w:pBdr>
      <w:spacing w:before="120" w:after="120"/>
      <w:ind w:left="792" w:hanging="428"/>
      <w:outlineLvl w:val="1"/>
    </w:pPr>
    <w:rPr>
      <w:rFonts w:ascii="Calibri" w:eastAsia="Times New Roman" w:hAnsi="Calibri" w:cs="Arial"/>
      <w:bCs/>
      <w:sz w:val="24"/>
      <w:szCs w:val="26"/>
      <w:shd w:val="clear" w:color="auto" w:fill="FFFFFF"/>
      <w:lang w:eastAsia="cs-CZ"/>
    </w:rPr>
  </w:style>
  <w:style w:type="paragraph" w:styleId="Revize">
    <w:name w:val="Revision"/>
    <w:hidden/>
    <w:uiPriority w:val="99"/>
    <w:semiHidden/>
    <w:rsid w:val="006F1DB2"/>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13643">
      <w:bodyDiv w:val="1"/>
      <w:marLeft w:val="0"/>
      <w:marRight w:val="0"/>
      <w:marTop w:val="0"/>
      <w:marBottom w:val="0"/>
      <w:divBdr>
        <w:top w:val="none" w:sz="0" w:space="0" w:color="auto"/>
        <w:left w:val="none" w:sz="0" w:space="0" w:color="auto"/>
        <w:bottom w:val="none" w:sz="0" w:space="0" w:color="auto"/>
        <w:right w:val="none" w:sz="0" w:space="0" w:color="auto"/>
      </w:divBdr>
    </w:div>
    <w:div w:id="803621536">
      <w:bodyDiv w:val="1"/>
      <w:marLeft w:val="0"/>
      <w:marRight w:val="0"/>
      <w:marTop w:val="0"/>
      <w:marBottom w:val="0"/>
      <w:divBdr>
        <w:top w:val="none" w:sz="0" w:space="0" w:color="auto"/>
        <w:left w:val="none" w:sz="0" w:space="0" w:color="auto"/>
        <w:bottom w:val="none" w:sz="0" w:space="0" w:color="auto"/>
        <w:right w:val="none" w:sz="0" w:space="0" w:color="auto"/>
      </w:divBdr>
    </w:div>
    <w:div w:id="996685026">
      <w:bodyDiv w:val="1"/>
      <w:marLeft w:val="0"/>
      <w:marRight w:val="0"/>
      <w:marTop w:val="0"/>
      <w:marBottom w:val="0"/>
      <w:divBdr>
        <w:top w:val="none" w:sz="0" w:space="0" w:color="auto"/>
        <w:left w:val="none" w:sz="0" w:space="0" w:color="auto"/>
        <w:bottom w:val="none" w:sz="0" w:space="0" w:color="auto"/>
        <w:right w:val="none" w:sz="0" w:space="0" w:color="auto"/>
      </w:divBdr>
    </w:div>
    <w:div w:id="1583953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939E6-BB2B-40DE-95FD-73016DD8A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1286</Words>
  <Characters>7594</Characters>
  <Application>Microsoft Office Word</Application>
  <DocSecurity>0</DocSecurity>
  <Lines>63</Lines>
  <Paragraphs>17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Petrohrad s.r.o.</dc:creator>
  <cp:keywords/>
  <dc:description/>
  <cp:lastModifiedBy>Petra Fránková</cp:lastModifiedBy>
  <cp:revision>4</cp:revision>
  <cp:lastPrinted>2023-06-08T11:26:00Z</cp:lastPrinted>
  <dcterms:created xsi:type="dcterms:W3CDTF">2023-07-11T07:56:00Z</dcterms:created>
  <dcterms:modified xsi:type="dcterms:W3CDTF">2023-07-13T09:35:00Z</dcterms:modified>
</cp:coreProperties>
</file>