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50"/>
      </w:tblGrid>
      <w:tr w:rsidR="00D01DED" w:rsidRPr="00D01DED" w14:paraId="0D5F0B0C" w14:textId="77777777" w:rsidTr="00B65B5C">
        <w:tc>
          <w:tcPr>
            <w:tcW w:w="4748" w:type="dxa"/>
          </w:tcPr>
          <w:p w14:paraId="2569DF3A" w14:textId="77777777" w:rsidR="00D01DED" w:rsidRPr="00D01DED" w:rsidRDefault="00D01DED" w:rsidP="00B65B5C">
            <w:pPr>
              <w:rPr>
                <w:rFonts w:cs="Arial"/>
                <w:b/>
                <w:bCs/>
                <w:szCs w:val="20"/>
              </w:rPr>
            </w:pPr>
          </w:p>
        </w:tc>
        <w:tc>
          <w:tcPr>
            <w:tcW w:w="4750" w:type="dxa"/>
          </w:tcPr>
          <w:p w14:paraId="69A58152" w14:textId="50FA8FFE" w:rsidR="00D01DED" w:rsidRPr="00D01DED" w:rsidRDefault="00D01DED" w:rsidP="00D01DED">
            <w:pPr>
              <w:jc w:val="right"/>
              <w:rPr>
                <w:b/>
                <w:bCs/>
                <w:lang w:val="it-IT"/>
              </w:rPr>
            </w:pPr>
            <w:r>
              <w:rPr>
                <w:b/>
                <w:bCs/>
                <w:lang w:val="it-IT"/>
              </w:rPr>
              <w:t>NG/978/2023</w:t>
            </w:r>
          </w:p>
        </w:tc>
      </w:tr>
      <w:tr w:rsidR="007727A2" w:rsidRPr="00D01DED" w14:paraId="768F32CB" w14:textId="77777777" w:rsidTr="00B65B5C">
        <w:tc>
          <w:tcPr>
            <w:tcW w:w="4748" w:type="dxa"/>
          </w:tcPr>
          <w:p w14:paraId="3A9F3FFF" w14:textId="77777777" w:rsidR="007727A2" w:rsidRPr="00D01DED" w:rsidRDefault="007727A2" w:rsidP="00B65B5C">
            <w:pPr>
              <w:rPr>
                <w:rFonts w:eastAsia="Times New Roman" w:cs="Arial"/>
                <w:b/>
                <w:szCs w:val="20"/>
                <w:lang w:eastAsia="cs-CZ"/>
              </w:rPr>
            </w:pPr>
            <w:r w:rsidRPr="00D01DED">
              <w:rPr>
                <w:rFonts w:cs="Arial"/>
                <w:b/>
                <w:bCs/>
                <w:szCs w:val="20"/>
              </w:rPr>
              <w:t>Dodatek č. 2 ke smlouvě o dílo č.</w:t>
            </w:r>
            <w:r w:rsidRPr="00D01DED">
              <w:rPr>
                <w:rFonts w:eastAsia="Times New Roman" w:cs="Arial"/>
                <w:b/>
                <w:szCs w:val="20"/>
                <w:lang w:eastAsia="cs-CZ"/>
              </w:rPr>
              <w:t>NG/537/2022</w:t>
            </w:r>
          </w:p>
          <w:p w14:paraId="68A647D2" w14:textId="47AA8C22" w:rsidR="007727A2" w:rsidRPr="00D01DED" w:rsidRDefault="007727A2" w:rsidP="00B65B5C">
            <w:pPr>
              <w:pStyle w:val="Standard"/>
              <w:spacing w:after="360"/>
              <w:rPr>
                <w:rFonts w:ascii="Georgia" w:hAnsi="Georgia" w:cs="Arial"/>
                <w:sz w:val="20"/>
                <w:szCs w:val="20"/>
              </w:rPr>
            </w:pPr>
            <w:r w:rsidRPr="00D01DED">
              <w:rPr>
                <w:rFonts w:ascii="Georgia" w:hAnsi="Georgia" w:cs="Arial"/>
                <w:sz w:val="20"/>
                <w:szCs w:val="20"/>
              </w:rPr>
              <w:t>uzavřené podle příslušných ustanovení zákona č. 89/2012 Sb., občanský zákoník, v platném znění (dále jen „</w:t>
            </w:r>
            <w:r w:rsidRPr="00D01DED">
              <w:rPr>
                <w:rFonts w:ascii="Georgia" w:hAnsi="Georgia" w:cs="Arial"/>
                <w:b/>
                <w:sz w:val="20"/>
                <w:szCs w:val="20"/>
              </w:rPr>
              <w:t>občanský zákoník</w:t>
            </w:r>
            <w:r w:rsidRPr="00D01DED">
              <w:rPr>
                <w:rFonts w:ascii="Georgia" w:hAnsi="Georgia" w:cs="Arial"/>
                <w:sz w:val="20"/>
                <w:szCs w:val="20"/>
              </w:rPr>
              <w:t>“)</w:t>
            </w:r>
          </w:p>
        </w:tc>
        <w:tc>
          <w:tcPr>
            <w:tcW w:w="4750" w:type="dxa"/>
          </w:tcPr>
          <w:p w14:paraId="49CF41D2" w14:textId="77777777" w:rsidR="007727A2" w:rsidRPr="00D01DED" w:rsidRDefault="007727A2" w:rsidP="00B65B5C">
            <w:pPr>
              <w:rPr>
                <w:b/>
                <w:bCs/>
                <w:lang w:val="it-IT"/>
              </w:rPr>
            </w:pPr>
            <w:r w:rsidRPr="00D01DED">
              <w:rPr>
                <w:b/>
                <w:bCs/>
                <w:lang w:val="it-IT"/>
              </w:rPr>
              <w:t>Appendice n. 2 al contratto d’appalto</w:t>
            </w:r>
            <w:r w:rsidRPr="00D01DED">
              <w:rPr>
                <w:b/>
                <w:bCs/>
                <w:lang w:val="it-IT"/>
              </w:rPr>
              <w:br/>
              <w:t>n. NG/537/2022</w:t>
            </w:r>
          </w:p>
          <w:p w14:paraId="4E1E2C1D" w14:textId="2F1CEA1C" w:rsidR="007727A2" w:rsidRPr="00D01DED" w:rsidRDefault="007727A2" w:rsidP="00B65B5C">
            <w:pPr>
              <w:rPr>
                <w:b/>
                <w:bCs/>
                <w:lang w:val="it-IT"/>
              </w:rPr>
            </w:pPr>
            <w:r w:rsidRPr="00D01DED">
              <w:rPr>
                <w:rFonts w:eastAsia="Calibri"/>
                <w:szCs w:val="20"/>
                <w:lang w:val="it-IT"/>
              </w:rPr>
              <w:t>stipulato ai sensi delle rispettive disposizioni della legge n. 89/2012 Racc., Codice civile, nella versione applicabile (nel prosieguo “</w:t>
            </w:r>
            <w:r w:rsidRPr="00D01DED">
              <w:rPr>
                <w:rFonts w:eastAsia="Calibri"/>
                <w:b/>
                <w:szCs w:val="20"/>
                <w:lang w:val="it-IT"/>
              </w:rPr>
              <w:t>Codice civile</w:t>
            </w:r>
            <w:r w:rsidRPr="00D01DED">
              <w:rPr>
                <w:rFonts w:eastAsia="Calibri"/>
                <w:szCs w:val="20"/>
                <w:lang w:val="it-IT"/>
              </w:rPr>
              <w:t>”)</w:t>
            </w:r>
          </w:p>
        </w:tc>
      </w:tr>
      <w:tr w:rsidR="007727A2" w:rsidRPr="00D01DED" w14:paraId="38C68334" w14:textId="77777777" w:rsidTr="00B65B5C">
        <w:tc>
          <w:tcPr>
            <w:tcW w:w="4748" w:type="dxa"/>
          </w:tcPr>
          <w:p w14:paraId="0B7862C4" w14:textId="7385AF03" w:rsidR="007727A2" w:rsidRPr="00D01DED" w:rsidRDefault="007727A2" w:rsidP="00B65B5C">
            <w:pPr>
              <w:rPr>
                <w:rFonts w:cs="Arial"/>
                <w:szCs w:val="20"/>
              </w:rPr>
            </w:pPr>
            <w:r w:rsidRPr="00D01DED">
              <w:rPr>
                <w:rFonts w:cs="Arial"/>
                <w:szCs w:val="20"/>
              </w:rPr>
              <w:t>Smluvní strany</w:t>
            </w:r>
          </w:p>
        </w:tc>
        <w:tc>
          <w:tcPr>
            <w:tcW w:w="4750" w:type="dxa"/>
          </w:tcPr>
          <w:p w14:paraId="2471B200" w14:textId="3881F1A7" w:rsidR="007727A2" w:rsidRPr="00D01DED" w:rsidRDefault="007727A2" w:rsidP="00B65B5C">
            <w:r w:rsidRPr="00D01DED">
              <w:t>Parti contraenti:</w:t>
            </w:r>
          </w:p>
        </w:tc>
      </w:tr>
      <w:tr w:rsidR="007727A2" w:rsidRPr="00D01DED" w14:paraId="400C8664" w14:textId="77777777" w:rsidTr="00B65B5C">
        <w:tc>
          <w:tcPr>
            <w:tcW w:w="4748" w:type="dxa"/>
          </w:tcPr>
          <w:p w14:paraId="202A6174" w14:textId="77777777" w:rsidR="007727A2" w:rsidRPr="00D01DED" w:rsidRDefault="007727A2" w:rsidP="00B65B5C">
            <w:pPr>
              <w:spacing w:after="0" w:line="240" w:lineRule="auto"/>
              <w:rPr>
                <w:rFonts w:cs="Arial"/>
                <w:b/>
                <w:szCs w:val="20"/>
              </w:rPr>
            </w:pPr>
            <w:r w:rsidRPr="00D01DED">
              <w:rPr>
                <w:rFonts w:cs="Arial"/>
                <w:b/>
                <w:szCs w:val="20"/>
              </w:rPr>
              <w:t>Národní galerie v Praze</w:t>
            </w:r>
          </w:p>
          <w:p w14:paraId="14E96042" w14:textId="77777777" w:rsidR="007727A2" w:rsidRPr="00D01DED" w:rsidRDefault="007727A2" w:rsidP="00B65B5C">
            <w:pPr>
              <w:spacing w:after="0" w:line="240" w:lineRule="auto"/>
              <w:rPr>
                <w:rFonts w:cs="Arial"/>
                <w:szCs w:val="20"/>
              </w:rPr>
            </w:pPr>
            <w:r w:rsidRPr="00D01DED">
              <w:rPr>
                <w:rFonts w:cs="Arial"/>
                <w:szCs w:val="20"/>
              </w:rPr>
              <w:t>se sídlem Staroměstské nám. 606/12, 110 15 Praha 1</w:t>
            </w:r>
          </w:p>
          <w:p w14:paraId="581E7188" w14:textId="77777777" w:rsidR="007727A2" w:rsidRPr="00D01DED" w:rsidRDefault="007727A2" w:rsidP="00B65B5C">
            <w:pPr>
              <w:spacing w:after="0" w:line="240" w:lineRule="auto"/>
              <w:rPr>
                <w:rFonts w:cs="Arial"/>
                <w:szCs w:val="20"/>
              </w:rPr>
            </w:pPr>
            <w:r w:rsidRPr="00D01DED">
              <w:rPr>
                <w:rFonts w:cs="Arial"/>
                <w:szCs w:val="20"/>
              </w:rPr>
              <w:t>IČ: 00023281</w:t>
            </w:r>
          </w:p>
          <w:p w14:paraId="22F65908" w14:textId="2CDFFCDA" w:rsidR="007727A2" w:rsidRPr="00D01DED" w:rsidRDefault="007727A2" w:rsidP="00B65B5C">
            <w:pPr>
              <w:spacing w:after="0" w:line="240" w:lineRule="auto"/>
              <w:rPr>
                <w:rFonts w:cs="Arial"/>
                <w:szCs w:val="20"/>
              </w:rPr>
            </w:pPr>
            <w:r w:rsidRPr="00D01DED">
              <w:rPr>
                <w:rFonts w:cs="Arial"/>
                <w:szCs w:val="20"/>
              </w:rPr>
              <w:t xml:space="preserve">Bankovní spojení: </w:t>
            </w:r>
            <w:r w:rsidR="00F459EB">
              <w:rPr>
                <w:rFonts w:cs="Arial"/>
                <w:szCs w:val="20"/>
              </w:rPr>
              <w:t>XXX</w:t>
            </w:r>
          </w:p>
          <w:p w14:paraId="5FC24D97" w14:textId="45E90686" w:rsidR="007727A2" w:rsidRPr="00D01DED" w:rsidRDefault="007727A2" w:rsidP="00B65B5C">
            <w:pPr>
              <w:spacing w:after="0" w:line="240" w:lineRule="auto"/>
              <w:rPr>
                <w:rFonts w:cs="Arial"/>
                <w:szCs w:val="20"/>
              </w:rPr>
            </w:pPr>
            <w:r w:rsidRPr="00D01DED">
              <w:rPr>
                <w:rFonts w:cs="Arial"/>
                <w:szCs w:val="20"/>
              </w:rPr>
              <w:t xml:space="preserve">Číslo účtu </w:t>
            </w:r>
            <w:r w:rsidR="00F459EB">
              <w:rPr>
                <w:rFonts w:cs="Arial"/>
                <w:szCs w:val="20"/>
              </w:rPr>
              <w:t>XXXXXXXXXXXXXXXX</w:t>
            </w:r>
          </w:p>
          <w:p w14:paraId="3C2770D9" w14:textId="77777777" w:rsidR="007727A2" w:rsidRPr="00D01DED" w:rsidRDefault="007727A2" w:rsidP="00B65B5C">
            <w:pPr>
              <w:spacing w:after="0" w:line="240" w:lineRule="auto"/>
              <w:rPr>
                <w:rFonts w:cs="Arial"/>
                <w:szCs w:val="20"/>
              </w:rPr>
            </w:pPr>
            <w:r w:rsidRPr="00D01DED">
              <w:rPr>
                <w:rFonts w:cs="Arial"/>
                <w:szCs w:val="20"/>
              </w:rPr>
              <w:t>zastoupená: Alicjí Knast, generální ředitelkou</w:t>
            </w:r>
          </w:p>
          <w:p w14:paraId="50210A40" w14:textId="77777777" w:rsidR="007727A2" w:rsidRPr="00D01DED" w:rsidRDefault="007727A2" w:rsidP="00B65B5C">
            <w:pPr>
              <w:spacing w:after="0" w:line="240" w:lineRule="auto"/>
              <w:rPr>
                <w:rFonts w:cs="Arial"/>
                <w:szCs w:val="20"/>
              </w:rPr>
            </w:pPr>
          </w:p>
          <w:p w14:paraId="6B38AD23" w14:textId="1CA6DA5A" w:rsidR="007727A2" w:rsidRPr="00D01DED" w:rsidRDefault="007727A2" w:rsidP="00B65B5C">
            <w:pPr>
              <w:rPr>
                <w:rFonts w:cs="Arial"/>
                <w:b/>
                <w:bCs/>
                <w:color w:val="FF0000"/>
                <w:szCs w:val="20"/>
              </w:rPr>
            </w:pPr>
            <w:r w:rsidRPr="00D01DED">
              <w:rPr>
                <w:rFonts w:cs="Arial"/>
                <w:szCs w:val="20"/>
              </w:rPr>
              <w:t>(dále jen „</w:t>
            </w:r>
            <w:r w:rsidRPr="00D01DED">
              <w:rPr>
                <w:rFonts w:cs="Arial"/>
                <w:b/>
                <w:bCs/>
                <w:szCs w:val="20"/>
              </w:rPr>
              <w:t xml:space="preserve">Objednatel“ </w:t>
            </w:r>
            <w:r w:rsidRPr="00D01DED">
              <w:rPr>
                <w:rFonts w:cs="Arial"/>
                <w:bCs/>
                <w:szCs w:val="20"/>
              </w:rPr>
              <w:t>nebo</w:t>
            </w:r>
            <w:r w:rsidRPr="00D01DED">
              <w:rPr>
                <w:rFonts w:cs="Arial"/>
                <w:b/>
                <w:bCs/>
                <w:szCs w:val="20"/>
              </w:rPr>
              <w:t xml:space="preserve"> „NGP“</w:t>
            </w:r>
            <w:r w:rsidRPr="00D01DED">
              <w:rPr>
                <w:rFonts w:cs="Arial"/>
                <w:bCs/>
                <w:szCs w:val="20"/>
              </w:rPr>
              <w:t>)</w:t>
            </w:r>
          </w:p>
        </w:tc>
        <w:tc>
          <w:tcPr>
            <w:tcW w:w="4750" w:type="dxa"/>
          </w:tcPr>
          <w:p w14:paraId="763E7A26" w14:textId="77777777" w:rsidR="007727A2" w:rsidRPr="00D01DED" w:rsidRDefault="007727A2" w:rsidP="00B65B5C">
            <w:pPr>
              <w:spacing w:after="0"/>
              <w:rPr>
                <w:b/>
                <w:bCs/>
                <w:lang w:val="it-IT"/>
              </w:rPr>
            </w:pPr>
            <w:r w:rsidRPr="00D01DED">
              <w:rPr>
                <w:b/>
                <w:bCs/>
                <w:lang w:val="it-IT"/>
              </w:rPr>
              <w:t>Národní galerie v Praze [Galleria Nazionale di Praga]</w:t>
            </w:r>
          </w:p>
          <w:p w14:paraId="55E0F518" w14:textId="77777777" w:rsidR="007727A2" w:rsidRPr="00D01DED" w:rsidRDefault="007727A2" w:rsidP="00B65B5C">
            <w:pPr>
              <w:spacing w:after="0"/>
              <w:rPr>
                <w:lang w:val="it-IT"/>
              </w:rPr>
            </w:pPr>
            <w:r w:rsidRPr="00D01DED">
              <w:rPr>
                <w:lang w:val="it-IT"/>
              </w:rPr>
              <w:t>con sede in Staroměstské nám. 606/12</w:t>
            </w:r>
          </w:p>
          <w:p w14:paraId="32278C23" w14:textId="77777777" w:rsidR="007727A2" w:rsidRPr="00D01DED" w:rsidRDefault="007727A2" w:rsidP="00B65B5C">
            <w:pPr>
              <w:spacing w:after="0"/>
              <w:rPr>
                <w:lang w:val="it-IT"/>
              </w:rPr>
            </w:pPr>
            <w:r w:rsidRPr="00D01DED">
              <w:rPr>
                <w:lang w:val="it-IT"/>
              </w:rPr>
              <w:t>110 15 Praga 1</w:t>
            </w:r>
          </w:p>
          <w:p w14:paraId="3237DC34" w14:textId="77777777" w:rsidR="007727A2" w:rsidRPr="00D01DED" w:rsidRDefault="007727A2" w:rsidP="00B65B5C">
            <w:pPr>
              <w:spacing w:after="0"/>
              <w:rPr>
                <w:lang w:val="it-IT"/>
              </w:rPr>
            </w:pPr>
            <w:r w:rsidRPr="00D01DED">
              <w:rPr>
                <w:lang w:val="it-IT"/>
              </w:rPr>
              <w:t>n.id.: 00023281</w:t>
            </w:r>
          </w:p>
          <w:p w14:paraId="2407874A" w14:textId="73E083BA" w:rsidR="007727A2" w:rsidRPr="00D01DED" w:rsidRDefault="007727A2" w:rsidP="00B65B5C">
            <w:pPr>
              <w:spacing w:after="0"/>
              <w:rPr>
                <w:lang w:val="it-IT"/>
              </w:rPr>
            </w:pPr>
            <w:r w:rsidRPr="00D01DED">
              <w:rPr>
                <w:lang w:val="it-IT"/>
              </w:rPr>
              <w:t xml:space="preserve">Banca d’appoggio: </w:t>
            </w:r>
            <w:r w:rsidR="00F459EB">
              <w:rPr>
                <w:lang w:val="it-IT"/>
              </w:rPr>
              <w:t>XXX</w:t>
            </w:r>
          </w:p>
          <w:p w14:paraId="4FDDF7E6" w14:textId="64185FA3" w:rsidR="007727A2" w:rsidRPr="00D01DED" w:rsidRDefault="007727A2" w:rsidP="00B65B5C">
            <w:pPr>
              <w:spacing w:after="0"/>
              <w:rPr>
                <w:lang w:val="it-IT"/>
              </w:rPr>
            </w:pPr>
            <w:r w:rsidRPr="00D01DED">
              <w:rPr>
                <w:lang w:val="it-IT"/>
              </w:rPr>
              <w:t xml:space="preserve">N. c/c </w:t>
            </w:r>
            <w:r w:rsidR="00F459EB">
              <w:rPr>
                <w:lang w:val="it-IT"/>
              </w:rPr>
              <w:t>XXXXXXXXXXXXXXXXX</w:t>
            </w:r>
          </w:p>
          <w:p w14:paraId="117C207A" w14:textId="77777777" w:rsidR="007727A2" w:rsidRPr="00D01DED" w:rsidRDefault="007727A2" w:rsidP="00B65B5C">
            <w:pPr>
              <w:spacing w:after="0"/>
              <w:rPr>
                <w:lang w:val="it-IT"/>
              </w:rPr>
            </w:pPr>
            <w:r w:rsidRPr="00D01DED">
              <w:rPr>
                <w:lang w:val="it-IT"/>
              </w:rPr>
              <w:t>a nome di cui agisce: Alicja Knast, direttrice generale</w:t>
            </w:r>
          </w:p>
          <w:p w14:paraId="61F6ADB4" w14:textId="77777777" w:rsidR="007727A2" w:rsidRPr="00D01DED" w:rsidRDefault="007727A2" w:rsidP="00B65B5C">
            <w:pPr>
              <w:spacing w:after="0"/>
              <w:rPr>
                <w:lang w:val="it-IT"/>
              </w:rPr>
            </w:pPr>
          </w:p>
          <w:p w14:paraId="29BE4D9B" w14:textId="77777777" w:rsidR="007727A2" w:rsidRPr="00D01DED" w:rsidRDefault="007727A2" w:rsidP="00B65B5C">
            <w:pPr>
              <w:spacing w:after="0"/>
              <w:rPr>
                <w:lang w:val="it-IT"/>
              </w:rPr>
            </w:pPr>
            <w:r w:rsidRPr="00D01DED">
              <w:rPr>
                <w:lang w:val="it-IT"/>
              </w:rPr>
              <w:t>(nel proseguo “</w:t>
            </w:r>
            <w:r w:rsidRPr="00D01DED">
              <w:rPr>
                <w:b/>
                <w:bCs/>
                <w:lang w:val="it-IT"/>
              </w:rPr>
              <w:t>Committente</w:t>
            </w:r>
            <w:r w:rsidRPr="00D01DED">
              <w:rPr>
                <w:lang w:val="it-IT"/>
              </w:rPr>
              <w:t>” o “</w:t>
            </w:r>
            <w:r w:rsidRPr="00D01DED">
              <w:rPr>
                <w:b/>
                <w:bCs/>
                <w:lang w:val="it-IT"/>
              </w:rPr>
              <w:t>NGP</w:t>
            </w:r>
            <w:r w:rsidRPr="00D01DED">
              <w:rPr>
                <w:lang w:val="it-IT"/>
              </w:rPr>
              <w:t>”)</w:t>
            </w:r>
          </w:p>
          <w:p w14:paraId="785716A4" w14:textId="742AD1C4" w:rsidR="007727A2" w:rsidRPr="00D01DED" w:rsidRDefault="007727A2" w:rsidP="00B65B5C">
            <w:pPr>
              <w:spacing w:after="0"/>
              <w:rPr>
                <w:lang w:val="it-IT"/>
              </w:rPr>
            </w:pPr>
          </w:p>
        </w:tc>
      </w:tr>
      <w:tr w:rsidR="007727A2" w:rsidRPr="00D01DED" w14:paraId="4BE6E8C0" w14:textId="77777777" w:rsidTr="00B65B5C">
        <w:tc>
          <w:tcPr>
            <w:tcW w:w="4748" w:type="dxa"/>
          </w:tcPr>
          <w:p w14:paraId="691F1F93" w14:textId="48136EC2" w:rsidR="007727A2" w:rsidRPr="00D01DED" w:rsidRDefault="007727A2" w:rsidP="00B65B5C">
            <w:pPr>
              <w:rPr>
                <w:b/>
                <w:bCs/>
              </w:rPr>
            </w:pPr>
            <w:r w:rsidRPr="00D01DED">
              <w:rPr>
                <w:b/>
                <w:bCs/>
              </w:rPr>
              <w:t>a</w:t>
            </w:r>
          </w:p>
        </w:tc>
        <w:tc>
          <w:tcPr>
            <w:tcW w:w="4750" w:type="dxa"/>
          </w:tcPr>
          <w:p w14:paraId="6A0B3B18" w14:textId="04B40176" w:rsidR="007727A2" w:rsidRPr="00D01DED" w:rsidRDefault="007727A2" w:rsidP="00B65B5C">
            <w:pPr>
              <w:rPr>
                <w:b/>
                <w:bCs/>
              </w:rPr>
            </w:pPr>
            <w:r w:rsidRPr="00D01DED">
              <w:rPr>
                <w:b/>
                <w:bCs/>
              </w:rPr>
              <w:t>e</w:t>
            </w:r>
          </w:p>
        </w:tc>
      </w:tr>
      <w:tr w:rsidR="007727A2" w:rsidRPr="00D01DED" w14:paraId="62914B4C" w14:textId="77777777" w:rsidTr="00B65B5C">
        <w:tc>
          <w:tcPr>
            <w:tcW w:w="4748" w:type="dxa"/>
          </w:tcPr>
          <w:p w14:paraId="0F019408" w14:textId="77777777" w:rsidR="007727A2" w:rsidRPr="00D01DED" w:rsidRDefault="007727A2" w:rsidP="00B65B5C">
            <w:pPr>
              <w:spacing w:after="0" w:line="240" w:lineRule="auto"/>
              <w:rPr>
                <w:rFonts w:eastAsia="Times New Roman" w:cs="Arial"/>
                <w:b/>
                <w:color w:val="000000"/>
                <w:szCs w:val="20"/>
                <w:lang w:eastAsia="cs-CZ"/>
              </w:rPr>
            </w:pPr>
            <w:r w:rsidRPr="00D01DED">
              <w:rPr>
                <w:rFonts w:eastAsia="Times New Roman" w:cs="Arial"/>
                <w:b/>
                <w:color w:val="000000"/>
                <w:szCs w:val="20"/>
                <w:lang w:eastAsia="cs-CZ"/>
              </w:rPr>
              <w:t>CandC architettura ingegneria srls</w:t>
            </w:r>
          </w:p>
          <w:p w14:paraId="4A98BBEA" w14:textId="77777777" w:rsidR="007727A2" w:rsidRPr="00D01DED" w:rsidRDefault="007727A2" w:rsidP="00B65B5C">
            <w:pPr>
              <w:spacing w:after="0" w:line="240" w:lineRule="auto"/>
              <w:rPr>
                <w:rFonts w:eastAsia="Times New Roman" w:cs="Arial"/>
                <w:color w:val="000000"/>
                <w:szCs w:val="20"/>
                <w:lang w:eastAsia="cs-CZ"/>
              </w:rPr>
            </w:pPr>
            <w:r w:rsidRPr="00D01DED">
              <w:rPr>
                <w:rFonts w:eastAsia="Times New Roman" w:cs="Arial"/>
                <w:color w:val="000000"/>
                <w:szCs w:val="20"/>
                <w:lang w:eastAsia="cs-CZ"/>
              </w:rPr>
              <w:t>se sídlem v Benátkách (Venezia), Dorsoduro 809,</w:t>
            </w:r>
            <w:r w:rsidRPr="00D01DED">
              <w:rPr>
                <w:rFonts w:eastAsia="Times New Roman" w:cs="Arial"/>
                <w:color w:val="000000"/>
                <w:szCs w:val="20"/>
                <w:lang w:eastAsia="cs-CZ"/>
              </w:rPr>
              <w:br/>
              <w:t>DIČ 04521850273,</w:t>
            </w:r>
          </w:p>
          <w:p w14:paraId="606DE502" w14:textId="77777777" w:rsidR="007727A2" w:rsidRPr="00D01DED" w:rsidRDefault="007727A2" w:rsidP="00B65B5C">
            <w:pPr>
              <w:spacing w:after="0" w:line="240" w:lineRule="auto"/>
              <w:rPr>
                <w:rFonts w:eastAsia="Times New Roman" w:cs="Arial"/>
                <w:color w:val="000000"/>
                <w:szCs w:val="20"/>
                <w:lang w:eastAsia="cs-CZ"/>
              </w:rPr>
            </w:pPr>
            <w:r w:rsidRPr="00D01DED">
              <w:rPr>
                <w:rFonts w:eastAsia="Times New Roman" w:cs="Arial"/>
                <w:color w:val="000000"/>
                <w:szCs w:val="20"/>
                <w:lang w:eastAsia="cs-CZ"/>
              </w:rPr>
              <w:t>zapsaná v obchodním rejstříku a REA pod číslem VE 423679</w:t>
            </w:r>
          </w:p>
          <w:p w14:paraId="72F7783B" w14:textId="77777777" w:rsidR="007727A2" w:rsidRPr="00D01DED" w:rsidRDefault="007727A2" w:rsidP="00B65B5C">
            <w:pPr>
              <w:spacing w:after="0" w:line="240" w:lineRule="auto"/>
              <w:rPr>
                <w:rFonts w:eastAsia="Times New Roman" w:cs="Arial"/>
                <w:color w:val="000000"/>
                <w:szCs w:val="20"/>
                <w:lang w:eastAsia="cs-CZ"/>
              </w:rPr>
            </w:pPr>
            <w:r w:rsidRPr="00D01DED">
              <w:rPr>
                <w:rFonts w:eastAsia="Times New Roman" w:cs="Arial"/>
                <w:color w:val="000000"/>
                <w:szCs w:val="20"/>
                <w:lang w:eastAsia="cs-CZ"/>
              </w:rPr>
              <w:t>Zastoupená  Luisou Flora,</w:t>
            </w:r>
          </w:p>
          <w:p w14:paraId="1ACC6EF7" w14:textId="5E7FD770" w:rsidR="007727A2" w:rsidRPr="00D01DED" w:rsidRDefault="007727A2" w:rsidP="00B65B5C">
            <w:pPr>
              <w:spacing w:after="0" w:line="240" w:lineRule="auto"/>
              <w:rPr>
                <w:rFonts w:eastAsia="Times New Roman" w:cs="Arial"/>
                <w:color w:val="000000"/>
                <w:szCs w:val="20"/>
                <w:lang w:eastAsia="cs-CZ"/>
              </w:rPr>
            </w:pPr>
            <w:r w:rsidRPr="00D01DED">
              <w:rPr>
                <w:rFonts w:eastAsia="Times New Roman" w:cs="Arial"/>
                <w:color w:val="000000"/>
                <w:szCs w:val="20"/>
                <w:lang w:eastAsia="cs-CZ"/>
              </w:rPr>
              <w:t xml:space="preserve">narozenou </w:t>
            </w:r>
            <w:r w:rsidR="008F1B2D">
              <w:rPr>
                <w:rFonts w:eastAsia="Times New Roman" w:cs="Arial"/>
                <w:color w:val="000000"/>
                <w:szCs w:val="20"/>
                <w:lang w:eastAsia="cs-CZ"/>
              </w:rPr>
              <w:t>XX</w:t>
            </w:r>
            <w:r w:rsidRPr="00D01DED">
              <w:rPr>
                <w:rFonts w:eastAsia="Times New Roman" w:cs="Arial"/>
                <w:color w:val="000000"/>
                <w:szCs w:val="20"/>
                <w:lang w:eastAsia="cs-CZ"/>
              </w:rPr>
              <w:t>.</w:t>
            </w:r>
            <w:r w:rsidR="008F1B2D">
              <w:rPr>
                <w:rFonts w:eastAsia="Times New Roman" w:cs="Arial"/>
                <w:color w:val="000000"/>
                <w:szCs w:val="20"/>
                <w:lang w:eastAsia="cs-CZ"/>
              </w:rPr>
              <w:t>X</w:t>
            </w:r>
            <w:r w:rsidRPr="00D01DED">
              <w:rPr>
                <w:rFonts w:eastAsia="Times New Roman" w:cs="Arial"/>
                <w:color w:val="000000"/>
                <w:szCs w:val="20"/>
                <w:lang w:eastAsia="cs-CZ"/>
              </w:rPr>
              <w:t>.</w:t>
            </w:r>
            <w:r w:rsidR="008F1B2D">
              <w:rPr>
                <w:rFonts w:eastAsia="Times New Roman" w:cs="Arial"/>
                <w:color w:val="000000"/>
                <w:szCs w:val="20"/>
                <w:lang w:eastAsia="cs-CZ"/>
              </w:rPr>
              <w:t>XXXX</w:t>
            </w:r>
            <w:r w:rsidRPr="00D01DED">
              <w:rPr>
                <w:rFonts w:eastAsia="Times New Roman" w:cs="Arial"/>
                <w:color w:val="000000"/>
                <w:szCs w:val="20"/>
                <w:lang w:eastAsia="cs-CZ"/>
              </w:rPr>
              <w:t xml:space="preserve"> v </w:t>
            </w:r>
            <w:r w:rsidR="008F1B2D">
              <w:rPr>
                <w:rFonts w:eastAsia="Times New Roman" w:cs="Arial"/>
                <w:color w:val="000000"/>
                <w:szCs w:val="20"/>
                <w:lang w:eastAsia="cs-CZ"/>
              </w:rPr>
              <w:t>XXXXXX</w:t>
            </w:r>
            <w:r w:rsidRPr="00D01DED">
              <w:rPr>
                <w:rFonts w:eastAsia="Times New Roman" w:cs="Arial"/>
                <w:color w:val="000000"/>
                <w:szCs w:val="20"/>
                <w:lang w:eastAsia="cs-CZ"/>
              </w:rPr>
              <w:t xml:space="preserve"> a bytem v Benátkách,</w:t>
            </w:r>
          </w:p>
          <w:p w14:paraId="2FC9B334" w14:textId="76DCB501" w:rsidR="007727A2" w:rsidRPr="00D01DED" w:rsidRDefault="00770438" w:rsidP="00B65B5C">
            <w:pPr>
              <w:spacing w:after="0" w:line="240" w:lineRule="auto"/>
              <w:rPr>
                <w:rFonts w:eastAsia="Times New Roman" w:cs="Arial"/>
                <w:color w:val="000000"/>
                <w:szCs w:val="20"/>
                <w:lang w:eastAsia="cs-CZ"/>
              </w:rPr>
            </w:pPr>
            <w:r>
              <w:rPr>
                <w:rFonts w:eastAsia="Times New Roman" w:cs="Arial"/>
                <w:color w:val="000000"/>
                <w:szCs w:val="20"/>
                <w:lang w:eastAsia="cs-CZ"/>
              </w:rPr>
              <w:t>XXXXXXXXXXX</w:t>
            </w:r>
            <w:r w:rsidR="007727A2" w:rsidRPr="00D01DED">
              <w:rPr>
                <w:rFonts w:eastAsia="Times New Roman" w:cs="Arial"/>
                <w:color w:val="000000"/>
                <w:szCs w:val="20"/>
                <w:lang w:eastAsia="cs-CZ"/>
              </w:rPr>
              <w:t>, daňové identifikační číslo FLRLSU70C64L424N.</w:t>
            </w:r>
          </w:p>
          <w:p w14:paraId="67EC9194" w14:textId="77777777" w:rsidR="007727A2" w:rsidRPr="00D01DED" w:rsidRDefault="007727A2" w:rsidP="00B65B5C">
            <w:pPr>
              <w:spacing w:after="0" w:line="240" w:lineRule="auto"/>
              <w:rPr>
                <w:rFonts w:cs="Arial"/>
                <w:szCs w:val="20"/>
              </w:rPr>
            </w:pPr>
          </w:p>
          <w:p w14:paraId="0B626EF0" w14:textId="053F2397" w:rsidR="007727A2" w:rsidRPr="00D01DED" w:rsidRDefault="007727A2" w:rsidP="00B65B5C">
            <w:pPr>
              <w:rPr>
                <w:rFonts w:cs="Arial"/>
                <w:bCs/>
                <w:szCs w:val="20"/>
              </w:rPr>
            </w:pPr>
            <w:r w:rsidRPr="00D01DED">
              <w:rPr>
                <w:rFonts w:cs="Arial"/>
                <w:szCs w:val="20"/>
              </w:rPr>
              <w:t>(dále jen „</w:t>
            </w:r>
            <w:r w:rsidRPr="00D01DED">
              <w:rPr>
                <w:rFonts w:cs="Arial"/>
                <w:b/>
                <w:bCs/>
                <w:szCs w:val="20"/>
              </w:rPr>
              <w:t>Zhotovitel“</w:t>
            </w:r>
            <w:r w:rsidRPr="00D01DED">
              <w:rPr>
                <w:rFonts w:cs="Arial"/>
                <w:bCs/>
                <w:szCs w:val="20"/>
              </w:rPr>
              <w:t>)</w:t>
            </w:r>
          </w:p>
        </w:tc>
        <w:tc>
          <w:tcPr>
            <w:tcW w:w="4750" w:type="dxa"/>
          </w:tcPr>
          <w:p w14:paraId="57AF0010" w14:textId="77777777" w:rsidR="007727A2" w:rsidRPr="00D01DED" w:rsidRDefault="007727A2" w:rsidP="00B65B5C">
            <w:pPr>
              <w:spacing w:after="0"/>
              <w:rPr>
                <w:b/>
                <w:bCs/>
              </w:rPr>
            </w:pPr>
            <w:r w:rsidRPr="00D01DED">
              <w:rPr>
                <w:b/>
                <w:bCs/>
              </w:rPr>
              <w:t>CandC architettura ingegneria srls</w:t>
            </w:r>
          </w:p>
          <w:p w14:paraId="6FA24CD6" w14:textId="77777777" w:rsidR="007727A2" w:rsidRPr="00D01DED" w:rsidRDefault="007727A2" w:rsidP="00B65B5C">
            <w:pPr>
              <w:spacing w:after="0"/>
            </w:pPr>
            <w:r w:rsidRPr="00D01DED">
              <w:t>con sede a Venezia, Dorsoduro 809,</w:t>
            </w:r>
          </w:p>
          <w:p w14:paraId="406AA494" w14:textId="77777777" w:rsidR="007727A2" w:rsidRPr="00D01DED" w:rsidRDefault="007727A2" w:rsidP="00B65B5C">
            <w:pPr>
              <w:spacing w:after="0"/>
            </w:pPr>
            <w:r w:rsidRPr="00D01DED">
              <w:t>P.IVA 04521850273,</w:t>
            </w:r>
          </w:p>
          <w:p w14:paraId="56389EE7" w14:textId="77777777" w:rsidR="007727A2" w:rsidRPr="00D01DED" w:rsidRDefault="007727A2" w:rsidP="00B65B5C">
            <w:pPr>
              <w:spacing w:after="0"/>
            </w:pPr>
            <w:r w:rsidRPr="00D01DED">
              <w:t>iscritta al Registro delle Imprese e numero REA VE 423679</w:t>
            </w:r>
          </w:p>
          <w:p w14:paraId="5534D54A" w14:textId="77777777" w:rsidR="007727A2" w:rsidRPr="00D01DED" w:rsidRDefault="007727A2" w:rsidP="00B65B5C">
            <w:pPr>
              <w:spacing w:after="0"/>
            </w:pPr>
            <w:r w:rsidRPr="00D01DED">
              <w:t>a nome di cui agisce Luisa Flora,</w:t>
            </w:r>
          </w:p>
          <w:p w14:paraId="66E75BC3" w14:textId="35998B40" w:rsidR="007727A2" w:rsidRPr="00D01DED" w:rsidRDefault="007727A2" w:rsidP="00B65B5C">
            <w:pPr>
              <w:spacing w:after="0"/>
            </w:pPr>
            <w:r w:rsidRPr="00D01DED">
              <w:t xml:space="preserve">nata il </w:t>
            </w:r>
            <w:r w:rsidR="00770438">
              <w:t>XX</w:t>
            </w:r>
            <w:r w:rsidRPr="00D01DED">
              <w:t>/</w:t>
            </w:r>
            <w:r w:rsidR="00770438">
              <w:t>X</w:t>
            </w:r>
            <w:r w:rsidRPr="00D01DED">
              <w:t>/</w:t>
            </w:r>
            <w:r w:rsidR="006F55FC">
              <w:t xml:space="preserve">XXXX </w:t>
            </w:r>
            <w:r w:rsidRPr="00D01DED">
              <w:t xml:space="preserve">a </w:t>
            </w:r>
            <w:r w:rsidR="006F55FC">
              <w:t>XXXXXX</w:t>
            </w:r>
            <w:r w:rsidRPr="00D01DED">
              <w:t xml:space="preserve"> e residente a Venezia,</w:t>
            </w:r>
          </w:p>
          <w:p w14:paraId="54B8268C" w14:textId="316D4D34" w:rsidR="007727A2" w:rsidRPr="00D01DED" w:rsidRDefault="006F55FC" w:rsidP="00B65B5C">
            <w:pPr>
              <w:spacing w:after="0"/>
            </w:pPr>
            <w:r>
              <w:t>XXXXXXXXXX</w:t>
            </w:r>
            <w:r w:rsidR="007727A2" w:rsidRPr="00D01DED">
              <w:t>, codice fiscale FLRLSU70C64L424N.</w:t>
            </w:r>
          </w:p>
          <w:p w14:paraId="37ABB97A" w14:textId="77777777" w:rsidR="007727A2" w:rsidRPr="00D01DED" w:rsidRDefault="007727A2" w:rsidP="00B65B5C">
            <w:pPr>
              <w:spacing w:after="0"/>
            </w:pPr>
          </w:p>
          <w:p w14:paraId="51F75762" w14:textId="77777777" w:rsidR="007727A2" w:rsidRPr="00D01DED" w:rsidRDefault="007727A2" w:rsidP="00B65B5C">
            <w:pPr>
              <w:spacing w:after="0"/>
            </w:pPr>
            <w:r w:rsidRPr="00D01DED">
              <w:t>(nel prosieguo “</w:t>
            </w:r>
            <w:r w:rsidRPr="00D01DED">
              <w:rPr>
                <w:b/>
                <w:bCs/>
              </w:rPr>
              <w:t>Appaltatore</w:t>
            </w:r>
            <w:r w:rsidRPr="00D01DED">
              <w:t>”)</w:t>
            </w:r>
          </w:p>
          <w:p w14:paraId="5A46A0BD" w14:textId="46357159" w:rsidR="007727A2" w:rsidRPr="00D01DED" w:rsidRDefault="007727A2" w:rsidP="00B65B5C">
            <w:pPr>
              <w:spacing w:after="0"/>
            </w:pPr>
          </w:p>
        </w:tc>
      </w:tr>
      <w:tr w:rsidR="007727A2" w:rsidRPr="00D01DED" w14:paraId="38F002E5" w14:textId="77777777" w:rsidTr="00B65B5C">
        <w:tc>
          <w:tcPr>
            <w:tcW w:w="4748" w:type="dxa"/>
          </w:tcPr>
          <w:p w14:paraId="1F82B6EF" w14:textId="1AA9BAA7" w:rsidR="007727A2" w:rsidRPr="00D01DED" w:rsidRDefault="007727A2" w:rsidP="00B65B5C">
            <w:pPr>
              <w:pStyle w:val="Standard"/>
              <w:spacing w:after="360"/>
              <w:rPr>
                <w:rFonts w:ascii="Georgia" w:hAnsi="Georgia" w:cs="Arial"/>
                <w:sz w:val="20"/>
                <w:szCs w:val="20"/>
              </w:rPr>
            </w:pPr>
            <w:r w:rsidRPr="00D01DED">
              <w:rPr>
                <w:rFonts w:ascii="Georgia" w:hAnsi="Georgia" w:cs="Arial"/>
                <w:sz w:val="20"/>
                <w:szCs w:val="20"/>
              </w:rPr>
              <w:t>(Objednatel a Zhotovitel dále společně též jako „</w:t>
            </w:r>
            <w:r w:rsidRPr="00D01DED">
              <w:rPr>
                <w:rFonts w:ascii="Georgia" w:hAnsi="Georgia" w:cs="Arial"/>
                <w:b/>
                <w:sz w:val="20"/>
                <w:szCs w:val="20"/>
              </w:rPr>
              <w:t>Smluvní strany</w:t>
            </w:r>
            <w:r w:rsidRPr="00D01DED">
              <w:rPr>
                <w:rFonts w:ascii="Georgia" w:hAnsi="Georgia" w:cs="Arial"/>
                <w:sz w:val="20"/>
                <w:szCs w:val="20"/>
              </w:rPr>
              <w:t>“ a jednotlivě jako „</w:t>
            </w:r>
            <w:r w:rsidRPr="00D01DED">
              <w:rPr>
                <w:rFonts w:ascii="Georgia" w:hAnsi="Georgia" w:cs="Arial"/>
                <w:b/>
                <w:sz w:val="20"/>
                <w:szCs w:val="20"/>
              </w:rPr>
              <w:t>Smluvní strana</w:t>
            </w:r>
            <w:r w:rsidRPr="00D01DED">
              <w:rPr>
                <w:rFonts w:ascii="Georgia" w:hAnsi="Georgia" w:cs="Arial"/>
                <w:sz w:val="20"/>
                <w:szCs w:val="20"/>
              </w:rPr>
              <w:t>“)</w:t>
            </w:r>
          </w:p>
        </w:tc>
        <w:tc>
          <w:tcPr>
            <w:tcW w:w="4750" w:type="dxa"/>
          </w:tcPr>
          <w:p w14:paraId="6E7B963F" w14:textId="77777777" w:rsidR="007727A2" w:rsidRPr="00D01DED" w:rsidRDefault="007727A2" w:rsidP="00B65B5C">
            <w:r w:rsidRPr="00D01DED">
              <w:t>(il Committente e l’Appaltatore sono nel prosieguo menzionati anche solo come “</w:t>
            </w:r>
            <w:r w:rsidRPr="00D01DED">
              <w:rPr>
                <w:b/>
                <w:bCs/>
              </w:rPr>
              <w:t>Parti contraenti</w:t>
            </w:r>
            <w:r w:rsidRPr="00D01DED">
              <w:t>” o al singolare “</w:t>
            </w:r>
            <w:r w:rsidRPr="00D01DED">
              <w:rPr>
                <w:b/>
                <w:bCs/>
              </w:rPr>
              <w:t>Parte contraente</w:t>
            </w:r>
            <w:r w:rsidRPr="00D01DED">
              <w:t>”)</w:t>
            </w:r>
          </w:p>
          <w:p w14:paraId="74B0AD29" w14:textId="39B4F72F" w:rsidR="007727A2" w:rsidRPr="00D01DED" w:rsidRDefault="007727A2" w:rsidP="00B65B5C"/>
        </w:tc>
      </w:tr>
      <w:tr w:rsidR="007727A2" w:rsidRPr="00D01DED" w14:paraId="00541F89" w14:textId="77777777" w:rsidTr="00B65B5C">
        <w:tc>
          <w:tcPr>
            <w:tcW w:w="4748" w:type="dxa"/>
          </w:tcPr>
          <w:p w14:paraId="4D5630F5" w14:textId="73D0BA6C" w:rsidR="007727A2" w:rsidRPr="00D01DED" w:rsidRDefault="007727A2" w:rsidP="00B65B5C">
            <w:pPr>
              <w:rPr>
                <w:b/>
                <w:bCs/>
              </w:rPr>
            </w:pPr>
            <w:r w:rsidRPr="00D01DED">
              <w:rPr>
                <w:b/>
                <w:bCs/>
              </w:rPr>
              <w:lastRenderedPageBreak/>
              <w:t>Článek I.</w:t>
            </w:r>
            <w:r w:rsidRPr="00D01DED">
              <w:rPr>
                <w:b/>
                <w:bCs/>
              </w:rPr>
              <w:br/>
            </w:r>
            <w:r w:rsidRPr="00D01DED">
              <w:rPr>
                <w:b/>
                <w:bCs/>
                <w:caps/>
              </w:rPr>
              <w:t>Úvodní ustanovení</w:t>
            </w:r>
          </w:p>
        </w:tc>
        <w:tc>
          <w:tcPr>
            <w:tcW w:w="4750" w:type="dxa"/>
          </w:tcPr>
          <w:p w14:paraId="7EA0F7EC" w14:textId="57C3E20D" w:rsidR="007727A2" w:rsidRPr="00D01DED" w:rsidRDefault="007B028C" w:rsidP="00B65B5C">
            <w:pPr>
              <w:rPr>
                <w:b/>
                <w:bCs/>
              </w:rPr>
            </w:pPr>
            <w:r w:rsidRPr="00D01DED">
              <w:rPr>
                <w:b/>
                <w:bCs/>
              </w:rPr>
              <w:t>Articolo I.</w:t>
            </w:r>
            <w:r w:rsidRPr="00D01DED">
              <w:rPr>
                <w:b/>
                <w:bCs/>
              </w:rPr>
              <w:br/>
            </w:r>
            <w:r w:rsidRPr="00D01DED">
              <w:rPr>
                <w:b/>
                <w:bCs/>
                <w:caps/>
              </w:rPr>
              <w:t>Disposizioni introduttive</w:t>
            </w:r>
          </w:p>
        </w:tc>
      </w:tr>
      <w:tr w:rsidR="007727A2" w:rsidRPr="00D01DED" w14:paraId="6F3E8D55" w14:textId="77777777" w:rsidTr="00B65B5C">
        <w:tc>
          <w:tcPr>
            <w:tcW w:w="4748" w:type="dxa"/>
          </w:tcPr>
          <w:p w14:paraId="56D6928F" w14:textId="77777777" w:rsidR="007727A2" w:rsidRPr="00D01DED" w:rsidRDefault="007727A2" w:rsidP="00B65B5C">
            <w:pPr>
              <w:pStyle w:val="Default"/>
              <w:numPr>
                <w:ilvl w:val="1"/>
                <w:numId w:val="1"/>
              </w:numPr>
              <w:ind w:left="454" w:hanging="454"/>
              <w:rPr>
                <w:rFonts w:ascii="Georgia" w:hAnsi="Georgia" w:cs="Arial"/>
                <w:sz w:val="20"/>
                <w:szCs w:val="20"/>
              </w:rPr>
            </w:pPr>
            <w:r w:rsidRPr="00D01DED">
              <w:rPr>
                <w:rFonts w:ascii="Georgia" w:hAnsi="Georgia" w:cs="Arial"/>
                <w:sz w:val="20"/>
                <w:szCs w:val="20"/>
              </w:rPr>
              <w:t>Smluvní strany uzavřely dne 27. května 2022 smlouvu o dílo č. NG/537/2022 ve znění dodatku č. 1 ze dne 22.12.2022 č. NG/1728/2022 (dále jen jako „</w:t>
            </w:r>
            <w:r w:rsidRPr="00D01DED">
              <w:rPr>
                <w:rFonts w:ascii="Georgia" w:hAnsi="Georgia" w:cs="Arial"/>
                <w:b/>
                <w:sz w:val="20"/>
                <w:szCs w:val="20"/>
              </w:rPr>
              <w:t>Smlouva</w:t>
            </w:r>
            <w:r w:rsidRPr="00D01DED">
              <w:rPr>
                <w:rFonts w:ascii="Georgia" w:hAnsi="Georgia" w:cs="Arial"/>
                <w:sz w:val="20"/>
                <w:szCs w:val="20"/>
              </w:rPr>
              <w:t>“), na základě které se Zhotovitel zavázal dodat Objednateli projektovou přípravu rekonstrukce pavilonu České a Slovenské republiky v Benátkách v rozsahu vymezeném čl. II Smlouvy a v termínech uvedených v čl. III odst. 3.3 Smlouvy (dále jen jako „</w:t>
            </w:r>
            <w:r w:rsidRPr="00D01DED">
              <w:rPr>
                <w:rFonts w:ascii="Georgia" w:hAnsi="Georgia" w:cs="Arial"/>
                <w:b/>
                <w:bCs/>
                <w:sz w:val="20"/>
                <w:szCs w:val="20"/>
              </w:rPr>
              <w:t>Dílo</w:t>
            </w:r>
            <w:r w:rsidRPr="00D01DED">
              <w:rPr>
                <w:rFonts w:ascii="Georgia" w:hAnsi="Georgia" w:cs="Arial"/>
                <w:sz w:val="20"/>
                <w:szCs w:val="20"/>
              </w:rPr>
              <w:t>“).</w:t>
            </w:r>
          </w:p>
          <w:p w14:paraId="699F4268" w14:textId="77777777" w:rsidR="007727A2" w:rsidRPr="00D01DED" w:rsidRDefault="007727A2" w:rsidP="00B65B5C"/>
        </w:tc>
        <w:tc>
          <w:tcPr>
            <w:tcW w:w="4750" w:type="dxa"/>
          </w:tcPr>
          <w:p w14:paraId="5A664170" w14:textId="77777777" w:rsidR="007727A2" w:rsidRPr="00D01DED" w:rsidRDefault="007B028C" w:rsidP="00B65B5C">
            <w:pPr>
              <w:pStyle w:val="Default"/>
              <w:numPr>
                <w:ilvl w:val="1"/>
                <w:numId w:val="9"/>
              </w:numPr>
              <w:suppressAutoHyphens/>
              <w:autoSpaceDE/>
              <w:autoSpaceDN/>
              <w:adjustRightInd/>
              <w:ind w:left="454" w:hanging="454"/>
            </w:pPr>
            <w:r w:rsidRPr="00D01DED">
              <w:rPr>
                <w:rFonts w:ascii="Georgia" w:hAnsi="Georgia"/>
                <w:sz w:val="20"/>
              </w:rPr>
              <w:t>In data 27 maggio 2022 le Parti contraenti hanno stipulato il contratto di prestazione d’opera n. NG/537/2022 secondo il testo dell’appendice n. 1 del 22/12/2022 n. NG/1728/2022 (nel prosieguo “</w:t>
            </w:r>
            <w:r w:rsidRPr="00D01DED">
              <w:rPr>
                <w:rFonts w:ascii="Georgia" w:hAnsi="Georgia"/>
                <w:b/>
                <w:bCs/>
                <w:sz w:val="20"/>
              </w:rPr>
              <w:t>Contratto</w:t>
            </w:r>
            <w:r w:rsidRPr="00D01DED">
              <w:rPr>
                <w:rFonts w:ascii="Georgia" w:hAnsi="Georgia"/>
                <w:sz w:val="20"/>
              </w:rPr>
              <w:t>”) sulla scorta del quale l’Appaltatore si è impegnato a fornire al Committente la preparazione progettuale della ricostruzione del padiglione della Repubblica Ceca e Slovacca a Venezia, nei limiti di quanto specificato all’art. II del Contratto e nel rispetto dei termini di consegna di cui all’art. III, comma 3.3 del Contratto (nel prosieguo “</w:t>
            </w:r>
            <w:r w:rsidRPr="00D01DED">
              <w:rPr>
                <w:rFonts w:ascii="Georgia" w:hAnsi="Georgia"/>
                <w:b/>
                <w:bCs/>
                <w:sz w:val="20"/>
              </w:rPr>
              <w:t>Opera</w:t>
            </w:r>
            <w:r w:rsidRPr="00D01DED">
              <w:rPr>
                <w:rFonts w:ascii="Georgia" w:hAnsi="Georgia"/>
                <w:sz w:val="20"/>
              </w:rPr>
              <w:t>”).</w:t>
            </w:r>
          </w:p>
          <w:p w14:paraId="1DC37A7B" w14:textId="79E8287D" w:rsidR="00B65B5C" w:rsidRPr="00D01DED" w:rsidRDefault="00B65B5C" w:rsidP="00B65B5C">
            <w:pPr>
              <w:pStyle w:val="Default"/>
              <w:suppressAutoHyphens/>
              <w:autoSpaceDE/>
              <w:autoSpaceDN/>
              <w:adjustRightInd/>
              <w:ind w:left="454"/>
            </w:pPr>
          </w:p>
        </w:tc>
      </w:tr>
      <w:tr w:rsidR="007727A2" w:rsidRPr="00D01DED" w14:paraId="212FCBAD" w14:textId="77777777" w:rsidTr="00B65B5C">
        <w:tc>
          <w:tcPr>
            <w:tcW w:w="4748" w:type="dxa"/>
          </w:tcPr>
          <w:p w14:paraId="0A431CD5" w14:textId="2E9D6317" w:rsidR="007727A2" w:rsidRPr="00D01DED" w:rsidRDefault="007727A2" w:rsidP="00B65B5C">
            <w:pPr>
              <w:pStyle w:val="Default"/>
              <w:numPr>
                <w:ilvl w:val="1"/>
                <w:numId w:val="9"/>
              </w:numPr>
              <w:ind w:left="454" w:hanging="454"/>
              <w:rPr>
                <w:rFonts w:ascii="Georgia" w:hAnsi="Georgia" w:cs="Arial"/>
                <w:sz w:val="20"/>
                <w:szCs w:val="20"/>
              </w:rPr>
            </w:pPr>
            <w:r w:rsidRPr="00D01DED">
              <w:rPr>
                <w:rFonts w:ascii="Georgia" w:hAnsi="Georgia" w:cs="Arial"/>
                <w:sz w:val="20"/>
                <w:szCs w:val="20"/>
              </w:rPr>
              <w:t>Vzhledem k tomu, že si realizace Díla dle Smlouvy vyžádala vícepráce, vzniklé dodatečnou úpravou projektové dokumentace</w:t>
            </w:r>
            <w:r w:rsidR="00B65B5C" w:rsidRPr="00D01DED">
              <w:rPr>
                <w:rFonts w:ascii="Georgia" w:hAnsi="Georgia" w:cs="Arial"/>
                <w:sz w:val="20"/>
                <w:szCs w:val="20"/>
              </w:rPr>
              <w:t xml:space="preserve"> </w:t>
            </w:r>
            <w:r w:rsidRPr="00D01DED">
              <w:rPr>
                <w:rFonts w:ascii="Georgia" w:hAnsi="Georgia" w:cs="Arial"/>
                <w:sz w:val="20"/>
                <w:szCs w:val="20"/>
              </w:rPr>
              <w:t>s ohledem na nemožnost</w:t>
            </w:r>
            <w:r w:rsidR="00B65B5C" w:rsidRPr="00D01DED">
              <w:rPr>
                <w:rFonts w:ascii="Georgia" w:hAnsi="Georgia" w:cs="Arial"/>
                <w:sz w:val="20"/>
                <w:szCs w:val="20"/>
              </w:rPr>
              <w:t xml:space="preserve"> realizace původně požadovaných technických parametrů vzduchotechniky</w:t>
            </w:r>
            <w:r w:rsidRPr="00D01DED">
              <w:rPr>
                <w:rFonts w:ascii="Georgia" w:hAnsi="Georgia" w:cs="Arial"/>
                <w:sz w:val="20"/>
                <w:szCs w:val="20"/>
              </w:rPr>
              <w:t>, přistoupily Smluvní strany k uzavření tohoto Dodatku č. 2 (dále jen jako „</w:t>
            </w:r>
            <w:r w:rsidRPr="00D01DED">
              <w:rPr>
                <w:rFonts w:ascii="Georgia" w:hAnsi="Georgia" w:cs="Arial"/>
                <w:b/>
                <w:bCs/>
                <w:sz w:val="20"/>
                <w:szCs w:val="20"/>
              </w:rPr>
              <w:t>Dodatek</w:t>
            </w:r>
            <w:r w:rsidRPr="00D01DED">
              <w:rPr>
                <w:rFonts w:ascii="Georgia" w:hAnsi="Georgia" w:cs="Arial"/>
                <w:sz w:val="20"/>
                <w:szCs w:val="20"/>
              </w:rPr>
              <w:t xml:space="preserve">“).  </w:t>
            </w:r>
          </w:p>
          <w:p w14:paraId="4B1F8C45" w14:textId="77777777" w:rsidR="007727A2" w:rsidRPr="00D01DED" w:rsidRDefault="007727A2" w:rsidP="00B65B5C"/>
        </w:tc>
        <w:tc>
          <w:tcPr>
            <w:tcW w:w="4750" w:type="dxa"/>
          </w:tcPr>
          <w:p w14:paraId="14552316" w14:textId="2E91DF90" w:rsidR="007727A2" w:rsidRPr="00D01DED" w:rsidRDefault="007B028C" w:rsidP="00B65B5C">
            <w:pPr>
              <w:pStyle w:val="Odstavecseseznamem"/>
              <w:numPr>
                <w:ilvl w:val="1"/>
                <w:numId w:val="10"/>
              </w:numPr>
              <w:ind w:left="454" w:hanging="454"/>
            </w:pPr>
            <w:r w:rsidRPr="00D01DED">
              <w:t>Dato che la realizzazione dell’Opera secondo il Contratto ha richiesto lavori ulteriori, per via di adattamenti aggiuntivi della documentazione di progetto alla luce della impossibilità</w:t>
            </w:r>
            <w:r w:rsidR="004036B5" w:rsidRPr="00D01DED">
              <w:t xml:space="preserve"> di realizzare i parametri tecnici originariamente richiesti della climatizzazione</w:t>
            </w:r>
            <w:r w:rsidRPr="00D01DED">
              <w:t>, le Parti contraenti hanno deciso di stipulare la presente Appendice n. 2 (nel prosieguo “</w:t>
            </w:r>
            <w:r w:rsidRPr="00D01DED">
              <w:rPr>
                <w:b/>
                <w:bCs/>
              </w:rPr>
              <w:t>Appendice</w:t>
            </w:r>
            <w:r w:rsidRPr="00D01DED">
              <w:t xml:space="preserve">”).  </w:t>
            </w:r>
          </w:p>
        </w:tc>
      </w:tr>
      <w:tr w:rsidR="007727A2" w:rsidRPr="00D01DED" w14:paraId="27240429" w14:textId="77777777" w:rsidTr="00B65B5C">
        <w:tc>
          <w:tcPr>
            <w:tcW w:w="4748" w:type="dxa"/>
          </w:tcPr>
          <w:p w14:paraId="6CEE3553" w14:textId="06755DF2" w:rsidR="007727A2" w:rsidRPr="00D01DED" w:rsidRDefault="007727A2" w:rsidP="00B65B5C">
            <w:pPr>
              <w:rPr>
                <w:b/>
                <w:bCs/>
              </w:rPr>
            </w:pPr>
            <w:r w:rsidRPr="00D01DED">
              <w:rPr>
                <w:b/>
                <w:bCs/>
              </w:rPr>
              <w:t>Článek II.</w:t>
            </w:r>
            <w:r w:rsidR="007B028C" w:rsidRPr="00D01DED">
              <w:rPr>
                <w:b/>
                <w:bCs/>
              </w:rPr>
              <w:br/>
            </w:r>
            <w:r w:rsidRPr="00D01DED">
              <w:rPr>
                <w:b/>
                <w:bCs/>
              </w:rPr>
              <w:t>PŘEDMĚT DODATKU – VÍCEPRÁCE</w:t>
            </w:r>
          </w:p>
        </w:tc>
        <w:tc>
          <w:tcPr>
            <w:tcW w:w="4750" w:type="dxa"/>
          </w:tcPr>
          <w:p w14:paraId="0980A419" w14:textId="32530533" w:rsidR="007727A2" w:rsidRPr="00D01DED" w:rsidRDefault="007B028C" w:rsidP="00B65B5C">
            <w:pPr>
              <w:rPr>
                <w:b/>
                <w:bCs/>
              </w:rPr>
            </w:pPr>
            <w:r w:rsidRPr="00D01DED">
              <w:rPr>
                <w:b/>
                <w:bCs/>
              </w:rPr>
              <w:t>Articolo II.</w:t>
            </w:r>
            <w:r w:rsidRPr="00D01DED">
              <w:rPr>
                <w:b/>
                <w:bCs/>
              </w:rPr>
              <w:br/>
              <w:t>OGGETTO DELL’APPENDICE – LAVORI ULTERIORI</w:t>
            </w:r>
          </w:p>
        </w:tc>
      </w:tr>
      <w:tr w:rsidR="007727A2" w:rsidRPr="00D01DED" w14:paraId="45F0AE76" w14:textId="77777777" w:rsidTr="00B65B5C">
        <w:tc>
          <w:tcPr>
            <w:tcW w:w="4748" w:type="dxa"/>
          </w:tcPr>
          <w:p w14:paraId="496AA118" w14:textId="1F5EFF18" w:rsidR="007727A2" w:rsidRPr="00D01DED" w:rsidRDefault="007727A2" w:rsidP="00B65B5C">
            <w:pPr>
              <w:pStyle w:val="Zkladntext1"/>
              <w:numPr>
                <w:ilvl w:val="1"/>
                <w:numId w:val="2"/>
              </w:numPr>
              <w:shd w:val="clear" w:color="auto" w:fill="auto"/>
              <w:tabs>
                <w:tab w:val="left" w:pos="734"/>
              </w:tabs>
              <w:spacing w:after="0"/>
              <w:ind w:left="454" w:hanging="454"/>
              <w:rPr>
                <w:rFonts w:ascii="Georgia" w:hAnsi="Georgia" w:cs="Arial"/>
                <w:color w:val="000000"/>
                <w:sz w:val="20"/>
                <w:szCs w:val="20"/>
                <w:lang w:bidi="cs-CZ"/>
              </w:rPr>
            </w:pPr>
            <w:r w:rsidRPr="00D01DED">
              <w:rPr>
                <w:rFonts w:ascii="Georgia" w:hAnsi="Georgia" w:cs="Arial"/>
                <w:color w:val="000000"/>
                <w:sz w:val="20"/>
                <w:szCs w:val="20"/>
                <w:lang w:bidi="cs-CZ"/>
              </w:rPr>
              <w:t xml:space="preserve">Předmětem tohoto Dodatku je rozšíření předmětu Smlouvy o závazek Zhotovitele provést pro Objednatele, jako součást Díla, </w:t>
            </w:r>
            <w:r w:rsidRPr="00D01DED">
              <w:rPr>
                <w:rFonts w:ascii="Georgia" w:hAnsi="Georgia" w:cs="Arial"/>
                <w:b/>
                <w:bCs/>
                <w:color w:val="000000"/>
                <w:sz w:val="20"/>
                <w:szCs w:val="20"/>
                <w:lang w:bidi="cs-CZ"/>
              </w:rPr>
              <w:t>vícepráce</w:t>
            </w:r>
            <w:r w:rsidRPr="00D01DED">
              <w:rPr>
                <w:rFonts w:ascii="Georgia" w:hAnsi="Georgia" w:cs="Arial"/>
                <w:color w:val="000000"/>
                <w:sz w:val="20"/>
                <w:szCs w:val="20"/>
                <w:lang w:bidi="cs-CZ"/>
              </w:rPr>
              <w:t xml:space="preserve"> spočívající v</w:t>
            </w:r>
            <w:r w:rsidR="004036B5" w:rsidRPr="00D01DED">
              <w:rPr>
                <w:rFonts w:ascii="Georgia" w:hAnsi="Georgia" w:cs="Arial"/>
                <w:color w:val="000000"/>
                <w:sz w:val="20"/>
                <w:szCs w:val="20"/>
                <w:lang w:bidi="cs-CZ"/>
              </w:rPr>
              <w:t> novém návrhu vzduchotechniky a souvisejících úprav projektu</w:t>
            </w:r>
            <w:r w:rsidRPr="00D01DED">
              <w:rPr>
                <w:rFonts w:ascii="Georgia" w:hAnsi="Georgia" w:cs="Arial"/>
                <w:color w:val="000000"/>
                <w:sz w:val="20"/>
                <w:szCs w:val="20"/>
                <w:lang w:bidi="cs-CZ"/>
              </w:rPr>
              <w:t xml:space="preserve"> blíže specifikované v příloze tohoto Dodatku (dále jen </w:t>
            </w:r>
            <w:r w:rsidRPr="00D01DED">
              <w:rPr>
                <w:rFonts w:ascii="Georgia" w:hAnsi="Georgia" w:cs="Arial"/>
                <w:b/>
                <w:color w:val="000000"/>
                <w:sz w:val="20"/>
                <w:szCs w:val="20"/>
                <w:lang w:bidi="cs-CZ"/>
              </w:rPr>
              <w:t>„Vícepráce“</w:t>
            </w:r>
            <w:r w:rsidRPr="00D01DED">
              <w:rPr>
                <w:rFonts w:ascii="Georgia" w:hAnsi="Georgia" w:cs="Arial"/>
                <w:color w:val="000000"/>
                <w:sz w:val="20"/>
                <w:szCs w:val="20"/>
                <w:lang w:bidi="cs-CZ"/>
              </w:rPr>
              <w:t xml:space="preserve">). </w:t>
            </w:r>
          </w:p>
          <w:p w14:paraId="71540DE7" w14:textId="77777777" w:rsidR="007727A2" w:rsidRPr="00D01DED" w:rsidRDefault="007727A2" w:rsidP="00B65B5C"/>
        </w:tc>
        <w:tc>
          <w:tcPr>
            <w:tcW w:w="4750" w:type="dxa"/>
          </w:tcPr>
          <w:p w14:paraId="4AF3ED80" w14:textId="257F7708" w:rsidR="007727A2" w:rsidRPr="00D01DED" w:rsidRDefault="007B028C" w:rsidP="00B65B5C">
            <w:pPr>
              <w:pStyle w:val="Zkladntext1"/>
              <w:numPr>
                <w:ilvl w:val="1"/>
                <w:numId w:val="11"/>
              </w:numPr>
              <w:shd w:val="clear" w:color="auto" w:fill="auto"/>
              <w:tabs>
                <w:tab w:val="left" w:pos="734"/>
              </w:tabs>
              <w:spacing w:after="0"/>
              <w:ind w:left="454" w:hanging="454"/>
              <w:rPr>
                <w:rFonts w:ascii="Georgia" w:hAnsi="Georgia" w:cs="Arial"/>
                <w:color w:val="000000"/>
                <w:sz w:val="20"/>
                <w:szCs w:val="20"/>
              </w:rPr>
            </w:pPr>
            <w:r w:rsidRPr="00D01DED">
              <w:rPr>
                <w:rFonts w:ascii="Georgia" w:hAnsi="Georgia"/>
                <w:color w:val="000000"/>
                <w:sz w:val="20"/>
              </w:rPr>
              <w:t xml:space="preserve">La presente appendice ha come oggetto quello di integrare nel Contratto l’impegno dell’Appaltatore di realizzare per il Committente (come parte integrante dell’Opera) determinati </w:t>
            </w:r>
            <w:r w:rsidRPr="00D01DED">
              <w:rPr>
                <w:rFonts w:ascii="Georgia" w:hAnsi="Georgia"/>
                <w:b/>
                <w:color w:val="000000"/>
                <w:sz w:val="20"/>
              </w:rPr>
              <w:t>lavori ulteriori</w:t>
            </w:r>
            <w:r w:rsidRPr="00D01DED">
              <w:rPr>
                <w:rFonts w:ascii="Georgia" w:hAnsi="Georgia"/>
                <w:color w:val="000000"/>
                <w:sz w:val="20"/>
              </w:rPr>
              <w:t xml:space="preserve"> risiedenti in</w:t>
            </w:r>
            <w:r w:rsidR="004036B5" w:rsidRPr="00D01DED">
              <w:rPr>
                <w:rFonts w:ascii="Georgia" w:hAnsi="Georgia"/>
                <w:color w:val="000000"/>
                <w:sz w:val="20"/>
              </w:rPr>
              <w:t xml:space="preserve"> nuovo design della climatizzazione e relative modifiche di progetto </w:t>
            </w:r>
            <w:r w:rsidRPr="00D01DED">
              <w:rPr>
                <w:rFonts w:ascii="Georgia" w:hAnsi="Georgia"/>
                <w:color w:val="000000"/>
                <w:sz w:val="20"/>
              </w:rPr>
              <w:t xml:space="preserve">come specificamente riportato nell’allegato alla presente Appendice (nel prosieguo </w:t>
            </w:r>
            <w:r w:rsidRPr="00D01DED">
              <w:rPr>
                <w:rFonts w:ascii="Georgia" w:hAnsi="Georgia"/>
                <w:b/>
                <w:color w:val="000000"/>
                <w:sz w:val="20"/>
              </w:rPr>
              <w:t>“Lavori ulteriori”</w:t>
            </w:r>
            <w:r w:rsidRPr="00D01DED">
              <w:rPr>
                <w:rFonts w:ascii="Georgia" w:hAnsi="Georgia"/>
                <w:color w:val="000000"/>
                <w:sz w:val="20"/>
              </w:rPr>
              <w:t xml:space="preserve">). </w:t>
            </w:r>
          </w:p>
          <w:p w14:paraId="40A646A3" w14:textId="0876A711" w:rsidR="007B028C" w:rsidRPr="00D01DED" w:rsidRDefault="007B028C" w:rsidP="00B65B5C">
            <w:pPr>
              <w:pStyle w:val="Zkladntext1"/>
              <w:shd w:val="clear" w:color="auto" w:fill="auto"/>
              <w:tabs>
                <w:tab w:val="left" w:pos="734"/>
              </w:tabs>
              <w:spacing w:after="0"/>
              <w:ind w:left="454"/>
              <w:rPr>
                <w:rFonts w:ascii="Georgia" w:hAnsi="Georgia" w:cs="Arial"/>
                <w:color w:val="000000"/>
                <w:sz w:val="20"/>
                <w:szCs w:val="20"/>
              </w:rPr>
            </w:pPr>
          </w:p>
        </w:tc>
      </w:tr>
      <w:tr w:rsidR="007727A2" w:rsidRPr="00D01DED" w14:paraId="1C86DB34" w14:textId="77777777" w:rsidTr="00B65B5C">
        <w:tc>
          <w:tcPr>
            <w:tcW w:w="4748" w:type="dxa"/>
          </w:tcPr>
          <w:p w14:paraId="0AE184CB" w14:textId="77777777" w:rsidR="007727A2" w:rsidRPr="00D01DED" w:rsidRDefault="007727A2" w:rsidP="00B65B5C">
            <w:pPr>
              <w:pStyle w:val="Zkladntext1"/>
              <w:numPr>
                <w:ilvl w:val="1"/>
                <w:numId w:val="2"/>
              </w:numPr>
              <w:shd w:val="clear" w:color="auto" w:fill="auto"/>
              <w:tabs>
                <w:tab w:val="left" w:pos="734"/>
              </w:tabs>
              <w:spacing w:after="0"/>
              <w:ind w:left="454" w:hanging="454"/>
              <w:rPr>
                <w:rFonts w:ascii="Georgia" w:hAnsi="Georgia" w:cs="Arial"/>
                <w:color w:val="000000"/>
                <w:sz w:val="20"/>
                <w:szCs w:val="20"/>
                <w:lang w:bidi="cs-CZ"/>
              </w:rPr>
            </w:pPr>
            <w:r w:rsidRPr="00D01DED">
              <w:rPr>
                <w:rFonts w:ascii="Georgia" w:hAnsi="Georgia" w:cs="Arial"/>
                <w:color w:val="000000"/>
                <w:sz w:val="20"/>
                <w:szCs w:val="20"/>
                <w:lang w:bidi="cs-CZ"/>
              </w:rPr>
              <w:t xml:space="preserve">V souladu s § 222 odst. 5 zákona č. 134/2016 Sb., o zadávání veřejných zakázek se jedná o dodatečné služby, které nebyly předmětem Smlouvy. Z hlediska funkčnosti Díla, se jedná o změny nezbytné, přičemž změna v osobě Zhotovitele není možná z technických důvodů, spočívajících v požadavcích na interoperabilitu se stávajícími službami dosud poskytnutými Zhotovitelem a Objednateli by změna v osobě zhotovitele způsobila značné </w:t>
            </w:r>
            <w:r w:rsidRPr="00D01DED">
              <w:rPr>
                <w:rFonts w:ascii="Georgia" w:hAnsi="Georgia" w:cs="Arial"/>
                <w:color w:val="000000"/>
                <w:sz w:val="20"/>
                <w:szCs w:val="20"/>
                <w:lang w:bidi="cs-CZ"/>
              </w:rPr>
              <w:lastRenderedPageBreak/>
              <w:t xml:space="preserve">obtíže. Hodnota Víceprací nepřekročí 30% původní hodnoty závazku. </w:t>
            </w:r>
          </w:p>
          <w:p w14:paraId="01A22309" w14:textId="77777777" w:rsidR="007727A2" w:rsidRPr="00D01DED" w:rsidRDefault="007727A2" w:rsidP="00B65B5C"/>
        </w:tc>
        <w:tc>
          <w:tcPr>
            <w:tcW w:w="4750" w:type="dxa"/>
          </w:tcPr>
          <w:p w14:paraId="4426B8A8" w14:textId="655CA167" w:rsidR="007727A2" w:rsidRPr="00D01DED" w:rsidRDefault="007B028C" w:rsidP="00B65B5C">
            <w:pPr>
              <w:pStyle w:val="Zkladntext1"/>
              <w:numPr>
                <w:ilvl w:val="1"/>
                <w:numId w:val="11"/>
              </w:numPr>
              <w:shd w:val="clear" w:color="auto" w:fill="auto"/>
              <w:tabs>
                <w:tab w:val="left" w:pos="734"/>
              </w:tabs>
              <w:spacing w:after="0"/>
              <w:ind w:left="454" w:hanging="454"/>
              <w:rPr>
                <w:rFonts w:ascii="Georgia" w:hAnsi="Georgia" w:cs="Arial"/>
                <w:color w:val="000000"/>
                <w:sz w:val="20"/>
                <w:szCs w:val="20"/>
              </w:rPr>
            </w:pPr>
            <w:r w:rsidRPr="00D01DED">
              <w:rPr>
                <w:rFonts w:ascii="Georgia" w:hAnsi="Georgia"/>
                <w:color w:val="000000"/>
                <w:sz w:val="20"/>
              </w:rPr>
              <w:lastRenderedPageBreak/>
              <w:t xml:space="preserve">In conformità con il § 222 comma 5 della legge n. 134/2016 Racc., sull’assegnazione degli appalti pubblici, trattasi di servizi supplementari che non erano oggetto del Contratto. Dal punto di vista della funzionalità del Contratto, trattasi di modifiche indispensabili; la sostituzione dell’Appaltatore non è possibile per motivi tecnici risiedenti nei requisiti di interoperabilità con i servizi esistenti finora </w:t>
            </w:r>
            <w:r w:rsidRPr="00D01DED">
              <w:rPr>
                <w:rFonts w:ascii="Georgia" w:hAnsi="Georgia"/>
                <w:color w:val="000000"/>
                <w:sz w:val="20"/>
              </w:rPr>
              <w:lastRenderedPageBreak/>
              <w:t xml:space="preserve">forniti dall’Appaltatore; e l’eventuale sostituzione dell’Appaltatore comporterebbe per il Committente significative difficoltà. Il valore dei Lavori ulteriori non supererà il 30% del valore originario dell’impegno. </w:t>
            </w:r>
          </w:p>
        </w:tc>
      </w:tr>
      <w:tr w:rsidR="007727A2" w:rsidRPr="00D01DED" w14:paraId="754A6062" w14:textId="77777777" w:rsidTr="00B65B5C">
        <w:tc>
          <w:tcPr>
            <w:tcW w:w="4748" w:type="dxa"/>
          </w:tcPr>
          <w:p w14:paraId="0E73FBA8" w14:textId="77777777" w:rsidR="007727A2" w:rsidRPr="00D01DED" w:rsidRDefault="007727A2" w:rsidP="00B65B5C">
            <w:pPr>
              <w:pStyle w:val="Zkladntext1"/>
              <w:numPr>
                <w:ilvl w:val="1"/>
                <w:numId w:val="2"/>
              </w:numPr>
              <w:shd w:val="clear" w:color="auto" w:fill="auto"/>
              <w:tabs>
                <w:tab w:val="left" w:pos="734"/>
              </w:tabs>
              <w:spacing w:after="0"/>
              <w:ind w:left="454" w:hanging="454"/>
              <w:rPr>
                <w:rFonts w:ascii="Georgia" w:hAnsi="Georgia" w:cs="Arial"/>
                <w:color w:val="000000"/>
                <w:sz w:val="20"/>
                <w:szCs w:val="20"/>
                <w:lang w:bidi="cs-CZ"/>
              </w:rPr>
            </w:pPr>
            <w:r w:rsidRPr="00D01DED">
              <w:rPr>
                <w:rFonts w:ascii="Georgia" w:hAnsi="Georgia" w:cs="Arial"/>
                <w:color w:val="000000"/>
                <w:sz w:val="20"/>
                <w:szCs w:val="20"/>
                <w:lang w:bidi="cs-CZ"/>
              </w:rPr>
              <w:lastRenderedPageBreak/>
              <w:t xml:space="preserve">Bližší specifikace Víceprací a časový harmonogram plnění jsou uvedeny v Příloze tohoto Dodatku. Příloha tohoto Dodatku se stává nedílnou součástí Smlouvy jako její </w:t>
            </w:r>
            <w:r w:rsidRPr="00D01DED">
              <w:rPr>
                <w:rFonts w:ascii="Georgia" w:hAnsi="Georgia" w:cs="Arial"/>
                <w:color w:val="000000"/>
                <w:sz w:val="20"/>
                <w:szCs w:val="20"/>
                <w:u w:val="single"/>
                <w:lang w:bidi="cs-CZ"/>
              </w:rPr>
              <w:t>Příloha č. 3</w:t>
            </w:r>
            <w:r w:rsidRPr="00D01DED">
              <w:rPr>
                <w:rFonts w:ascii="Georgia" w:hAnsi="Georgia" w:cs="Arial"/>
                <w:color w:val="000000"/>
                <w:sz w:val="20"/>
                <w:szCs w:val="20"/>
                <w:lang w:bidi="cs-CZ"/>
              </w:rPr>
              <w:t xml:space="preserve">. </w:t>
            </w:r>
          </w:p>
          <w:p w14:paraId="2F34BD5E" w14:textId="77777777" w:rsidR="007727A2" w:rsidRPr="00D01DED" w:rsidRDefault="007727A2" w:rsidP="00B65B5C"/>
        </w:tc>
        <w:tc>
          <w:tcPr>
            <w:tcW w:w="4750" w:type="dxa"/>
          </w:tcPr>
          <w:p w14:paraId="178F23CE" w14:textId="77777777" w:rsidR="007B028C" w:rsidRPr="00D01DED" w:rsidRDefault="007B028C" w:rsidP="00B65B5C">
            <w:pPr>
              <w:pStyle w:val="Zkladntext1"/>
              <w:numPr>
                <w:ilvl w:val="1"/>
                <w:numId w:val="11"/>
              </w:numPr>
              <w:shd w:val="clear" w:color="auto" w:fill="auto"/>
              <w:tabs>
                <w:tab w:val="left" w:pos="734"/>
              </w:tabs>
              <w:spacing w:after="0"/>
              <w:ind w:left="454" w:hanging="454"/>
              <w:rPr>
                <w:rFonts w:ascii="Georgia" w:hAnsi="Georgia" w:cs="Arial"/>
                <w:color w:val="000000"/>
                <w:sz w:val="20"/>
                <w:szCs w:val="20"/>
              </w:rPr>
            </w:pPr>
            <w:r w:rsidRPr="00D01DED">
              <w:rPr>
                <w:rFonts w:ascii="Georgia" w:hAnsi="Georgia"/>
                <w:color w:val="000000"/>
                <w:sz w:val="20"/>
              </w:rPr>
              <w:t xml:space="preserve">Per una specifica maggiormente dettagliata dei Lavori ulteriori e per il calendario dei lavori si rimanda all’Allegato alla presente Appendice. L’Allegato alla presente Appendice è da considerarsi parte integrante del Contratto, come suo Allegato n. 3. </w:t>
            </w:r>
          </w:p>
          <w:p w14:paraId="15519193" w14:textId="77777777" w:rsidR="007727A2" w:rsidRPr="00D01DED" w:rsidRDefault="007727A2" w:rsidP="00B65B5C"/>
        </w:tc>
      </w:tr>
      <w:tr w:rsidR="007727A2" w:rsidRPr="00D01DED" w14:paraId="121BDA12" w14:textId="77777777" w:rsidTr="00B65B5C">
        <w:tc>
          <w:tcPr>
            <w:tcW w:w="4748" w:type="dxa"/>
          </w:tcPr>
          <w:p w14:paraId="22727676" w14:textId="56734F78" w:rsidR="007727A2" w:rsidRPr="00D01DED" w:rsidRDefault="007727A2" w:rsidP="00B65B5C">
            <w:pPr>
              <w:rPr>
                <w:b/>
                <w:bCs/>
              </w:rPr>
            </w:pPr>
            <w:r w:rsidRPr="00D01DED">
              <w:rPr>
                <w:b/>
                <w:bCs/>
              </w:rPr>
              <w:t>Článek III.</w:t>
            </w:r>
            <w:r w:rsidR="007B028C" w:rsidRPr="00D01DED">
              <w:rPr>
                <w:b/>
                <w:bCs/>
              </w:rPr>
              <w:br/>
            </w:r>
            <w:r w:rsidRPr="00D01DED">
              <w:rPr>
                <w:b/>
                <w:bCs/>
              </w:rPr>
              <w:t>CENA ZA VÍCEPRÁCE DLE DODATKU A ODMĚNA</w:t>
            </w:r>
          </w:p>
        </w:tc>
        <w:tc>
          <w:tcPr>
            <w:tcW w:w="4750" w:type="dxa"/>
          </w:tcPr>
          <w:p w14:paraId="1C375746" w14:textId="4B7D7FBD" w:rsidR="007727A2" w:rsidRPr="00D01DED" w:rsidRDefault="007B028C" w:rsidP="00B65B5C">
            <w:pPr>
              <w:pStyle w:val="Zkladntext1"/>
              <w:shd w:val="clear" w:color="auto" w:fill="auto"/>
              <w:rPr>
                <w:rFonts w:ascii="Georgia" w:hAnsi="Georgia" w:cs="Arial"/>
                <w:b/>
                <w:sz w:val="20"/>
                <w:szCs w:val="20"/>
              </w:rPr>
            </w:pPr>
            <w:r w:rsidRPr="00D01DED">
              <w:rPr>
                <w:rFonts w:ascii="Georgia" w:hAnsi="Georgia"/>
                <w:b/>
                <w:color w:val="000000"/>
                <w:sz w:val="20"/>
              </w:rPr>
              <w:t>Articolo III.</w:t>
            </w:r>
            <w:r w:rsidRPr="00D01DED">
              <w:rPr>
                <w:rFonts w:ascii="Georgia" w:hAnsi="Georgia"/>
                <w:b/>
                <w:color w:val="000000"/>
                <w:sz w:val="20"/>
              </w:rPr>
              <w:br/>
            </w:r>
            <w:r w:rsidRPr="00D01DED">
              <w:rPr>
                <w:rFonts w:ascii="Georgia" w:hAnsi="Georgia"/>
                <w:b/>
                <w:color w:val="000000"/>
              </w:rPr>
              <w:t>PREZZO PER I LAVORI ULTERIORI IN BASE ALL’APPENDICE E RISPETTIVA REMUNERAZIONE</w:t>
            </w:r>
          </w:p>
        </w:tc>
      </w:tr>
      <w:tr w:rsidR="007727A2" w:rsidRPr="00D01DED" w14:paraId="7E05801A" w14:textId="77777777" w:rsidTr="00B65B5C">
        <w:tc>
          <w:tcPr>
            <w:tcW w:w="4748" w:type="dxa"/>
          </w:tcPr>
          <w:p w14:paraId="4794AD74" w14:textId="5FAA881D" w:rsidR="007727A2" w:rsidRPr="00D01DED" w:rsidRDefault="007727A2" w:rsidP="00B65B5C">
            <w:pPr>
              <w:pStyle w:val="Odstavecseseznamem"/>
              <w:numPr>
                <w:ilvl w:val="1"/>
                <w:numId w:val="6"/>
              </w:numPr>
              <w:rPr>
                <w:rFonts w:cs="Arial"/>
                <w:color w:val="000000"/>
                <w:szCs w:val="20"/>
                <w:lang w:bidi="cs-CZ"/>
              </w:rPr>
            </w:pPr>
            <w:r w:rsidRPr="00D01DED">
              <w:rPr>
                <w:rFonts w:eastAsia="Calibri" w:cs="Arial"/>
                <w:color w:val="000000"/>
                <w:szCs w:val="20"/>
                <w:lang w:bidi="cs-CZ"/>
              </w:rPr>
              <w:t xml:space="preserve">Zhotoviteli náleží za Vícepráce dle tohoto Dodatku celková odměna ve výši </w:t>
            </w:r>
            <w:r w:rsidRPr="00D01DED">
              <w:rPr>
                <w:rFonts w:eastAsia="Calibri" w:cs="Arial"/>
                <w:b/>
                <w:bCs/>
                <w:color w:val="000000"/>
                <w:szCs w:val="20"/>
                <w:lang w:bidi="cs-CZ"/>
              </w:rPr>
              <w:t>18 000 Euro, tj. 2</w:t>
            </w:r>
            <w:r w:rsidR="007B028C" w:rsidRPr="00D01DED">
              <w:rPr>
                <w:rFonts w:eastAsia="Calibri" w:cs="Arial"/>
                <w:b/>
                <w:bCs/>
                <w:color w:val="000000"/>
                <w:szCs w:val="20"/>
                <w:lang w:bidi="cs-CZ"/>
              </w:rPr>
              <w:t>1</w:t>
            </w:r>
            <w:r w:rsidRPr="00D01DED">
              <w:rPr>
                <w:rFonts w:eastAsia="Calibri" w:cs="Arial"/>
                <w:b/>
                <w:bCs/>
                <w:color w:val="000000"/>
                <w:szCs w:val="20"/>
                <w:lang w:bidi="cs-CZ"/>
              </w:rPr>
              <w:t xml:space="preserve"> </w:t>
            </w:r>
            <w:r w:rsidR="007B028C" w:rsidRPr="00D01DED">
              <w:rPr>
                <w:rFonts w:eastAsia="Calibri" w:cs="Arial"/>
                <w:b/>
                <w:bCs/>
                <w:color w:val="000000"/>
                <w:szCs w:val="20"/>
                <w:lang w:bidi="cs-CZ"/>
              </w:rPr>
              <w:t>96</w:t>
            </w:r>
            <w:r w:rsidRPr="00D01DED">
              <w:rPr>
                <w:rFonts w:eastAsia="Calibri" w:cs="Arial"/>
                <w:b/>
                <w:bCs/>
                <w:color w:val="000000"/>
                <w:szCs w:val="20"/>
                <w:lang w:bidi="cs-CZ"/>
              </w:rPr>
              <w:t>0 Euro včetně DPH</w:t>
            </w:r>
            <w:r w:rsidRPr="00D01DED">
              <w:rPr>
                <w:rFonts w:eastAsia="Calibri" w:cs="Arial"/>
                <w:color w:val="000000"/>
                <w:szCs w:val="20"/>
                <w:lang w:bidi="cs-CZ"/>
              </w:rPr>
              <w:t xml:space="preserve">. </w:t>
            </w:r>
          </w:p>
        </w:tc>
        <w:tc>
          <w:tcPr>
            <w:tcW w:w="4750" w:type="dxa"/>
          </w:tcPr>
          <w:p w14:paraId="2DCF1FD8" w14:textId="2C34BC78" w:rsidR="007727A2" w:rsidRPr="00D01DED" w:rsidRDefault="007B028C" w:rsidP="00B65B5C">
            <w:pPr>
              <w:pStyle w:val="Odstavecseseznamem"/>
              <w:numPr>
                <w:ilvl w:val="1"/>
                <w:numId w:val="5"/>
              </w:numPr>
              <w:ind w:left="454" w:hanging="454"/>
            </w:pPr>
            <w:r w:rsidRPr="00D01DED">
              <w:rPr>
                <w:rFonts w:eastAsia="Calibri" w:cs="Arial"/>
                <w:color w:val="000000"/>
                <w:szCs w:val="20"/>
                <w:lang w:bidi="cs-CZ"/>
              </w:rPr>
              <w:t xml:space="preserve">In cambio dei Lavori ulteriori secondo la presente Appendice l’Appaltatore ha diritto ad una remunerazione complessiva pari a </w:t>
            </w:r>
            <w:r w:rsidRPr="00D01DED">
              <w:rPr>
                <w:rFonts w:eastAsia="Calibri" w:cs="Arial"/>
                <w:b/>
                <w:bCs/>
                <w:color w:val="000000"/>
                <w:szCs w:val="20"/>
                <w:lang w:bidi="cs-CZ"/>
              </w:rPr>
              <w:t>18.000 euro, ovvero 21.960 euro IVA inclusa</w:t>
            </w:r>
            <w:r w:rsidRPr="00D01DED">
              <w:rPr>
                <w:rFonts w:eastAsia="Calibri" w:cs="Arial"/>
                <w:color w:val="000000"/>
                <w:szCs w:val="20"/>
                <w:lang w:bidi="cs-CZ"/>
              </w:rPr>
              <w:t xml:space="preserve">. </w:t>
            </w:r>
          </w:p>
        </w:tc>
      </w:tr>
      <w:tr w:rsidR="007727A2" w:rsidRPr="00D01DED" w14:paraId="0DDE3B4E" w14:textId="77777777" w:rsidTr="00B65B5C">
        <w:tc>
          <w:tcPr>
            <w:tcW w:w="4748" w:type="dxa"/>
          </w:tcPr>
          <w:p w14:paraId="13241AD9" w14:textId="0FA5A5B0" w:rsidR="007727A2" w:rsidRPr="00D01DED" w:rsidRDefault="007727A2" w:rsidP="00B65B5C">
            <w:pPr>
              <w:pStyle w:val="Zkladntext1"/>
              <w:numPr>
                <w:ilvl w:val="1"/>
                <w:numId w:val="5"/>
              </w:numPr>
              <w:shd w:val="clear" w:color="auto" w:fill="auto"/>
              <w:tabs>
                <w:tab w:val="left" w:pos="734"/>
              </w:tabs>
              <w:spacing w:after="0"/>
              <w:rPr>
                <w:rFonts w:ascii="Georgia" w:hAnsi="Georgia" w:cs="Arial"/>
                <w:sz w:val="20"/>
                <w:szCs w:val="20"/>
              </w:rPr>
            </w:pPr>
            <w:r w:rsidRPr="00D01DED">
              <w:rPr>
                <w:rFonts w:ascii="Georgia" w:hAnsi="Georgia" w:cs="Arial"/>
                <w:color w:val="000000"/>
                <w:sz w:val="20"/>
                <w:szCs w:val="20"/>
                <w:lang w:bidi="cs-CZ"/>
              </w:rPr>
              <w:t>V celkové ceně za Vícepráce je zahrnuta i odměna za poskytnutí oprávnění k výkonu práva výsledek činnosti Zhotovitele dle tohoto Dodatku užít, a to v souladu s čl. X Smlouvy.</w:t>
            </w:r>
          </w:p>
          <w:p w14:paraId="3DD528DD" w14:textId="77777777" w:rsidR="007727A2" w:rsidRPr="00D01DED" w:rsidRDefault="007727A2" w:rsidP="00B65B5C"/>
        </w:tc>
        <w:tc>
          <w:tcPr>
            <w:tcW w:w="4750" w:type="dxa"/>
          </w:tcPr>
          <w:p w14:paraId="29968BB1" w14:textId="392413AA" w:rsidR="007B028C" w:rsidRPr="00D01DED" w:rsidRDefault="007B028C" w:rsidP="00B65B5C">
            <w:pPr>
              <w:pStyle w:val="Zkladntext1"/>
              <w:numPr>
                <w:ilvl w:val="1"/>
                <w:numId w:val="13"/>
              </w:numPr>
              <w:shd w:val="clear" w:color="auto" w:fill="auto"/>
              <w:tabs>
                <w:tab w:val="left" w:pos="734"/>
              </w:tabs>
              <w:spacing w:after="0"/>
              <w:ind w:left="454" w:hanging="454"/>
              <w:rPr>
                <w:rFonts w:ascii="Georgia" w:hAnsi="Georgia" w:cs="Arial"/>
                <w:sz w:val="20"/>
                <w:szCs w:val="20"/>
              </w:rPr>
            </w:pPr>
            <w:r w:rsidRPr="00D01DED">
              <w:rPr>
                <w:rFonts w:ascii="Georgia" w:hAnsi="Georgia"/>
                <w:color w:val="000000"/>
                <w:sz w:val="20"/>
              </w:rPr>
              <w:t>Il prezzo complessivo per i Lavori ulteriori comprendono anche la remunerazione per la concessione dell’autorizzazione all’esercizio del diritto al godimento del risultato dell’attività dell’Appaltatore ai sensi della presente Appendice, conformemente all’art. X del Contratto.</w:t>
            </w:r>
          </w:p>
          <w:p w14:paraId="358D6EBE" w14:textId="77777777" w:rsidR="007727A2" w:rsidRPr="00D01DED" w:rsidRDefault="007727A2" w:rsidP="00B65B5C"/>
        </w:tc>
      </w:tr>
      <w:tr w:rsidR="007727A2" w:rsidRPr="00D01DED" w14:paraId="64906789" w14:textId="77777777" w:rsidTr="00B65B5C">
        <w:tc>
          <w:tcPr>
            <w:tcW w:w="4748" w:type="dxa"/>
          </w:tcPr>
          <w:p w14:paraId="070B6E7C" w14:textId="7C8C3194" w:rsidR="007727A2" w:rsidRPr="00D01DED" w:rsidRDefault="007727A2" w:rsidP="00B65B5C">
            <w:pPr>
              <w:pStyle w:val="Zkladntext1"/>
              <w:numPr>
                <w:ilvl w:val="1"/>
                <w:numId w:val="13"/>
              </w:numPr>
              <w:shd w:val="clear" w:color="auto" w:fill="auto"/>
              <w:tabs>
                <w:tab w:val="left" w:pos="734"/>
              </w:tabs>
              <w:spacing w:after="0"/>
              <w:rPr>
                <w:rFonts w:ascii="Georgia" w:hAnsi="Georgia" w:cs="Arial"/>
                <w:sz w:val="20"/>
                <w:szCs w:val="20"/>
              </w:rPr>
            </w:pPr>
            <w:r w:rsidRPr="00D01DED">
              <w:rPr>
                <w:rFonts w:ascii="Georgia" w:hAnsi="Georgia" w:cs="Arial"/>
                <w:color w:val="000000"/>
                <w:sz w:val="20"/>
                <w:szCs w:val="20"/>
                <w:lang w:bidi="cs-CZ"/>
              </w:rPr>
              <w:t>Cena za Vícepráce dle tohoto Dodatku bude uhrazena na základě faktury obsahující všechny zákonné náležitosti daňového a účetního dokladu (faktury), která bude Zhotoviteli vystavena nejdříve po podpisu Akceptačního protokolu o odsouhlasení Víceprací dle Dodatku. Pro vystavení, doručení, splatnost a úhradu faktury platí ust. čl. IV Smlouvy.</w:t>
            </w:r>
          </w:p>
          <w:p w14:paraId="59A39B37" w14:textId="77777777" w:rsidR="007727A2" w:rsidRPr="00D01DED" w:rsidRDefault="007727A2" w:rsidP="00B65B5C"/>
        </w:tc>
        <w:tc>
          <w:tcPr>
            <w:tcW w:w="4750" w:type="dxa"/>
          </w:tcPr>
          <w:p w14:paraId="136A7B87" w14:textId="53539873" w:rsidR="007B028C" w:rsidRPr="00D01DED" w:rsidRDefault="007B028C" w:rsidP="00B65B5C">
            <w:pPr>
              <w:pStyle w:val="Zkladntext1"/>
              <w:numPr>
                <w:ilvl w:val="1"/>
                <w:numId w:val="14"/>
              </w:numPr>
              <w:shd w:val="clear" w:color="auto" w:fill="auto"/>
              <w:tabs>
                <w:tab w:val="left" w:pos="734"/>
              </w:tabs>
              <w:spacing w:after="0"/>
              <w:ind w:left="454" w:hanging="454"/>
              <w:rPr>
                <w:rFonts w:ascii="Georgia" w:hAnsi="Georgia" w:cs="Arial"/>
                <w:sz w:val="20"/>
                <w:szCs w:val="20"/>
              </w:rPr>
            </w:pPr>
            <w:r w:rsidRPr="00D01DED">
              <w:rPr>
                <w:rFonts w:ascii="Georgia" w:hAnsi="Georgia"/>
                <w:color w:val="000000"/>
                <w:sz w:val="20"/>
              </w:rPr>
              <w:t>Il prezzo per i Lavori ulteriori ai sensi della presente Appendice sarà pagato sulla scorta di una fattura comprendente tutti i requisiti formali di un regolare documento fiscale e contabile (fattura), che l’Appaltatore emetterà il prima possibile dopo la sottoscrizione del Protocollo di accettazione ed approvazione dei Lavori ulteriore, come da Appendice. Per quanto concerne l’emissione, la notifica, la scadenza di pagamento e la modalità di pagamento della fattura si rimanda a quanto disposto dall’art. IV del Contratto.</w:t>
            </w:r>
          </w:p>
          <w:p w14:paraId="490C5A47" w14:textId="77777777" w:rsidR="00B65B5C" w:rsidRPr="00D01DED" w:rsidRDefault="00B65B5C" w:rsidP="00B65B5C">
            <w:pPr>
              <w:pStyle w:val="Zkladntext1"/>
              <w:shd w:val="clear" w:color="auto" w:fill="auto"/>
              <w:tabs>
                <w:tab w:val="left" w:pos="734"/>
              </w:tabs>
              <w:spacing w:after="0"/>
              <w:ind w:left="454"/>
              <w:rPr>
                <w:rFonts w:ascii="Georgia" w:hAnsi="Georgia" w:cs="Arial"/>
                <w:sz w:val="20"/>
                <w:szCs w:val="20"/>
              </w:rPr>
            </w:pPr>
          </w:p>
          <w:p w14:paraId="74867055" w14:textId="78A9568E" w:rsidR="00B65B5C" w:rsidRPr="00D01DED" w:rsidRDefault="00B65B5C" w:rsidP="00B65B5C">
            <w:pPr>
              <w:pStyle w:val="Zkladntext1"/>
              <w:shd w:val="clear" w:color="auto" w:fill="auto"/>
              <w:tabs>
                <w:tab w:val="left" w:pos="734"/>
              </w:tabs>
              <w:spacing w:after="0"/>
              <w:ind w:left="454"/>
              <w:rPr>
                <w:rFonts w:ascii="Georgia" w:hAnsi="Georgia" w:cs="Arial"/>
                <w:sz w:val="20"/>
                <w:szCs w:val="20"/>
              </w:rPr>
            </w:pPr>
          </w:p>
        </w:tc>
      </w:tr>
      <w:tr w:rsidR="007727A2" w:rsidRPr="00D01DED" w14:paraId="1983DDBE" w14:textId="77777777" w:rsidTr="00B65B5C">
        <w:tc>
          <w:tcPr>
            <w:tcW w:w="4748" w:type="dxa"/>
          </w:tcPr>
          <w:p w14:paraId="00BDFFE7" w14:textId="3EF26522" w:rsidR="007727A2" w:rsidRPr="00D01DED" w:rsidRDefault="007727A2" w:rsidP="00B65B5C">
            <w:pPr>
              <w:rPr>
                <w:b/>
                <w:bCs/>
              </w:rPr>
            </w:pPr>
            <w:r w:rsidRPr="00D01DED">
              <w:rPr>
                <w:b/>
                <w:bCs/>
              </w:rPr>
              <w:t>Článek IV.</w:t>
            </w:r>
            <w:r w:rsidR="007B028C" w:rsidRPr="00D01DED">
              <w:rPr>
                <w:b/>
                <w:bCs/>
              </w:rPr>
              <w:br/>
            </w:r>
            <w:r w:rsidRPr="00D01DED">
              <w:rPr>
                <w:b/>
                <w:bCs/>
              </w:rPr>
              <w:t>ZÁVĚREČNÁ USTANOVENÍ</w:t>
            </w:r>
          </w:p>
        </w:tc>
        <w:tc>
          <w:tcPr>
            <w:tcW w:w="4750" w:type="dxa"/>
          </w:tcPr>
          <w:p w14:paraId="140EDEBE" w14:textId="79F04236" w:rsidR="007727A2" w:rsidRPr="00D01DED" w:rsidRDefault="00B65B5C" w:rsidP="00B65B5C">
            <w:pPr>
              <w:rPr>
                <w:b/>
                <w:bCs/>
              </w:rPr>
            </w:pPr>
            <w:r w:rsidRPr="00D01DED">
              <w:rPr>
                <w:b/>
                <w:bCs/>
              </w:rPr>
              <w:t>Articolo IV.</w:t>
            </w:r>
            <w:r w:rsidRPr="00D01DED">
              <w:rPr>
                <w:b/>
                <w:bCs/>
              </w:rPr>
              <w:br/>
              <w:t>DISPOSIZIONI CONCLUSIVE</w:t>
            </w:r>
          </w:p>
        </w:tc>
      </w:tr>
      <w:tr w:rsidR="007727A2" w:rsidRPr="00D01DED" w14:paraId="68C1CB72" w14:textId="77777777" w:rsidTr="00B65B5C">
        <w:tc>
          <w:tcPr>
            <w:tcW w:w="4748" w:type="dxa"/>
          </w:tcPr>
          <w:p w14:paraId="5FA3D4D8" w14:textId="6085F6DB" w:rsidR="007727A2" w:rsidRPr="00D01DED" w:rsidRDefault="007727A2" w:rsidP="00B65B5C">
            <w:pPr>
              <w:pStyle w:val="Odstavecseseznamem"/>
              <w:numPr>
                <w:ilvl w:val="1"/>
                <w:numId w:val="7"/>
              </w:numPr>
            </w:pPr>
            <w:r w:rsidRPr="00D01DED">
              <w:rPr>
                <w:rFonts w:eastAsia="Calibri" w:cs="Arial"/>
                <w:color w:val="000000"/>
                <w:szCs w:val="20"/>
                <w:lang w:bidi="cs-CZ"/>
              </w:rPr>
              <w:t xml:space="preserve">Ustanovení Smlouvy tímto Dodatkem nedotčená zůstávají v platnosti beze změny. Smluvní strany si tímto výslovně potvrzují, že na Vícepráce se vztahují veškerá ustanovení Smlouvy – tj. zejména, </w:t>
            </w:r>
            <w:r w:rsidRPr="00D01DED">
              <w:rPr>
                <w:rFonts w:eastAsia="Calibri" w:cs="Arial"/>
                <w:color w:val="000000"/>
                <w:szCs w:val="20"/>
                <w:lang w:bidi="cs-CZ"/>
              </w:rPr>
              <w:lastRenderedPageBreak/>
              <w:t xml:space="preserve">nikoli však výlučně, ustanovení o licenci, předání a převzetí díla, ustanovení definující práva a povinnosti smluvních stran, ustanovení o rozhodném právu apod. </w:t>
            </w:r>
          </w:p>
        </w:tc>
        <w:tc>
          <w:tcPr>
            <w:tcW w:w="4750" w:type="dxa"/>
          </w:tcPr>
          <w:p w14:paraId="2B29417B" w14:textId="44ABF31E" w:rsidR="007727A2" w:rsidRPr="00D01DED" w:rsidRDefault="007B028C" w:rsidP="00B65B5C">
            <w:pPr>
              <w:pStyle w:val="Odstavecseseznamem"/>
              <w:numPr>
                <w:ilvl w:val="1"/>
                <w:numId w:val="15"/>
              </w:numPr>
              <w:ind w:left="454" w:hanging="454"/>
            </w:pPr>
            <w:r w:rsidRPr="00D01DED">
              <w:rPr>
                <w:color w:val="000000"/>
              </w:rPr>
              <w:lastRenderedPageBreak/>
              <w:t xml:space="preserve">Le disposizioni del Contratto non interessate dalla presente Appendice rimangono valide ed immutate. Con la presente le Parti contraenti dichiarano che in relazione ai Lavori ulteriori si applicano tutte le </w:t>
            </w:r>
            <w:r w:rsidRPr="00D01DED">
              <w:rPr>
                <w:color w:val="000000"/>
              </w:rPr>
              <w:lastRenderedPageBreak/>
              <w:t>disposizioni del Contratto – specie, ma non solo: disposizioni in materia di licenza, consegna e ritiro dell’opera, disposizioni definenti i diritti e gli obblighi delle Parti contraenti, disposizioni in materia di ordinamento giuridico applicabile, ecc.</w:t>
            </w:r>
          </w:p>
        </w:tc>
      </w:tr>
      <w:tr w:rsidR="007727A2" w:rsidRPr="00D01DED" w14:paraId="47C35082" w14:textId="77777777" w:rsidTr="00B65B5C">
        <w:tc>
          <w:tcPr>
            <w:tcW w:w="4748" w:type="dxa"/>
          </w:tcPr>
          <w:p w14:paraId="56FC60BA" w14:textId="02063654" w:rsidR="007727A2" w:rsidRPr="00D01DED" w:rsidRDefault="007727A2" w:rsidP="00B65B5C">
            <w:pPr>
              <w:pStyle w:val="Odstavecseseznamem"/>
              <w:numPr>
                <w:ilvl w:val="1"/>
                <w:numId w:val="15"/>
              </w:numPr>
            </w:pPr>
            <w:r w:rsidRPr="00D01DED">
              <w:rPr>
                <w:rFonts w:cs="Arial"/>
                <w:color w:val="000000"/>
                <w:szCs w:val="20"/>
                <w:lang w:bidi="cs-CZ"/>
              </w:rPr>
              <w:lastRenderedPageBreak/>
              <w:t>Tento Dodatek nabývá platnosti dnem podpisu oběma Smluvními stranami a účinnosti okamžikem jeho uveřejnění v registru smluv. Smluvní strany se dohodly, že uveřejnění v registru smluv provede Objednatel. Obě Smluvní strany berou na vědomí, že nebudou uveřejněny pouze ty informace, které nelze poskytnout podle předpisů upravujících svobodný přístup k informacím. Považuje-li Dodavatel některé informace uvedené v tomto Dodatku za informace, které nemohou nebo nemají být uveřejněny v registru smluv dle zákona č. 340/2015 Sb., je povinen na to Objednatele současně s uzavřením tohoto Dodatku písemně upozornit.</w:t>
            </w:r>
          </w:p>
        </w:tc>
        <w:tc>
          <w:tcPr>
            <w:tcW w:w="4750" w:type="dxa"/>
          </w:tcPr>
          <w:p w14:paraId="2B17B68F" w14:textId="2B3CA30D" w:rsidR="007727A2" w:rsidRPr="00D01DED" w:rsidRDefault="007B028C" w:rsidP="00B65B5C">
            <w:pPr>
              <w:pStyle w:val="Odstavecseseznamem"/>
              <w:numPr>
                <w:ilvl w:val="1"/>
                <w:numId w:val="16"/>
              </w:numPr>
              <w:ind w:left="454" w:hanging="454"/>
            </w:pPr>
            <w:r w:rsidRPr="00D01DED">
              <w:rPr>
                <w:color w:val="000000"/>
              </w:rPr>
              <w:t>La presente Appendice acquisisce validità nella data della sua sottoscrizione da parte di entrambe le Parti contraenti ed entra in vigore nel momento della sua pubblicazione nel registro dei contratti. Le Parti contraenti convengono che le pratiche inerenti alla pubblicazione sul registro dei contratti saranno sbrigate dal Committente. Entrambe le Parti contraenti prendono atto del fatto che le uniche informazioni a non essere pubblicate saranno quelle che non possono essere trasmesse ai sensi delle prescrizioni disciplinanti il libero accesso alle informazioni. Se l’Appaltatore considera che alcune informazioni riportate nella presente Appendice sono informazioni che non possono o non devono essere pubblicate sul registro dei contratti ai sensi della legge n. 340/2015 Racc., l’Appaltatore stesso sarà tenuto ad avvisare per iscritto a riguardo il Committente all’atto della sottoscrizione della presente Appendice.</w:t>
            </w:r>
          </w:p>
        </w:tc>
      </w:tr>
      <w:tr w:rsidR="007727A2" w:rsidRPr="00D01DED" w14:paraId="73DB4F95" w14:textId="77777777" w:rsidTr="00B65B5C">
        <w:tc>
          <w:tcPr>
            <w:tcW w:w="4748" w:type="dxa"/>
          </w:tcPr>
          <w:p w14:paraId="19590EF6" w14:textId="3549BF56" w:rsidR="007727A2" w:rsidRPr="00D01DED" w:rsidRDefault="007727A2" w:rsidP="00B65B5C">
            <w:pPr>
              <w:pStyle w:val="Odstavecseseznamem"/>
              <w:numPr>
                <w:ilvl w:val="1"/>
                <w:numId w:val="16"/>
              </w:numPr>
              <w:ind w:left="454" w:hanging="454"/>
            </w:pPr>
            <w:r w:rsidRPr="00D01DED">
              <w:rPr>
                <w:rFonts w:cs="Arial"/>
                <w:color w:val="000000"/>
                <w:szCs w:val="20"/>
                <w:lang w:bidi="cs-CZ"/>
              </w:rPr>
              <w:t>Tento Dodatek byl vyhotoven v elektronické podobě opatřené elektronickými podpisy Smluvních stran.</w:t>
            </w:r>
          </w:p>
        </w:tc>
        <w:tc>
          <w:tcPr>
            <w:tcW w:w="4750" w:type="dxa"/>
          </w:tcPr>
          <w:p w14:paraId="089FC1D2" w14:textId="68824091" w:rsidR="007727A2" w:rsidRPr="00D01DED" w:rsidRDefault="00B65B5C" w:rsidP="00B65B5C">
            <w:pPr>
              <w:pStyle w:val="Odstavecseseznamem"/>
              <w:numPr>
                <w:ilvl w:val="1"/>
                <w:numId w:val="17"/>
              </w:numPr>
              <w:ind w:left="454" w:hanging="454"/>
            </w:pPr>
            <w:r w:rsidRPr="00D01DED">
              <w:rPr>
                <w:color w:val="000000"/>
              </w:rPr>
              <w:t>La presente Appendice è stata redatta in formato elettronico con apposizione delle firme elettroniche delle Parti contraenti.</w:t>
            </w:r>
          </w:p>
        </w:tc>
      </w:tr>
      <w:tr w:rsidR="007727A2" w:rsidRPr="00D01DED" w14:paraId="21AC7227" w14:textId="77777777" w:rsidTr="00B65B5C">
        <w:tc>
          <w:tcPr>
            <w:tcW w:w="4748" w:type="dxa"/>
          </w:tcPr>
          <w:p w14:paraId="3FFE29C0" w14:textId="0B2AF959" w:rsidR="007727A2" w:rsidRPr="00D01DED" w:rsidRDefault="007727A2" w:rsidP="00B65B5C">
            <w:pPr>
              <w:pStyle w:val="Odstavecseseznamem"/>
              <w:numPr>
                <w:ilvl w:val="1"/>
                <w:numId w:val="17"/>
              </w:numPr>
              <w:ind w:left="454" w:hanging="454"/>
            </w:pPr>
            <w:r w:rsidRPr="00D01DED">
              <w:t>Nedílnou součást tohoto Dodatku (resp. Smlouvy) tvoří Příloha č. 3: Specifikace Víceprací.</w:t>
            </w:r>
          </w:p>
        </w:tc>
        <w:tc>
          <w:tcPr>
            <w:tcW w:w="4750" w:type="dxa"/>
          </w:tcPr>
          <w:p w14:paraId="14948B30" w14:textId="65D73002" w:rsidR="007727A2" w:rsidRPr="00D01DED" w:rsidRDefault="00B65B5C" w:rsidP="00B65B5C">
            <w:pPr>
              <w:pStyle w:val="Odstavecseseznamem"/>
              <w:numPr>
                <w:ilvl w:val="1"/>
                <w:numId w:val="18"/>
              </w:numPr>
              <w:ind w:left="454" w:hanging="454"/>
            </w:pPr>
            <w:r w:rsidRPr="00D01DED">
              <w:t xml:space="preserve">Parte integrante della presente Appendice (o del Contratto) è </w:t>
            </w:r>
            <w:bookmarkStart w:id="0" w:name="_Hlk138862518"/>
            <w:r w:rsidRPr="00D01DED">
              <w:t xml:space="preserve">l’Allegato n. </w:t>
            </w:r>
            <w:r w:rsidR="00985F2B" w:rsidRPr="00D01DED">
              <w:t>3</w:t>
            </w:r>
            <w:r w:rsidRPr="00D01DED">
              <w:t>: Specifica dei Lavori ulteriori.</w:t>
            </w:r>
            <w:bookmarkEnd w:id="0"/>
          </w:p>
        </w:tc>
      </w:tr>
      <w:tr w:rsidR="007727A2" w:rsidRPr="00D01DED" w14:paraId="208C75D5" w14:textId="77777777" w:rsidTr="00B65B5C">
        <w:trPr>
          <w:trHeight w:val="1147"/>
        </w:trPr>
        <w:tc>
          <w:tcPr>
            <w:tcW w:w="4748" w:type="dxa"/>
          </w:tcPr>
          <w:p w14:paraId="35698488" w14:textId="1CDCE986" w:rsidR="00B65B5C" w:rsidRPr="00D01DED" w:rsidRDefault="00B65B5C" w:rsidP="00B65B5C">
            <w:pPr>
              <w:rPr>
                <w:rFonts w:eastAsia="Calibri" w:cs="Arial"/>
                <w:szCs w:val="20"/>
              </w:rPr>
            </w:pPr>
          </w:p>
          <w:p w14:paraId="61F78907" w14:textId="7050B917" w:rsidR="00B65B5C" w:rsidRPr="00D01DED" w:rsidRDefault="00B65B5C" w:rsidP="00B65B5C">
            <w:pPr>
              <w:rPr>
                <w:rFonts w:eastAsia="Calibri" w:cs="Arial"/>
                <w:szCs w:val="20"/>
              </w:rPr>
            </w:pPr>
          </w:p>
          <w:p w14:paraId="63D9A89B" w14:textId="77777777" w:rsidR="00B65B5C" w:rsidRPr="00D01DED" w:rsidRDefault="00B65B5C" w:rsidP="00B65B5C">
            <w:pPr>
              <w:jc w:val="center"/>
              <w:rPr>
                <w:rFonts w:eastAsia="Calibri" w:cs="Arial"/>
                <w:szCs w:val="20"/>
              </w:rPr>
            </w:pPr>
          </w:p>
          <w:p w14:paraId="711B85C5" w14:textId="4DFADE69" w:rsidR="007727A2" w:rsidRPr="00D01DED" w:rsidRDefault="007727A2" w:rsidP="00B65B5C">
            <w:pPr>
              <w:spacing w:after="0"/>
              <w:jc w:val="center"/>
            </w:pPr>
            <w:r w:rsidRPr="00D01DED">
              <w:rPr>
                <w:rFonts w:eastAsia="Calibri" w:cs="Arial"/>
                <w:szCs w:val="20"/>
              </w:rPr>
              <w:t>………………………………………………</w:t>
            </w:r>
            <w:r w:rsidRPr="00D01DED">
              <w:rPr>
                <w:rFonts w:eastAsia="Calibri" w:cs="Arial"/>
                <w:szCs w:val="20"/>
              </w:rPr>
              <w:br/>
            </w:r>
            <w:r w:rsidRPr="00D01DED">
              <w:rPr>
                <w:rFonts w:eastAsia="Times New Roman" w:cs="Georgia"/>
                <w:b/>
                <w:bCs/>
                <w:color w:val="000000"/>
                <w:szCs w:val="20"/>
                <w:lang w:eastAsia="cs-CZ"/>
              </w:rPr>
              <w:t>Objednatel/Committente Alicja Knast</w:t>
            </w:r>
          </w:p>
        </w:tc>
        <w:tc>
          <w:tcPr>
            <w:tcW w:w="4750" w:type="dxa"/>
          </w:tcPr>
          <w:p w14:paraId="0BAA156B" w14:textId="302628E3" w:rsidR="00B65B5C" w:rsidRPr="00D01DED" w:rsidRDefault="00B65B5C" w:rsidP="00B65B5C">
            <w:pPr>
              <w:rPr>
                <w:rFonts w:eastAsia="Calibri" w:cs="Arial"/>
                <w:szCs w:val="20"/>
              </w:rPr>
            </w:pPr>
          </w:p>
          <w:p w14:paraId="42FB597E" w14:textId="3FA5061F" w:rsidR="00B65B5C" w:rsidRPr="00D01DED" w:rsidRDefault="00B65B5C" w:rsidP="00B65B5C">
            <w:pPr>
              <w:rPr>
                <w:rFonts w:eastAsia="Calibri" w:cs="Arial"/>
                <w:szCs w:val="20"/>
              </w:rPr>
            </w:pPr>
          </w:p>
          <w:p w14:paraId="38E8BAD0" w14:textId="77777777" w:rsidR="00B65B5C" w:rsidRPr="00D01DED" w:rsidRDefault="00B65B5C" w:rsidP="00B65B5C">
            <w:pPr>
              <w:rPr>
                <w:rFonts w:eastAsia="Calibri" w:cs="Arial"/>
                <w:szCs w:val="20"/>
              </w:rPr>
            </w:pPr>
          </w:p>
          <w:p w14:paraId="47E7BEB8" w14:textId="1B64ED2D" w:rsidR="007727A2" w:rsidRPr="00D01DED" w:rsidRDefault="007727A2" w:rsidP="00B65B5C">
            <w:pPr>
              <w:spacing w:after="0"/>
              <w:jc w:val="center"/>
            </w:pPr>
            <w:r w:rsidRPr="00D01DED">
              <w:rPr>
                <w:rFonts w:eastAsia="Calibri" w:cs="Arial"/>
                <w:szCs w:val="20"/>
              </w:rPr>
              <w:t>………………………………………………</w:t>
            </w:r>
            <w:r w:rsidRPr="00D01DED">
              <w:rPr>
                <w:rFonts w:eastAsia="Calibri" w:cs="Arial"/>
                <w:szCs w:val="20"/>
              </w:rPr>
              <w:br/>
            </w:r>
            <w:r w:rsidRPr="00D01DED">
              <w:rPr>
                <w:rFonts w:eastAsia="Calibri" w:cs="Georgia"/>
                <w:b/>
                <w:bCs/>
                <w:szCs w:val="20"/>
              </w:rPr>
              <w:t>Zhotovitel/Appaltatore Luisa Flora</w:t>
            </w:r>
          </w:p>
        </w:tc>
      </w:tr>
    </w:tbl>
    <w:p w14:paraId="5303849B" w14:textId="0BF9BA40" w:rsidR="007D7327" w:rsidRPr="00D01DED" w:rsidRDefault="007D7327" w:rsidP="00B65B5C"/>
    <w:p w14:paraId="066AE499" w14:textId="4DD06FAA" w:rsidR="00985F2B" w:rsidRPr="00D01DED" w:rsidRDefault="00985F2B" w:rsidP="00B65B5C"/>
    <w:p w14:paraId="50589B6F" w14:textId="724FC085" w:rsidR="00985F2B" w:rsidRPr="00D01DED" w:rsidRDefault="00985F2B" w:rsidP="00B65B5C"/>
    <w:p w14:paraId="7899AE4A" w14:textId="3AC05660" w:rsidR="00985F2B" w:rsidRPr="00D01DED" w:rsidRDefault="00985F2B" w:rsidP="00B65B5C"/>
    <w:p w14:paraId="7FBE86B3" w14:textId="4B427B76" w:rsidR="00985F2B" w:rsidRPr="00D01DED" w:rsidRDefault="00985F2B" w:rsidP="00B65B5C"/>
    <w:p w14:paraId="50873036" w14:textId="166D7B08" w:rsidR="00985F2B" w:rsidRPr="00D01DED" w:rsidRDefault="00985F2B" w:rsidP="00C4795C">
      <w:pPr>
        <w:jc w:val="right"/>
        <w:rPr>
          <w:rFonts w:ascii="Arial" w:hAnsi="Arial" w:cs="Arial"/>
          <w:b/>
          <w:bCs/>
          <w:caps/>
        </w:rPr>
      </w:pPr>
      <w:r w:rsidRPr="00D01DED">
        <w:rPr>
          <w:rFonts w:ascii="Arial" w:hAnsi="Arial" w:cs="Arial"/>
          <w:b/>
          <w:bCs/>
          <w:caps/>
        </w:rPr>
        <w:t>PŘÍLOHA 3. SPECIFIKACE VÍCEPRACÍ</w:t>
      </w:r>
      <w:r w:rsidRPr="00D01DED">
        <w:rPr>
          <w:rFonts w:ascii="Arial" w:hAnsi="Arial" w:cs="Arial"/>
          <w:b/>
          <w:bCs/>
          <w:caps/>
        </w:rPr>
        <w:br/>
        <w:t>l’Allegato n. 3: Specifica dei Lavori ulteriori</w:t>
      </w:r>
    </w:p>
    <w:p w14:paraId="4F5C59C9" w14:textId="70B789A1" w:rsidR="00985F2B" w:rsidRPr="00D01DED" w:rsidRDefault="00C4795C" w:rsidP="00B65B5C">
      <w:pPr>
        <w:rPr>
          <w:rFonts w:cs="Arial"/>
          <w:b/>
          <w:bCs/>
        </w:rPr>
      </w:pPr>
      <w:r w:rsidRPr="00D01DED">
        <w:rPr>
          <w:rFonts w:cs="Arial"/>
          <w:b/>
          <w:bCs/>
        </w:rPr>
        <w:t>Schedule:</w:t>
      </w:r>
    </w:p>
    <w:p w14:paraId="4E154918" w14:textId="0F37F4D0" w:rsidR="00C4795C" w:rsidRPr="00D01DED" w:rsidRDefault="00C4795C" w:rsidP="00B65B5C">
      <w:pPr>
        <w:rPr>
          <w:rFonts w:cs="Arial"/>
        </w:rPr>
      </w:pPr>
      <w:r w:rsidRPr="00D01DED">
        <w:rPr>
          <w:rFonts w:cs="Arial"/>
        </w:rPr>
        <w:t xml:space="preserve">The following changes will be done </w:t>
      </w:r>
      <w:r w:rsidRPr="00D01DED">
        <w:rPr>
          <w:rFonts w:cs="Arial"/>
          <w:b/>
          <w:bCs/>
        </w:rPr>
        <w:t>in 3 weeks</w:t>
      </w:r>
      <w:r w:rsidRPr="00D01DED">
        <w:rPr>
          <w:rFonts w:cs="Arial"/>
        </w:rPr>
        <w:t xml:space="preserve"> after the effectiveness of the contract as per article 4.2</w:t>
      </w:r>
    </w:p>
    <w:p w14:paraId="047364A3" w14:textId="4C27DCEC" w:rsidR="00985F2B" w:rsidRPr="00D01DED" w:rsidRDefault="00985F2B" w:rsidP="00985F2B">
      <w:pPr>
        <w:spacing w:after="0"/>
        <w:rPr>
          <w:rFonts w:cs="Arial"/>
          <w:b/>
          <w:bCs/>
        </w:rPr>
      </w:pPr>
      <w:r w:rsidRPr="00D01DED">
        <w:rPr>
          <w:rFonts w:cs="Arial"/>
          <w:b/>
          <w:bCs/>
        </w:rPr>
        <w:t>Main features of the new final design</w:t>
      </w:r>
      <w:r w:rsidR="00C4795C" w:rsidRPr="00D01DED">
        <w:rPr>
          <w:rFonts w:cs="Arial"/>
          <w:b/>
          <w:bCs/>
        </w:rPr>
        <w:t>:</w:t>
      </w:r>
    </w:p>
    <w:p w14:paraId="6CCFED21" w14:textId="77777777" w:rsidR="00985F2B" w:rsidRPr="00D01DED" w:rsidRDefault="00985F2B" w:rsidP="00985F2B">
      <w:pPr>
        <w:spacing w:after="0"/>
        <w:rPr>
          <w:rFonts w:cs="Arial"/>
        </w:rPr>
      </w:pPr>
    </w:p>
    <w:p w14:paraId="59E884E0" w14:textId="77777777" w:rsidR="00985F2B" w:rsidRPr="00D01DED" w:rsidRDefault="00985F2B" w:rsidP="00985F2B">
      <w:pPr>
        <w:spacing w:after="0"/>
        <w:rPr>
          <w:rFonts w:cs="Arial"/>
          <w:b/>
          <w:bCs/>
        </w:rPr>
      </w:pPr>
      <w:r w:rsidRPr="00D01DED">
        <w:rPr>
          <w:rFonts w:cs="Arial"/>
          <w:b/>
          <w:bCs/>
        </w:rPr>
        <w:t>Structural design</w:t>
      </w:r>
    </w:p>
    <w:p w14:paraId="483E600A" w14:textId="65915388" w:rsidR="00985F2B" w:rsidRPr="00D01DED" w:rsidRDefault="00985F2B" w:rsidP="00985F2B">
      <w:pPr>
        <w:pStyle w:val="Odstavecseseznamem"/>
        <w:numPr>
          <w:ilvl w:val="0"/>
          <w:numId w:val="20"/>
        </w:numPr>
        <w:spacing w:after="0"/>
        <w:ind w:left="357" w:hanging="357"/>
        <w:rPr>
          <w:rFonts w:cs="Arial"/>
        </w:rPr>
      </w:pPr>
      <w:r w:rsidRPr="00D01DED">
        <w:rPr>
          <w:rFonts w:cs="Arial"/>
        </w:rPr>
        <w:t>the structural requirements take precedence over HVAC requirements</w:t>
      </w:r>
    </w:p>
    <w:p w14:paraId="1BF7313B" w14:textId="58F96E58" w:rsidR="00985F2B" w:rsidRPr="00D01DED" w:rsidRDefault="00985F2B" w:rsidP="00985F2B">
      <w:pPr>
        <w:pStyle w:val="Odstavecseseznamem"/>
        <w:numPr>
          <w:ilvl w:val="0"/>
          <w:numId w:val="20"/>
        </w:numPr>
        <w:spacing w:after="0"/>
        <w:ind w:left="357" w:hanging="357"/>
        <w:rPr>
          <w:rFonts w:cs="Arial"/>
        </w:rPr>
      </w:pPr>
      <w:r w:rsidRPr="00D01DED">
        <w:rPr>
          <w:rFonts w:cs="Arial"/>
        </w:rPr>
        <w:t>the 4 main beams need to be replicated as closely as possible if the replacement is needed</w:t>
      </w:r>
    </w:p>
    <w:p w14:paraId="752876DA" w14:textId="76A3FB00" w:rsidR="00985F2B" w:rsidRPr="00D01DED" w:rsidRDefault="00985F2B" w:rsidP="00985F2B">
      <w:pPr>
        <w:pStyle w:val="Odstavecseseznamem"/>
        <w:numPr>
          <w:ilvl w:val="0"/>
          <w:numId w:val="20"/>
        </w:numPr>
        <w:spacing w:after="0"/>
        <w:ind w:left="357" w:hanging="357"/>
        <w:rPr>
          <w:rFonts w:cs="Arial"/>
        </w:rPr>
      </w:pPr>
      <w:r w:rsidRPr="00D01DED">
        <w:rPr>
          <w:rFonts w:cs="Arial"/>
        </w:rPr>
        <w:t>the wooden structure of the roof and the roof itself can be substituted.</w:t>
      </w:r>
    </w:p>
    <w:p w14:paraId="26D86CBC" w14:textId="24A76961" w:rsidR="00985F2B" w:rsidRPr="00D01DED" w:rsidRDefault="00985F2B" w:rsidP="00C4795C">
      <w:pPr>
        <w:pStyle w:val="Odstavecseseznamem"/>
        <w:numPr>
          <w:ilvl w:val="0"/>
          <w:numId w:val="20"/>
        </w:numPr>
        <w:spacing w:after="0"/>
        <w:ind w:left="357" w:hanging="357"/>
        <w:rPr>
          <w:rFonts w:cs="Arial"/>
        </w:rPr>
      </w:pPr>
      <w:r w:rsidRPr="00D01DED">
        <w:rPr>
          <w:rFonts w:cs="Arial"/>
        </w:rPr>
        <w:t>the possibility to create a continuous ring beam on the top of the building with helical bars will be</w:t>
      </w:r>
      <w:r w:rsidR="00C4795C" w:rsidRPr="00D01DED">
        <w:rPr>
          <w:rFonts w:cs="Arial"/>
        </w:rPr>
        <w:t xml:space="preserve"> </w:t>
      </w:r>
      <w:r w:rsidRPr="00D01DED">
        <w:rPr>
          <w:rFonts w:cs="Arial"/>
        </w:rPr>
        <w:t>checked</w:t>
      </w:r>
    </w:p>
    <w:p w14:paraId="57D03EC3" w14:textId="33916C5A" w:rsidR="00985F2B" w:rsidRPr="00D01DED" w:rsidRDefault="00985F2B" w:rsidP="00985F2B">
      <w:pPr>
        <w:pStyle w:val="Odstavecseseznamem"/>
        <w:numPr>
          <w:ilvl w:val="0"/>
          <w:numId w:val="20"/>
        </w:numPr>
        <w:spacing w:after="0"/>
        <w:ind w:left="357" w:hanging="357"/>
        <w:rPr>
          <w:rFonts w:cs="Arial"/>
        </w:rPr>
      </w:pPr>
      <w:r w:rsidRPr="00D01DED">
        <w:rPr>
          <w:rFonts w:cs="Arial"/>
        </w:rPr>
        <w:t>the existing skylight structure can be substituted and changed.</w:t>
      </w:r>
    </w:p>
    <w:p w14:paraId="6B04B034" w14:textId="7C598A04" w:rsidR="00985F2B" w:rsidRPr="00D01DED" w:rsidRDefault="00985F2B" w:rsidP="00985F2B">
      <w:pPr>
        <w:pStyle w:val="Odstavecseseznamem"/>
        <w:numPr>
          <w:ilvl w:val="0"/>
          <w:numId w:val="20"/>
        </w:numPr>
        <w:spacing w:after="0"/>
        <w:ind w:left="357" w:hanging="357"/>
        <w:rPr>
          <w:rFonts w:cs="Arial"/>
        </w:rPr>
      </w:pPr>
      <w:r w:rsidRPr="00D01DED">
        <w:rPr>
          <w:rFonts w:cs="Arial"/>
        </w:rPr>
        <w:t>the existing glass and structural subdivisions of the skylight can change.</w:t>
      </w:r>
    </w:p>
    <w:p w14:paraId="5358C529" w14:textId="48F09AB1" w:rsidR="00985F2B" w:rsidRPr="00D01DED" w:rsidRDefault="00985F2B" w:rsidP="00C4795C">
      <w:pPr>
        <w:pStyle w:val="Odstavecseseznamem"/>
        <w:numPr>
          <w:ilvl w:val="0"/>
          <w:numId w:val="20"/>
        </w:numPr>
        <w:spacing w:after="0"/>
        <w:ind w:left="357" w:hanging="357"/>
        <w:rPr>
          <w:rFonts w:cs="Arial"/>
        </w:rPr>
      </w:pPr>
      <w:r w:rsidRPr="00D01DED">
        <w:rPr>
          <w:rFonts w:cs="Arial"/>
        </w:rPr>
        <w:t>the glass thickness proposed on the final draft is accepted and the weight of the structure will be set</w:t>
      </w:r>
      <w:r w:rsidR="00C4795C" w:rsidRPr="00D01DED">
        <w:rPr>
          <w:rFonts w:cs="Arial"/>
        </w:rPr>
        <w:t xml:space="preserve"> </w:t>
      </w:r>
      <w:r w:rsidRPr="00D01DED">
        <w:rPr>
          <w:rFonts w:cs="Arial"/>
        </w:rPr>
        <w:t>accordingly</w:t>
      </w:r>
    </w:p>
    <w:p w14:paraId="368B209E" w14:textId="46052601" w:rsidR="00985F2B" w:rsidRPr="00D01DED" w:rsidRDefault="00985F2B" w:rsidP="00C4795C">
      <w:pPr>
        <w:pStyle w:val="Odstavecseseznamem"/>
        <w:numPr>
          <w:ilvl w:val="0"/>
          <w:numId w:val="20"/>
        </w:numPr>
        <w:spacing w:after="0"/>
        <w:ind w:left="357" w:hanging="357"/>
        <w:rPr>
          <w:rFonts w:cs="Arial"/>
        </w:rPr>
      </w:pPr>
      <w:r w:rsidRPr="00D01DED">
        <w:rPr>
          <w:rFonts w:cs="Arial"/>
        </w:rPr>
        <w:t>the entrance part marble can be dismantled to strengthen the rusting steel beam which is causing</w:t>
      </w:r>
      <w:r w:rsidR="00C4795C" w:rsidRPr="00D01DED">
        <w:rPr>
          <w:rFonts w:cs="Arial"/>
        </w:rPr>
        <w:t xml:space="preserve"> </w:t>
      </w:r>
      <w:r w:rsidRPr="00D01DED">
        <w:rPr>
          <w:rFonts w:cs="Arial"/>
        </w:rPr>
        <w:t>the cracks</w:t>
      </w:r>
    </w:p>
    <w:p w14:paraId="126F26B7" w14:textId="481310B2" w:rsidR="00985F2B" w:rsidRPr="00D01DED" w:rsidRDefault="00985F2B" w:rsidP="00985F2B">
      <w:pPr>
        <w:pStyle w:val="Odstavecseseznamem"/>
        <w:numPr>
          <w:ilvl w:val="0"/>
          <w:numId w:val="20"/>
        </w:numPr>
        <w:spacing w:after="0"/>
        <w:ind w:left="357" w:hanging="357"/>
        <w:rPr>
          <w:rFonts w:cs="Arial"/>
        </w:rPr>
      </w:pPr>
      <w:r w:rsidRPr="00D01DED">
        <w:rPr>
          <w:rFonts w:cs="Arial"/>
        </w:rPr>
        <w:t>foundations must be reinforced to support the increased load resulting from the new structure.</w:t>
      </w:r>
    </w:p>
    <w:p w14:paraId="4D2D01BD" w14:textId="35C99CC8" w:rsidR="00985F2B" w:rsidRPr="00D01DED" w:rsidRDefault="00985F2B" w:rsidP="00985F2B">
      <w:pPr>
        <w:pStyle w:val="Odstavecseseznamem"/>
        <w:numPr>
          <w:ilvl w:val="0"/>
          <w:numId w:val="20"/>
        </w:numPr>
        <w:spacing w:after="0"/>
        <w:ind w:left="357" w:hanging="357"/>
        <w:rPr>
          <w:rFonts w:cs="Arial"/>
        </w:rPr>
      </w:pPr>
      <w:r w:rsidRPr="00D01DED">
        <w:rPr>
          <w:rFonts w:cs="Arial"/>
        </w:rPr>
        <w:t>the foundations reinforcements will be of shallow type and not on piles.</w:t>
      </w:r>
    </w:p>
    <w:p w14:paraId="52A87F88" w14:textId="63F29D32" w:rsidR="00985F2B" w:rsidRPr="00D01DED" w:rsidRDefault="00985F2B" w:rsidP="00985F2B">
      <w:pPr>
        <w:pStyle w:val="Odstavecseseznamem"/>
        <w:numPr>
          <w:ilvl w:val="0"/>
          <w:numId w:val="20"/>
        </w:numPr>
        <w:spacing w:after="0"/>
        <w:ind w:left="357" w:hanging="357"/>
        <w:rPr>
          <w:rFonts w:cs="Arial"/>
        </w:rPr>
      </w:pPr>
      <w:r w:rsidRPr="00D01DED">
        <w:rPr>
          <w:rFonts w:cs="Arial"/>
        </w:rPr>
        <w:t>a waterproofing layer will be added to the base of the building</w:t>
      </w:r>
    </w:p>
    <w:p w14:paraId="5E210F96" w14:textId="77777777" w:rsidR="00985F2B" w:rsidRPr="00D01DED" w:rsidRDefault="00985F2B" w:rsidP="00985F2B">
      <w:pPr>
        <w:spacing w:after="0"/>
        <w:rPr>
          <w:rFonts w:cs="Arial"/>
        </w:rPr>
      </w:pPr>
    </w:p>
    <w:p w14:paraId="25317660" w14:textId="77777777" w:rsidR="00985F2B" w:rsidRPr="00D01DED" w:rsidRDefault="00985F2B" w:rsidP="00985F2B">
      <w:pPr>
        <w:spacing w:after="0"/>
        <w:rPr>
          <w:rFonts w:cs="Arial"/>
          <w:b/>
          <w:bCs/>
        </w:rPr>
      </w:pPr>
      <w:r w:rsidRPr="00D01DED">
        <w:rPr>
          <w:rFonts w:cs="Arial"/>
          <w:b/>
          <w:bCs/>
        </w:rPr>
        <w:t>HVAC</w:t>
      </w:r>
    </w:p>
    <w:p w14:paraId="7596FEEA" w14:textId="7F1487A9" w:rsidR="00985F2B" w:rsidRPr="00D01DED" w:rsidRDefault="00985F2B" w:rsidP="00C4795C">
      <w:pPr>
        <w:pStyle w:val="Odstavecseseznamem"/>
        <w:numPr>
          <w:ilvl w:val="0"/>
          <w:numId w:val="21"/>
        </w:numPr>
        <w:spacing w:after="0"/>
        <w:rPr>
          <w:rFonts w:cs="Arial"/>
        </w:rPr>
      </w:pPr>
      <w:r w:rsidRPr="00D01DED">
        <w:rPr>
          <w:rFonts w:cs="Arial"/>
        </w:rPr>
        <w:t>the new level of the suspended ceiling must be as close to the current level as possible. This mean</w:t>
      </w:r>
    </w:p>
    <w:p w14:paraId="50553DB7" w14:textId="7A151903" w:rsidR="00985F2B" w:rsidRPr="00D01DED" w:rsidRDefault="00985F2B" w:rsidP="00C4795C">
      <w:pPr>
        <w:pStyle w:val="Odstavecseseznamem"/>
        <w:spacing w:after="0"/>
        <w:ind w:left="360"/>
        <w:rPr>
          <w:rFonts w:cs="Arial"/>
        </w:rPr>
      </w:pPr>
      <w:r w:rsidRPr="00D01DED">
        <w:rPr>
          <w:rFonts w:cs="Arial"/>
        </w:rPr>
        <w:t>tha</w:t>
      </w:r>
      <w:r w:rsidR="00C4795C" w:rsidRPr="00D01DED">
        <w:rPr>
          <w:rFonts w:cs="Arial"/>
        </w:rPr>
        <w:t>t</w:t>
      </w:r>
      <w:r w:rsidRPr="00D01DED">
        <w:rPr>
          <w:rFonts w:cs="Arial"/>
        </w:rPr>
        <w:t xml:space="preserve"> the designed HVAC system needs to change.</w:t>
      </w:r>
    </w:p>
    <w:p w14:paraId="69AF2C32" w14:textId="50B4DF1F" w:rsidR="00985F2B" w:rsidRPr="00D01DED" w:rsidRDefault="00985F2B" w:rsidP="00C4795C">
      <w:pPr>
        <w:pStyle w:val="Odstavecseseznamem"/>
        <w:numPr>
          <w:ilvl w:val="0"/>
          <w:numId w:val="21"/>
        </w:numPr>
        <w:spacing w:after="0"/>
        <w:rPr>
          <w:rFonts w:cs="Arial"/>
        </w:rPr>
      </w:pPr>
      <w:r w:rsidRPr="00D01DED">
        <w:rPr>
          <w:rFonts w:cs="Arial"/>
        </w:rPr>
        <w:t>a glass door can be added at the entrance – the possibility to hang art on the entrance walls needs to</w:t>
      </w:r>
    </w:p>
    <w:p w14:paraId="19FF0B19" w14:textId="66EC54B6" w:rsidR="00985F2B" w:rsidRPr="00D01DED" w:rsidRDefault="00985F2B" w:rsidP="00C4795C">
      <w:pPr>
        <w:pStyle w:val="Odstavecseseznamem"/>
        <w:spacing w:after="0"/>
        <w:ind w:left="360"/>
        <w:rPr>
          <w:rFonts w:cs="Arial"/>
        </w:rPr>
      </w:pPr>
      <w:r w:rsidRPr="00D01DED">
        <w:rPr>
          <w:rFonts w:cs="Arial"/>
        </w:rPr>
        <w:t>be kept.</w:t>
      </w:r>
      <w:r w:rsidR="00C4795C" w:rsidRPr="00D01DED">
        <w:rPr>
          <w:rFonts w:cs="Arial"/>
        </w:rPr>
        <w:t xml:space="preserve"> </w:t>
      </w:r>
      <w:r w:rsidRPr="00D01DED">
        <w:rPr>
          <w:rFonts w:cs="Arial"/>
        </w:rPr>
        <w:t>Also the transportation routes from the exhibition space to the storage must be able to</w:t>
      </w:r>
      <w:r w:rsidR="00C4795C" w:rsidRPr="00D01DED">
        <w:rPr>
          <w:rFonts w:cs="Arial"/>
        </w:rPr>
        <w:t xml:space="preserve"> </w:t>
      </w:r>
      <w:r w:rsidRPr="00D01DED">
        <w:rPr>
          <w:rFonts w:cs="Arial"/>
        </w:rPr>
        <w:t>accommodate large objects (glass partition cannot be in the way)</w:t>
      </w:r>
    </w:p>
    <w:p w14:paraId="68596E56" w14:textId="51001036" w:rsidR="00985F2B" w:rsidRPr="00D01DED" w:rsidRDefault="00985F2B" w:rsidP="00C4795C">
      <w:pPr>
        <w:pStyle w:val="Odstavecseseznamem"/>
        <w:numPr>
          <w:ilvl w:val="0"/>
          <w:numId w:val="21"/>
        </w:numPr>
        <w:spacing w:after="0"/>
        <w:rPr>
          <w:rFonts w:cs="Arial"/>
        </w:rPr>
      </w:pPr>
      <w:r w:rsidRPr="00D01DED">
        <w:rPr>
          <w:rFonts w:cs="Arial"/>
        </w:rPr>
        <w:t>the insulated counterwall is scrapped.</w:t>
      </w:r>
    </w:p>
    <w:p w14:paraId="49EAC08D" w14:textId="23B84788" w:rsidR="00985F2B" w:rsidRPr="00D01DED" w:rsidRDefault="00985F2B" w:rsidP="00C4795C">
      <w:pPr>
        <w:pStyle w:val="Odstavecseseznamem"/>
        <w:numPr>
          <w:ilvl w:val="0"/>
          <w:numId w:val="21"/>
        </w:numPr>
        <w:spacing w:after="0"/>
        <w:rPr>
          <w:rFonts w:cs="Arial"/>
        </w:rPr>
      </w:pPr>
      <w:r w:rsidRPr="00D01DED">
        <w:rPr>
          <w:rFonts w:cs="Arial"/>
        </w:rPr>
        <w:t>air conditioning machines can be placed on the roof</w:t>
      </w:r>
    </w:p>
    <w:p w14:paraId="4DE9AF13" w14:textId="7037536B" w:rsidR="00985F2B" w:rsidRPr="00D01DED" w:rsidRDefault="00985F2B" w:rsidP="00C4795C">
      <w:pPr>
        <w:pStyle w:val="Odstavecseseznamem"/>
        <w:numPr>
          <w:ilvl w:val="0"/>
          <w:numId w:val="21"/>
        </w:numPr>
        <w:spacing w:after="0"/>
        <w:rPr>
          <w:rFonts w:cs="Arial"/>
        </w:rPr>
      </w:pPr>
      <w:r w:rsidRPr="00D01DED">
        <w:rPr>
          <w:rFonts w:cs="Arial"/>
        </w:rPr>
        <w:t>there’s no need to control humidity by the air-con during the Biennale</w:t>
      </w:r>
    </w:p>
    <w:p w14:paraId="54604278" w14:textId="20314697" w:rsidR="00985F2B" w:rsidRPr="00D01DED" w:rsidRDefault="00985F2B" w:rsidP="00C4795C">
      <w:pPr>
        <w:pStyle w:val="Odstavecseseznamem"/>
        <w:numPr>
          <w:ilvl w:val="0"/>
          <w:numId w:val="21"/>
        </w:numPr>
        <w:spacing w:after="0"/>
        <w:rPr>
          <w:rFonts w:cs="Arial"/>
        </w:rPr>
      </w:pPr>
      <w:r w:rsidRPr="00D01DED">
        <w:rPr>
          <w:rFonts w:cs="Arial"/>
        </w:rPr>
        <w:t>there is the need to heat the pavilion in the winter – the target temperature is up to the</w:t>
      </w:r>
      <w:r w:rsidR="00C4795C" w:rsidRPr="00D01DED">
        <w:rPr>
          <w:rFonts w:cs="Arial"/>
        </w:rPr>
        <w:t xml:space="preserve"> </w:t>
      </w:r>
      <w:r w:rsidRPr="00D01DED">
        <w:rPr>
          <w:rFonts w:cs="Arial"/>
        </w:rPr>
        <w:t>engineer. The winter temperatures and lack of use usually lead to mould forming in the</w:t>
      </w:r>
      <w:r w:rsidR="00C4795C" w:rsidRPr="00D01DED">
        <w:rPr>
          <w:rFonts w:cs="Arial"/>
        </w:rPr>
        <w:t xml:space="preserve"> </w:t>
      </w:r>
      <w:r w:rsidRPr="00D01DED">
        <w:rPr>
          <w:rFonts w:cs="Arial"/>
        </w:rPr>
        <w:t>pavilion during winter – we need to target also that.</w:t>
      </w:r>
    </w:p>
    <w:p w14:paraId="191411CA" w14:textId="4B36C465" w:rsidR="00985F2B" w:rsidRPr="00D01DED" w:rsidRDefault="00985F2B" w:rsidP="00C4795C">
      <w:pPr>
        <w:pStyle w:val="Odstavecseseznamem"/>
        <w:numPr>
          <w:ilvl w:val="0"/>
          <w:numId w:val="21"/>
        </w:numPr>
        <w:spacing w:after="0"/>
        <w:rPr>
          <w:rFonts w:cs="Arial"/>
        </w:rPr>
      </w:pPr>
      <w:r w:rsidRPr="00D01DED">
        <w:rPr>
          <w:rFonts w:cs="Arial"/>
        </w:rPr>
        <w:t>cooling is necessary, however we do not need to guarantee the conditions to a strictly</w:t>
      </w:r>
      <w:r w:rsidR="00C4795C" w:rsidRPr="00D01DED">
        <w:rPr>
          <w:rFonts w:cs="Arial"/>
        </w:rPr>
        <w:t xml:space="preserve"> </w:t>
      </w:r>
      <w:r w:rsidRPr="00D01DED">
        <w:rPr>
          <w:rFonts w:cs="Arial"/>
        </w:rPr>
        <w:t>set temperature.</w:t>
      </w:r>
    </w:p>
    <w:p w14:paraId="31FB3419" w14:textId="0B25C9D7" w:rsidR="00985F2B" w:rsidRPr="00D01DED" w:rsidRDefault="00985F2B" w:rsidP="00C4795C">
      <w:pPr>
        <w:pStyle w:val="Odstavecseseznamem"/>
        <w:numPr>
          <w:ilvl w:val="0"/>
          <w:numId w:val="21"/>
        </w:numPr>
        <w:spacing w:after="0"/>
        <w:rPr>
          <w:rFonts w:cs="Arial"/>
        </w:rPr>
      </w:pPr>
      <w:r w:rsidRPr="00D01DED">
        <w:rPr>
          <w:rFonts w:cs="Arial"/>
        </w:rPr>
        <w:t>the solution designed in the final draft with the floor inlet is approved.</w:t>
      </w:r>
    </w:p>
    <w:p w14:paraId="0D0A6206" w14:textId="41F91AB7" w:rsidR="00985F2B" w:rsidRPr="00D01DED" w:rsidRDefault="00985F2B" w:rsidP="00C4795C">
      <w:pPr>
        <w:pStyle w:val="Odstavecseseznamem"/>
        <w:numPr>
          <w:ilvl w:val="0"/>
          <w:numId w:val="21"/>
        </w:numPr>
        <w:spacing w:after="0"/>
        <w:rPr>
          <w:rFonts w:cs="Arial"/>
        </w:rPr>
      </w:pPr>
      <w:r w:rsidRPr="00D01DED">
        <w:rPr>
          <w:rFonts w:cs="Arial"/>
        </w:rPr>
        <w:t>any external pipe on the roof of the building will aesthetically look like the ones in MCA study</w:t>
      </w:r>
    </w:p>
    <w:p w14:paraId="35D96047" w14:textId="77777777" w:rsidR="00985F2B" w:rsidRPr="00D01DED" w:rsidRDefault="00985F2B" w:rsidP="00985F2B">
      <w:pPr>
        <w:spacing w:after="0"/>
        <w:rPr>
          <w:rFonts w:cs="Arial"/>
        </w:rPr>
      </w:pPr>
    </w:p>
    <w:p w14:paraId="625F49D5" w14:textId="77777777" w:rsidR="00985F2B" w:rsidRPr="00D01DED" w:rsidRDefault="00985F2B" w:rsidP="00985F2B">
      <w:pPr>
        <w:spacing w:after="0"/>
        <w:rPr>
          <w:rFonts w:cs="Arial"/>
          <w:b/>
          <w:bCs/>
        </w:rPr>
      </w:pPr>
      <w:r w:rsidRPr="00D01DED">
        <w:rPr>
          <w:rFonts w:cs="Arial"/>
          <w:b/>
          <w:bCs/>
        </w:rPr>
        <w:t>Other points</w:t>
      </w:r>
    </w:p>
    <w:p w14:paraId="7CA05F6B" w14:textId="7F055540" w:rsidR="00985F2B" w:rsidRPr="00D01DED" w:rsidRDefault="00985F2B" w:rsidP="00C4795C">
      <w:pPr>
        <w:pStyle w:val="Odstavecseseznamem"/>
        <w:numPr>
          <w:ilvl w:val="0"/>
          <w:numId w:val="22"/>
        </w:numPr>
        <w:spacing w:after="0"/>
        <w:rPr>
          <w:rFonts w:cs="Arial"/>
        </w:rPr>
      </w:pPr>
      <w:r w:rsidRPr="00D01DED">
        <w:rPr>
          <w:rFonts w:cs="Arial"/>
        </w:rPr>
        <w:t>There will be automated shading system on the skylight used for controlling the light condition</w:t>
      </w:r>
    </w:p>
    <w:p w14:paraId="2F79936B" w14:textId="77777777" w:rsidR="00985F2B" w:rsidRPr="00D01DED" w:rsidRDefault="00985F2B" w:rsidP="00C4795C">
      <w:pPr>
        <w:pStyle w:val="Odstavecseseznamem"/>
        <w:spacing w:after="0"/>
        <w:ind w:left="360"/>
        <w:rPr>
          <w:rFonts w:cs="Arial"/>
        </w:rPr>
      </w:pPr>
      <w:r w:rsidRPr="00D01DED">
        <w:rPr>
          <w:rFonts w:cs="Arial"/>
        </w:rPr>
        <w:t>during the day.</w:t>
      </w:r>
    </w:p>
    <w:p w14:paraId="661939F9" w14:textId="39DA39A0" w:rsidR="00985F2B" w:rsidRPr="00D01DED" w:rsidRDefault="00985F2B" w:rsidP="00C4795C">
      <w:pPr>
        <w:pStyle w:val="Odstavecseseznamem"/>
        <w:numPr>
          <w:ilvl w:val="0"/>
          <w:numId w:val="22"/>
        </w:numPr>
        <w:spacing w:after="0"/>
        <w:rPr>
          <w:rFonts w:cs="Arial"/>
        </w:rPr>
      </w:pPr>
      <w:r w:rsidRPr="00D01DED">
        <w:rPr>
          <w:rFonts w:cs="Arial"/>
        </w:rPr>
        <w:t>There will also be a manual system (hooks of some kind) to install a shading underneath the skylight</w:t>
      </w:r>
    </w:p>
    <w:p w14:paraId="70D1F7F2" w14:textId="77777777" w:rsidR="00985F2B" w:rsidRPr="00D01DED" w:rsidRDefault="00985F2B" w:rsidP="00C4795C">
      <w:pPr>
        <w:pStyle w:val="Odstavecseseznamem"/>
        <w:spacing w:after="0"/>
        <w:ind w:left="360"/>
        <w:rPr>
          <w:rFonts w:cs="Arial"/>
        </w:rPr>
      </w:pPr>
      <w:r w:rsidRPr="00D01DED">
        <w:rPr>
          <w:rFonts w:cs="Arial"/>
        </w:rPr>
        <w:t>for events and special occasions.</w:t>
      </w:r>
    </w:p>
    <w:p w14:paraId="4221EDBC" w14:textId="6F0C2C80" w:rsidR="00985F2B" w:rsidRPr="00D01DED" w:rsidRDefault="00985F2B" w:rsidP="00C4795C">
      <w:pPr>
        <w:pStyle w:val="Odstavecseseznamem"/>
        <w:numPr>
          <w:ilvl w:val="0"/>
          <w:numId w:val="22"/>
        </w:numPr>
        <w:spacing w:after="0"/>
        <w:rPr>
          <w:rFonts w:cs="Arial"/>
        </w:rPr>
      </w:pPr>
      <w:r w:rsidRPr="00D01DED">
        <w:rPr>
          <w:rFonts w:cs="Arial"/>
        </w:rPr>
        <w:t>The entrance security shutter should be completely hidden if open.</w:t>
      </w:r>
    </w:p>
    <w:p w14:paraId="3E04ABC7" w14:textId="0E4D6ECF" w:rsidR="00985F2B" w:rsidRPr="00D01DED" w:rsidRDefault="00985F2B" w:rsidP="00C4795C">
      <w:pPr>
        <w:pStyle w:val="Odstavecseseznamem"/>
        <w:numPr>
          <w:ilvl w:val="0"/>
          <w:numId w:val="22"/>
        </w:numPr>
        <w:spacing w:after="0"/>
        <w:rPr>
          <w:rFonts w:cs="Arial"/>
        </w:rPr>
      </w:pPr>
      <w:r w:rsidRPr="00D01DED">
        <w:rPr>
          <w:rFonts w:cs="Arial"/>
        </w:rPr>
        <w:t>The storage room needs to be as big as possible. This has to be reflected in the HVAC design</w:t>
      </w:r>
    </w:p>
    <w:sectPr w:rsidR="00985F2B" w:rsidRPr="00D01DED" w:rsidSect="00980D15">
      <w:headerReference w:type="default" r:id="rId8"/>
      <w:footerReference w:type="default" r:id="rId9"/>
      <w:headerReference w:type="first" r:id="rId10"/>
      <w:footerReference w:type="first" r:id="rId11"/>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36786" w14:textId="77777777" w:rsidR="00FE5AAF" w:rsidRDefault="00FE5AAF" w:rsidP="00440334">
      <w:r>
        <w:separator/>
      </w:r>
    </w:p>
  </w:endnote>
  <w:endnote w:type="continuationSeparator" w:id="0">
    <w:p w14:paraId="53356B16" w14:textId="77777777" w:rsidR="00FE5AAF" w:rsidRDefault="00FE5AAF"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0C4" w14:textId="77777777" w:rsidR="002E6A54" w:rsidRDefault="002E6A54" w:rsidP="00440334">
    <w:pPr>
      <w:pStyle w:val="Zpat"/>
    </w:pPr>
    <w:r>
      <w:rPr>
        <w:noProof/>
        <w:lang w:eastAsia="cs-CZ"/>
      </w:rPr>
      <w:drawing>
        <wp:anchor distT="0" distB="0" distL="114300" distR="114300" simplePos="0" relativeHeight="251671552" behindDoc="0" locked="1" layoutInCell="1" allowOverlap="1" wp14:anchorId="443B0717" wp14:editId="278BDB9E">
          <wp:simplePos x="0" y="0"/>
          <wp:positionH relativeFrom="page">
            <wp:align>left</wp:align>
          </wp:positionH>
          <wp:positionV relativeFrom="page">
            <wp:align>bottom</wp:align>
          </wp:positionV>
          <wp:extent cx="7560000" cy="1069200"/>
          <wp:effectExtent l="0" t="0" r="0" b="0"/>
          <wp:wrapNone/>
          <wp:docPr id="575" name="Obrázek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484D" w14:textId="77777777" w:rsidR="00A6023F" w:rsidRDefault="00A6023F" w:rsidP="00440334">
    <w:pPr>
      <w:pStyle w:val="Zpat"/>
      <w:rPr>
        <w:noProof/>
      </w:rPr>
    </w:pPr>
  </w:p>
  <w:p w14:paraId="181E782F" w14:textId="77777777" w:rsidR="00A6023F" w:rsidRPr="00C010B8" w:rsidRDefault="00635819" w:rsidP="00440334">
    <w:pPr>
      <w:pStyle w:val="Zpat"/>
    </w:pPr>
    <w:r>
      <w:rPr>
        <w:noProof/>
        <w:lang w:eastAsia="cs-CZ"/>
      </w:rPr>
      <w:drawing>
        <wp:inline distT="0" distB="0" distL="0" distR="0" wp14:anchorId="516851C6" wp14:editId="2A15F53E">
          <wp:extent cx="5399405" cy="763270"/>
          <wp:effectExtent l="0" t="0" r="0" b="0"/>
          <wp:docPr id="578" name="Obráze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63F55E1E" w14:textId="77777777" w:rsidR="004067F8" w:rsidRPr="00C010B8" w:rsidRDefault="004067F8"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84C49" w14:textId="77777777" w:rsidR="00FE5AAF" w:rsidRDefault="00FE5AAF" w:rsidP="00440334">
      <w:r>
        <w:separator/>
      </w:r>
    </w:p>
  </w:footnote>
  <w:footnote w:type="continuationSeparator" w:id="0">
    <w:p w14:paraId="3E80F5C5" w14:textId="77777777" w:rsidR="00FE5AAF" w:rsidRDefault="00FE5AAF"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E7F5" w14:textId="77777777" w:rsidR="00376D06" w:rsidRDefault="002E6A54" w:rsidP="00440334">
    <w:pPr>
      <w:pStyle w:val="Zhlav"/>
    </w:pPr>
    <w:r>
      <w:rPr>
        <w:noProof/>
        <w:lang w:eastAsia="cs-CZ"/>
      </w:rPr>
      <w:drawing>
        <wp:anchor distT="0" distB="0" distL="114300" distR="114300" simplePos="0" relativeHeight="251673600" behindDoc="0" locked="1" layoutInCell="1" allowOverlap="1" wp14:anchorId="34E8B8D6" wp14:editId="5F07AB14">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F21A" w14:textId="77777777" w:rsidR="00F916E6" w:rsidRDefault="00635819" w:rsidP="00440334">
    <w:pPr>
      <w:pStyle w:val="Zhlav"/>
    </w:pPr>
    <w:r>
      <w:rPr>
        <w:noProof/>
        <w:lang w:eastAsia="cs-CZ"/>
      </w:rPr>
      <w:drawing>
        <wp:anchor distT="0" distB="0" distL="114300" distR="114300" simplePos="0" relativeHeight="251669504" behindDoc="0" locked="1" layoutInCell="1" allowOverlap="1" wp14:anchorId="3B750335" wp14:editId="1308D4AF">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0" locked="1" layoutInCell="1" allowOverlap="1" wp14:anchorId="54D3FB8A" wp14:editId="6365BF49">
          <wp:simplePos x="0" y="0"/>
          <wp:positionH relativeFrom="page">
            <wp:align>left</wp:align>
          </wp:positionH>
          <wp:positionV relativeFrom="page">
            <wp:align>top</wp:align>
          </wp:positionV>
          <wp:extent cx="7560000" cy="2048400"/>
          <wp:effectExtent l="0" t="0" r="0" b="0"/>
          <wp:wrapTopAndBottom/>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960"/>
    <w:multiLevelType w:val="multilevel"/>
    <w:tmpl w:val="14A07FA2"/>
    <w:lvl w:ilvl="0">
      <w:start w:val="3"/>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082C32E9"/>
    <w:multiLevelType w:val="multilevel"/>
    <w:tmpl w:val="A1689778"/>
    <w:lvl w:ilvl="0">
      <w:start w:val="4"/>
      <w:numFmt w:val="decimal"/>
      <w:lvlText w:val="%1."/>
      <w:lvlJc w:val="left"/>
      <w:pPr>
        <w:ind w:left="360" w:hanging="360"/>
      </w:pPr>
      <w:rPr>
        <w:rFonts w:eastAsia="Calibri" w:cs="Arial" w:hint="default"/>
        <w:color w:val="000000"/>
      </w:rPr>
    </w:lvl>
    <w:lvl w:ilvl="1">
      <w:start w:val="3"/>
      <w:numFmt w:val="decimal"/>
      <w:lvlText w:val="%1.%2."/>
      <w:lvlJc w:val="left"/>
      <w:pPr>
        <w:ind w:left="720" w:hanging="720"/>
      </w:pPr>
      <w:rPr>
        <w:rFonts w:eastAsia="Calibri" w:cs="Arial" w:hint="default"/>
        <w:color w:val="000000"/>
      </w:rPr>
    </w:lvl>
    <w:lvl w:ilvl="2">
      <w:start w:val="1"/>
      <w:numFmt w:val="decimal"/>
      <w:lvlText w:val="%1.%2.%3."/>
      <w:lvlJc w:val="left"/>
      <w:pPr>
        <w:ind w:left="720" w:hanging="720"/>
      </w:pPr>
      <w:rPr>
        <w:rFonts w:eastAsia="Calibri" w:cs="Arial" w:hint="default"/>
        <w:color w:val="000000"/>
      </w:rPr>
    </w:lvl>
    <w:lvl w:ilvl="3">
      <w:start w:val="1"/>
      <w:numFmt w:val="decimal"/>
      <w:lvlText w:val="%1.%2.%3.%4."/>
      <w:lvlJc w:val="left"/>
      <w:pPr>
        <w:ind w:left="1080" w:hanging="1080"/>
      </w:pPr>
      <w:rPr>
        <w:rFonts w:eastAsia="Calibri" w:cs="Arial" w:hint="default"/>
        <w:color w:val="000000"/>
      </w:rPr>
    </w:lvl>
    <w:lvl w:ilvl="4">
      <w:start w:val="1"/>
      <w:numFmt w:val="decimal"/>
      <w:lvlText w:val="%1.%2.%3.%4.%5."/>
      <w:lvlJc w:val="left"/>
      <w:pPr>
        <w:ind w:left="1080" w:hanging="1080"/>
      </w:pPr>
      <w:rPr>
        <w:rFonts w:eastAsia="Calibri" w:cs="Arial" w:hint="default"/>
        <w:color w:val="000000"/>
      </w:rPr>
    </w:lvl>
    <w:lvl w:ilvl="5">
      <w:start w:val="1"/>
      <w:numFmt w:val="decimal"/>
      <w:lvlText w:val="%1.%2.%3.%4.%5.%6."/>
      <w:lvlJc w:val="left"/>
      <w:pPr>
        <w:ind w:left="1440" w:hanging="1440"/>
      </w:pPr>
      <w:rPr>
        <w:rFonts w:eastAsia="Calibri" w:cs="Arial" w:hint="default"/>
        <w:color w:val="000000"/>
      </w:rPr>
    </w:lvl>
    <w:lvl w:ilvl="6">
      <w:start w:val="1"/>
      <w:numFmt w:val="decimal"/>
      <w:lvlText w:val="%1.%2.%3.%4.%5.%6.%7."/>
      <w:lvlJc w:val="left"/>
      <w:pPr>
        <w:ind w:left="1440" w:hanging="1440"/>
      </w:pPr>
      <w:rPr>
        <w:rFonts w:eastAsia="Calibri" w:cs="Arial" w:hint="default"/>
        <w:color w:val="000000"/>
      </w:rPr>
    </w:lvl>
    <w:lvl w:ilvl="7">
      <w:start w:val="1"/>
      <w:numFmt w:val="decimal"/>
      <w:lvlText w:val="%1.%2.%3.%4.%5.%6.%7.%8."/>
      <w:lvlJc w:val="left"/>
      <w:pPr>
        <w:ind w:left="1800" w:hanging="1800"/>
      </w:pPr>
      <w:rPr>
        <w:rFonts w:eastAsia="Calibri" w:cs="Arial" w:hint="default"/>
        <w:color w:val="000000"/>
      </w:rPr>
    </w:lvl>
    <w:lvl w:ilvl="8">
      <w:start w:val="1"/>
      <w:numFmt w:val="decimal"/>
      <w:lvlText w:val="%1.%2.%3.%4.%5.%6.%7.%8.%9."/>
      <w:lvlJc w:val="left"/>
      <w:pPr>
        <w:ind w:left="1800" w:hanging="1800"/>
      </w:pPr>
      <w:rPr>
        <w:rFonts w:eastAsia="Calibri" w:cs="Arial" w:hint="default"/>
        <w:color w:val="000000"/>
      </w:rPr>
    </w:lvl>
  </w:abstractNum>
  <w:abstractNum w:abstractNumId="2" w15:restartNumberingAfterBreak="0">
    <w:nsid w:val="0D5B17C2"/>
    <w:multiLevelType w:val="multilevel"/>
    <w:tmpl w:val="2B42D81A"/>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0E4F1BF3"/>
    <w:multiLevelType w:val="multilevel"/>
    <w:tmpl w:val="E2A0C0FA"/>
    <w:lvl w:ilvl="0">
      <w:start w:val="4"/>
      <w:numFmt w:val="decimal"/>
      <w:lvlText w:val="%1."/>
      <w:lvlJc w:val="left"/>
      <w:pPr>
        <w:ind w:left="360" w:hanging="360"/>
      </w:pPr>
      <w:rPr>
        <w:rFonts w:eastAsia="Calibri" w:cs="Arial" w:hint="default"/>
        <w:color w:val="000000"/>
      </w:rPr>
    </w:lvl>
    <w:lvl w:ilvl="1">
      <w:start w:val="4"/>
      <w:numFmt w:val="decimal"/>
      <w:lvlText w:val="%1.%2."/>
      <w:lvlJc w:val="left"/>
      <w:pPr>
        <w:ind w:left="720" w:hanging="720"/>
      </w:pPr>
      <w:rPr>
        <w:rFonts w:eastAsia="Calibri" w:cs="Arial" w:hint="default"/>
        <w:color w:val="000000"/>
      </w:rPr>
    </w:lvl>
    <w:lvl w:ilvl="2">
      <w:start w:val="1"/>
      <w:numFmt w:val="decimal"/>
      <w:lvlText w:val="%1.%2.%3."/>
      <w:lvlJc w:val="left"/>
      <w:pPr>
        <w:ind w:left="720" w:hanging="720"/>
      </w:pPr>
      <w:rPr>
        <w:rFonts w:eastAsia="Calibri" w:cs="Arial" w:hint="default"/>
        <w:color w:val="000000"/>
      </w:rPr>
    </w:lvl>
    <w:lvl w:ilvl="3">
      <w:start w:val="1"/>
      <w:numFmt w:val="decimal"/>
      <w:lvlText w:val="%1.%2.%3.%4."/>
      <w:lvlJc w:val="left"/>
      <w:pPr>
        <w:ind w:left="1080" w:hanging="1080"/>
      </w:pPr>
      <w:rPr>
        <w:rFonts w:eastAsia="Calibri" w:cs="Arial" w:hint="default"/>
        <w:color w:val="000000"/>
      </w:rPr>
    </w:lvl>
    <w:lvl w:ilvl="4">
      <w:start w:val="1"/>
      <w:numFmt w:val="decimal"/>
      <w:lvlText w:val="%1.%2.%3.%4.%5."/>
      <w:lvlJc w:val="left"/>
      <w:pPr>
        <w:ind w:left="1080" w:hanging="1080"/>
      </w:pPr>
      <w:rPr>
        <w:rFonts w:eastAsia="Calibri" w:cs="Arial" w:hint="default"/>
        <w:color w:val="000000"/>
      </w:rPr>
    </w:lvl>
    <w:lvl w:ilvl="5">
      <w:start w:val="1"/>
      <w:numFmt w:val="decimal"/>
      <w:lvlText w:val="%1.%2.%3.%4.%5.%6."/>
      <w:lvlJc w:val="left"/>
      <w:pPr>
        <w:ind w:left="1440" w:hanging="1440"/>
      </w:pPr>
      <w:rPr>
        <w:rFonts w:eastAsia="Calibri" w:cs="Arial" w:hint="default"/>
        <w:color w:val="000000"/>
      </w:rPr>
    </w:lvl>
    <w:lvl w:ilvl="6">
      <w:start w:val="1"/>
      <w:numFmt w:val="decimal"/>
      <w:lvlText w:val="%1.%2.%3.%4.%5.%6.%7."/>
      <w:lvlJc w:val="left"/>
      <w:pPr>
        <w:ind w:left="1440" w:hanging="1440"/>
      </w:pPr>
      <w:rPr>
        <w:rFonts w:eastAsia="Calibri" w:cs="Arial" w:hint="default"/>
        <w:color w:val="000000"/>
      </w:rPr>
    </w:lvl>
    <w:lvl w:ilvl="7">
      <w:start w:val="1"/>
      <w:numFmt w:val="decimal"/>
      <w:lvlText w:val="%1.%2.%3.%4.%5.%6.%7.%8."/>
      <w:lvlJc w:val="left"/>
      <w:pPr>
        <w:ind w:left="1800" w:hanging="1800"/>
      </w:pPr>
      <w:rPr>
        <w:rFonts w:eastAsia="Calibri" w:cs="Arial" w:hint="default"/>
        <w:color w:val="000000"/>
      </w:rPr>
    </w:lvl>
    <w:lvl w:ilvl="8">
      <w:start w:val="1"/>
      <w:numFmt w:val="decimal"/>
      <w:lvlText w:val="%1.%2.%3.%4.%5.%6.%7.%8.%9."/>
      <w:lvlJc w:val="left"/>
      <w:pPr>
        <w:ind w:left="1800" w:hanging="1800"/>
      </w:pPr>
      <w:rPr>
        <w:rFonts w:eastAsia="Calibri" w:cs="Arial" w:hint="default"/>
        <w:color w:val="000000"/>
      </w:rPr>
    </w:lvl>
  </w:abstractNum>
  <w:abstractNum w:abstractNumId="4" w15:restartNumberingAfterBreak="0">
    <w:nsid w:val="0F5E482F"/>
    <w:multiLevelType w:val="multilevel"/>
    <w:tmpl w:val="D64CBFE4"/>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2DC2A43"/>
    <w:multiLevelType w:val="multilevel"/>
    <w:tmpl w:val="7FD80250"/>
    <w:lvl w:ilvl="0">
      <w:start w:val="3"/>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D050690"/>
    <w:multiLevelType w:val="hybridMultilevel"/>
    <w:tmpl w:val="605E5F0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303D32"/>
    <w:multiLevelType w:val="hybridMultilevel"/>
    <w:tmpl w:val="B6101B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9B0F53"/>
    <w:multiLevelType w:val="multilevel"/>
    <w:tmpl w:val="08E6E26C"/>
    <w:lvl w:ilvl="0">
      <w:start w:val="4"/>
      <w:numFmt w:val="decimal"/>
      <w:lvlText w:val="%1."/>
      <w:lvlJc w:val="left"/>
      <w:pPr>
        <w:ind w:left="360" w:hanging="360"/>
      </w:pPr>
      <w:rPr>
        <w:rFonts w:eastAsia="Calibri" w:cs="Arial" w:hint="default"/>
        <w:color w:val="000000"/>
      </w:rPr>
    </w:lvl>
    <w:lvl w:ilvl="1">
      <w:start w:val="1"/>
      <w:numFmt w:val="decimal"/>
      <w:lvlText w:val="%1.%2."/>
      <w:lvlJc w:val="left"/>
      <w:pPr>
        <w:ind w:left="720" w:hanging="720"/>
      </w:pPr>
      <w:rPr>
        <w:rFonts w:eastAsia="Calibri" w:cs="Arial" w:hint="default"/>
        <w:color w:val="000000"/>
      </w:rPr>
    </w:lvl>
    <w:lvl w:ilvl="2">
      <w:start w:val="1"/>
      <w:numFmt w:val="decimal"/>
      <w:lvlText w:val="%1.%2.%3."/>
      <w:lvlJc w:val="left"/>
      <w:pPr>
        <w:ind w:left="720" w:hanging="720"/>
      </w:pPr>
      <w:rPr>
        <w:rFonts w:eastAsia="Calibri" w:cs="Arial" w:hint="default"/>
        <w:color w:val="000000"/>
      </w:rPr>
    </w:lvl>
    <w:lvl w:ilvl="3">
      <w:start w:val="1"/>
      <w:numFmt w:val="decimal"/>
      <w:lvlText w:val="%1.%2.%3.%4."/>
      <w:lvlJc w:val="left"/>
      <w:pPr>
        <w:ind w:left="1080" w:hanging="1080"/>
      </w:pPr>
      <w:rPr>
        <w:rFonts w:eastAsia="Calibri" w:cs="Arial" w:hint="default"/>
        <w:color w:val="000000"/>
      </w:rPr>
    </w:lvl>
    <w:lvl w:ilvl="4">
      <w:start w:val="1"/>
      <w:numFmt w:val="decimal"/>
      <w:lvlText w:val="%1.%2.%3.%4.%5."/>
      <w:lvlJc w:val="left"/>
      <w:pPr>
        <w:ind w:left="1080" w:hanging="1080"/>
      </w:pPr>
      <w:rPr>
        <w:rFonts w:eastAsia="Calibri" w:cs="Arial" w:hint="default"/>
        <w:color w:val="000000"/>
      </w:rPr>
    </w:lvl>
    <w:lvl w:ilvl="5">
      <w:start w:val="1"/>
      <w:numFmt w:val="decimal"/>
      <w:lvlText w:val="%1.%2.%3.%4.%5.%6."/>
      <w:lvlJc w:val="left"/>
      <w:pPr>
        <w:ind w:left="1440" w:hanging="1440"/>
      </w:pPr>
      <w:rPr>
        <w:rFonts w:eastAsia="Calibri" w:cs="Arial" w:hint="default"/>
        <w:color w:val="000000"/>
      </w:rPr>
    </w:lvl>
    <w:lvl w:ilvl="6">
      <w:start w:val="1"/>
      <w:numFmt w:val="decimal"/>
      <w:lvlText w:val="%1.%2.%3.%4.%5.%6.%7."/>
      <w:lvlJc w:val="left"/>
      <w:pPr>
        <w:ind w:left="1440" w:hanging="1440"/>
      </w:pPr>
      <w:rPr>
        <w:rFonts w:eastAsia="Calibri" w:cs="Arial" w:hint="default"/>
        <w:color w:val="000000"/>
      </w:rPr>
    </w:lvl>
    <w:lvl w:ilvl="7">
      <w:start w:val="1"/>
      <w:numFmt w:val="decimal"/>
      <w:lvlText w:val="%1.%2.%3.%4.%5.%6.%7.%8."/>
      <w:lvlJc w:val="left"/>
      <w:pPr>
        <w:ind w:left="1800" w:hanging="1800"/>
      </w:pPr>
      <w:rPr>
        <w:rFonts w:eastAsia="Calibri" w:cs="Arial" w:hint="default"/>
        <w:color w:val="000000"/>
      </w:rPr>
    </w:lvl>
    <w:lvl w:ilvl="8">
      <w:start w:val="1"/>
      <w:numFmt w:val="decimal"/>
      <w:lvlText w:val="%1.%2.%3.%4.%5.%6.%7.%8.%9."/>
      <w:lvlJc w:val="left"/>
      <w:pPr>
        <w:ind w:left="1800" w:hanging="1800"/>
      </w:pPr>
      <w:rPr>
        <w:rFonts w:eastAsia="Calibri" w:cs="Arial" w:hint="default"/>
        <w:color w:val="000000"/>
      </w:rPr>
    </w:lvl>
  </w:abstractNum>
  <w:abstractNum w:abstractNumId="9" w15:restartNumberingAfterBreak="0">
    <w:nsid w:val="31582985"/>
    <w:multiLevelType w:val="hybridMultilevel"/>
    <w:tmpl w:val="06984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187A67"/>
    <w:multiLevelType w:val="hybridMultilevel"/>
    <w:tmpl w:val="293E98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8247BC8"/>
    <w:multiLevelType w:val="multilevel"/>
    <w:tmpl w:val="5BBA892A"/>
    <w:lvl w:ilvl="0">
      <w:start w:val="3"/>
      <w:numFmt w:val="decimal"/>
      <w:lvlText w:val="%1."/>
      <w:lvlJc w:val="left"/>
      <w:pPr>
        <w:ind w:left="360" w:hanging="36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8A42776"/>
    <w:multiLevelType w:val="multilevel"/>
    <w:tmpl w:val="8B244790"/>
    <w:lvl w:ilvl="0">
      <w:start w:val="4"/>
      <w:numFmt w:val="decimal"/>
      <w:lvlText w:val="%1."/>
      <w:lvlJc w:val="left"/>
      <w:pPr>
        <w:ind w:left="360" w:hanging="360"/>
      </w:pPr>
      <w:rPr>
        <w:rFonts w:eastAsia="Calibri" w:cs="Arial" w:hint="default"/>
        <w:color w:val="000000"/>
      </w:rPr>
    </w:lvl>
    <w:lvl w:ilvl="1">
      <w:start w:val="2"/>
      <w:numFmt w:val="decimal"/>
      <w:lvlText w:val="%1.%2."/>
      <w:lvlJc w:val="left"/>
      <w:pPr>
        <w:ind w:left="720" w:hanging="720"/>
      </w:pPr>
      <w:rPr>
        <w:rFonts w:eastAsia="Calibri" w:cs="Arial" w:hint="default"/>
        <w:color w:val="000000"/>
      </w:rPr>
    </w:lvl>
    <w:lvl w:ilvl="2">
      <w:start w:val="1"/>
      <w:numFmt w:val="decimal"/>
      <w:lvlText w:val="%1.%2.%3."/>
      <w:lvlJc w:val="left"/>
      <w:pPr>
        <w:ind w:left="720" w:hanging="720"/>
      </w:pPr>
      <w:rPr>
        <w:rFonts w:eastAsia="Calibri" w:cs="Arial" w:hint="default"/>
        <w:color w:val="000000"/>
      </w:rPr>
    </w:lvl>
    <w:lvl w:ilvl="3">
      <w:start w:val="1"/>
      <w:numFmt w:val="decimal"/>
      <w:lvlText w:val="%1.%2.%3.%4."/>
      <w:lvlJc w:val="left"/>
      <w:pPr>
        <w:ind w:left="1080" w:hanging="1080"/>
      </w:pPr>
      <w:rPr>
        <w:rFonts w:eastAsia="Calibri" w:cs="Arial" w:hint="default"/>
        <w:color w:val="000000"/>
      </w:rPr>
    </w:lvl>
    <w:lvl w:ilvl="4">
      <w:start w:val="1"/>
      <w:numFmt w:val="decimal"/>
      <w:lvlText w:val="%1.%2.%3.%4.%5."/>
      <w:lvlJc w:val="left"/>
      <w:pPr>
        <w:ind w:left="1080" w:hanging="1080"/>
      </w:pPr>
      <w:rPr>
        <w:rFonts w:eastAsia="Calibri" w:cs="Arial" w:hint="default"/>
        <w:color w:val="000000"/>
      </w:rPr>
    </w:lvl>
    <w:lvl w:ilvl="5">
      <w:start w:val="1"/>
      <w:numFmt w:val="decimal"/>
      <w:lvlText w:val="%1.%2.%3.%4.%5.%6."/>
      <w:lvlJc w:val="left"/>
      <w:pPr>
        <w:ind w:left="1440" w:hanging="1440"/>
      </w:pPr>
      <w:rPr>
        <w:rFonts w:eastAsia="Calibri" w:cs="Arial" w:hint="default"/>
        <w:color w:val="000000"/>
      </w:rPr>
    </w:lvl>
    <w:lvl w:ilvl="6">
      <w:start w:val="1"/>
      <w:numFmt w:val="decimal"/>
      <w:lvlText w:val="%1.%2.%3.%4.%5.%6.%7."/>
      <w:lvlJc w:val="left"/>
      <w:pPr>
        <w:ind w:left="1440" w:hanging="1440"/>
      </w:pPr>
      <w:rPr>
        <w:rFonts w:eastAsia="Calibri" w:cs="Arial" w:hint="default"/>
        <w:color w:val="000000"/>
      </w:rPr>
    </w:lvl>
    <w:lvl w:ilvl="7">
      <w:start w:val="1"/>
      <w:numFmt w:val="decimal"/>
      <w:lvlText w:val="%1.%2.%3.%4.%5.%6.%7.%8."/>
      <w:lvlJc w:val="left"/>
      <w:pPr>
        <w:ind w:left="1800" w:hanging="1800"/>
      </w:pPr>
      <w:rPr>
        <w:rFonts w:eastAsia="Calibri" w:cs="Arial" w:hint="default"/>
        <w:color w:val="000000"/>
      </w:rPr>
    </w:lvl>
    <w:lvl w:ilvl="8">
      <w:start w:val="1"/>
      <w:numFmt w:val="decimal"/>
      <w:lvlText w:val="%1.%2.%3.%4.%5.%6.%7.%8.%9."/>
      <w:lvlJc w:val="left"/>
      <w:pPr>
        <w:ind w:left="1800" w:hanging="1800"/>
      </w:pPr>
      <w:rPr>
        <w:rFonts w:eastAsia="Calibri" w:cs="Arial" w:hint="default"/>
        <w:color w:val="000000"/>
      </w:rPr>
    </w:lvl>
  </w:abstractNum>
  <w:abstractNum w:abstractNumId="13" w15:restartNumberingAfterBreak="0">
    <w:nsid w:val="3DAC372B"/>
    <w:multiLevelType w:val="multilevel"/>
    <w:tmpl w:val="051C6FC8"/>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ascii="Georgia" w:hAnsi="Georgia" w:cs="Times New Roman" w:hint="default"/>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1CF58EE"/>
    <w:multiLevelType w:val="multilevel"/>
    <w:tmpl w:val="864CB500"/>
    <w:lvl w:ilvl="0">
      <w:start w:val="3"/>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482A350B"/>
    <w:multiLevelType w:val="multilevel"/>
    <w:tmpl w:val="572C9150"/>
    <w:lvl w:ilvl="0">
      <w:start w:val="1"/>
      <w:numFmt w:val="upperRoman"/>
      <w:lvlText w:val="%1."/>
      <w:lvlJc w:val="left"/>
      <w:pPr>
        <w:tabs>
          <w:tab w:val="num" w:pos="0"/>
        </w:tabs>
        <w:ind w:left="1080" w:hanging="72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6" w15:restartNumberingAfterBreak="0">
    <w:nsid w:val="4B956A37"/>
    <w:multiLevelType w:val="multilevel"/>
    <w:tmpl w:val="2994579C"/>
    <w:lvl w:ilvl="0">
      <w:start w:val="4"/>
      <w:numFmt w:val="decimal"/>
      <w:lvlText w:val="%1."/>
      <w:lvlJc w:val="left"/>
      <w:pPr>
        <w:tabs>
          <w:tab w:val="num" w:pos="0"/>
        </w:tabs>
        <w:ind w:left="360" w:hanging="360"/>
      </w:pPr>
      <w:rPr>
        <w:color w:val="000000"/>
      </w:rPr>
    </w:lvl>
    <w:lvl w:ilvl="1">
      <w:start w:val="2"/>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1080" w:hanging="108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440" w:hanging="144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800" w:hanging="1800"/>
      </w:pPr>
      <w:rPr>
        <w:color w:val="000000"/>
      </w:rPr>
    </w:lvl>
    <w:lvl w:ilvl="8">
      <w:start w:val="1"/>
      <w:numFmt w:val="decimal"/>
      <w:lvlText w:val="%1.%2.%3.%4.%5.%6.%7.%8.%9."/>
      <w:lvlJc w:val="left"/>
      <w:pPr>
        <w:tabs>
          <w:tab w:val="num" w:pos="0"/>
        </w:tabs>
        <w:ind w:left="1800" w:hanging="1800"/>
      </w:pPr>
      <w:rPr>
        <w:color w:val="000000"/>
      </w:rPr>
    </w:lvl>
  </w:abstractNum>
  <w:abstractNum w:abstractNumId="17" w15:restartNumberingAfterBreak="0">
    <w:nsid w:val="53256E01"/>
    <w:multiLevelType w:val="hybridMultilevel"/>
    <w:tmpl w:val="E1F4F2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68A963DC"/>
    <w:multiLevelType w:val="multilevel"/>
    <w:tmpl w:val="08D4F3F0"/>
    <w:lvl w:ilvl="0">
      <w:start w:val="4"/>
      <w:numFmt w:val="decimal"/>
      <w:lvlText w:val="%1."/>
      <w:lvlJc w:val="left"/>
      <w:pPr>
        <w:ind w:left="360" w:hanging="360"/>
      </w:pPr>
      <w:rPr>
        <w:rFonts w:eastAsia="Calibri" w:cs="Arial" w:hint="default"/>
        <w:color w:val="000000"/>
      </w:rPr>
    </w:lvl>
    <w:lvl w:ilvl="1">
      <w:start w:val="1"/>
      <w:numFmt w:val="decimal"/>
      <w:lvlText w:val="%1.%2."/>
      <w:lvlJc w:val="left"/>
      <w:pPr>
        <w:ind w:left="720" w:hanging="720"/>
      </w:pPr>
      <w:rPr>
        <w:rFonts w:eastAsia="Calibri" w:cs="Arial" w:hint="default"/>
        <w:color w:val="000000"/>
      </w:rPr>
    </w:lvl>
    <w:lvl w:ilvl="2">
      <w:start w:val="1"/>
      <w:numFmt w:val="decimal"/>
      <w:lvlText w:val="%1.%2.%3."/>
      <w:lvlJc w:val="left"/>
      <w:pPr>
        <w:ind w:left="720" w:hanging="720"/>
      </w:pPr>
      <w:rPr>
        <w:rFonts w:eastAsia="Calibri" w:cs="Arial" w:hint="default"/>
        <w:color w:val="000000"/>
      </w:rPr>
    </w:lvl>
    <w:lvl w:ilvl="3">
      <w:start w:val="1"/>
      <w:numFmt w:val="decimal"/>
      <w:lvlText w:val="%1.%2.%3.%4."/>
      <w:lvlJc w:val="left"/>
      <w:pPr>
        <w:ind w:left="1080" w:hanging="1080"/>
      </w:pPr>
      <w:rPr>
        <w:rFonts w:eastAsia="Calibri" w:cs="Arial" w:hint="default"/>
        <w:color w:val="000000"/>
      </w:rPr>
    </w:lvl>
    <w:lvl w:ilvl="4">
      <w:start w:val="1"/>
      <w:numFmt w:val="decimal"/>
      <w:lvlText w:val="%1.%2.%3.%4.%5."/>
      <w:lvlJc w:val="left"/>
      <w:pPr>
        <w:ind w:left="1080" w:hanging="1080"/>
      </w:pPr>
      <w:rPr>
        <w:rFonts w:eastAsia="Calibri" w:cs="Arial" w:hint="default"/>
        <w:color w:val="000000"/>
      </w:rPr>
    </w:lvl>
    <w:lvl w:ilvl="5">
      <w:start w:val="1"/>
      <w:numFmt w:val="decimal"/>
      <w:lvlText w:val="%1.%2.%3.%4.%5.%6."/>
      <w:lvlJc w:val="left"/>
      <w:pPr>
        <w:ind w:left="1440" w:hanging="1440"/>
      </w:pPr>
      <w:rPr>
        <w:rFonts w:eastAsia="Calibri" w:cs="Arial" w:hint="default"/>
        <w:color w:val="000000"/>
      </w:rPr>
    </w:lvl>
    <w:lvl w:ilvl="6">
      <w:start w:val="1"/>
      <w:numFmt w:val="decimal"/>
      <w:lvlText w:val="%1.%2.%3.%4.%5.%6.%7."/>
      <w:lvlJc w:val="left"/>
      <w:pPr>
        <w:ind w:left="1440" w:hanging="1440"/>
      </w:pPr>
      <w:rPr>
        <w:rFonts w:eastAsia="Calibri" w:cs="Arial" w:hint="default"/>
        <w:color w:val="000000"/>
      </w:rPr>
    </w:lvl>
    <w:lvl w:ilvl="7">
      <w:start w:val="1"/>
      <w:numFmt w:val="decimal"/>
      <w:lvlText w:val="%1.%2.%3.%4.%5.%6.%7.%8."/>
      <w:lvlJc w:val="left"/>
      <w:pPr>
        <w:ind w:left="1800" w:hanging="1800"/>
      </w:pPr>
      <w:rPr>
        <w:rFonts w:eastAsia="Calibri" w:cs="Arial" w:hint="default"/>
        <w:color w:val="000000"/>
      </w:rPr>
    </w:lvl>
    <w:lvl w:ilvl="8">
      <w:start w:val="1"/>
      <w:numFmt w:val="decimal"/>
      <w:lvlText w:val="%1.%2.%3.%4.%5.%6.%7.%8.%9."/>
      <w:lvlJc w:val="left"/>
      <w:pPr>
        <w:ind w:left="1800" w:hanging="1800"/>
      </w:pPr>
      <w:rPr>
        <w:rFonts w:eastAsia="Calibri" w:cs="Arial" w:hint="default"/>
        <w:color w:val="000000"/>
      </w:rPr>
    </w:lvl>
  </w:abstractNum>
  <w:abstractNum w:abstractNumId="19" w15:restartNumberingAfterBreak="0">
    <w:nsid w:val="74437C05"/>
    <w:multiLevelType w:val="multilevel"/>
    <w:tmpl w:val="364C900C"/>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92020E8"/>
    <w:multiLevelType w:val="multilevel"/>
    <w:tmpl w:val="3A68083A"/>
    <w:lvl w:ilvl="0">
      <w:start w:val="1"/>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7AD9267D"/>
    <w:multiLevelType w:val="multilevel"/>
    <w:tmpl w:val="6786D548"/>
    <w:lvl w:ilvl="0">
      <w:start w:val="4"/>
      <w:numFmt w:val="decimal"/>
      <w:lvlText w:val="%1."/>
      <w:lvlJc w:val="left"/>
      <w:pPr>
        <w:ind w:left="360" w:hanging="360"/>
      </w:pPr>
      <w:rPr>
        <w:color w:val="000000"/>
      </w:rPr>
    </w:lvl>
    <w:lvl w:ilvl="1">
      <w:start w:val="2"/>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num w:numId="1" w16cid:durableId="12653962">
    <w:abstractNumId w:val="19"/>
  </w:num>
  <w:num w:numId="2" w16cid:durableId="103550155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1949177">
    <w:abstractNumId w:val="9"/>
  </w:num>
  <w:num w:numId="4" w16cid:durableId="336687636">
    <w:abstractNumId w:val="2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168105">
    <w:abstractNumId w:val="5"/>
  </w:num>
  <w:num w:numId="6" w16cid:durableId="11884112">
    <w:abstractNumId w:val="0"/>
  </w:num>
  <w:num w:numId="7" w16cid:durableId="1724206891">
    <w:abstractNumId w:val="8"/>
  </w:num>
  <w:num w:numId="8" w16cid:durableId="9278093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924801">
    <w:abstractNumId w:val="13"/>
  </w:num>
  <w:num w:numId="10" w16cid:durableId="1940866011">
    <w:abstractNumId w:val="20"/>
  </w:num>
  <w:num w:numId="11" w16cid:durableId="204374832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9662717">
    <w:abstractNumId w:val="1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9665041">
    <w:abstractNumId w:val="11"/>
  </w:num>
  <w:num w:numId="14" w16cid:durableId="501088383">
    <w:abstractNumId w:val="14"/>
  </w:num>
  <w:num w:numId="15" w16cid:durableId="1809207600">
    <w:abstractNumId w:val="18"/>
  </w:num>
  <w:num w:numId="16" w16cid:durableId="1587377304">
    <w:abstractNumId w:val="12"/>
  </w:num>
  <w:num w:numId="17" w16cid:durableId="570583874">
    <w:abstractNumId w:val="1"/>
  </w:num>
  <w:num w:numId="18" w16cid:durableId="1693192352">
    <w:abstractNumId w:val="3"/>
  </w:num>
  <w:num w:numId="19" w16cid:durableId="1813477985">
    <w:abstractNumId w:val="7"/>
  </w:num>
  <w:num w:numId="20" w16cid:durableId="1861774400">
    <w:abstractNumId w:val="6"/>
  </w:num>
  <w:num w:numId="21" w16cid:durableId="853227525">
    <w:abstractNumId w:val="17"/>
  </w:num>
  <w:num w:numId="22" w16cid:durableId="1291276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7E"/>
    <w:rsid w:val="000329F0"/>
    <w:rsid w:val="00055D2D"/>
    <w:rsid w:val="00061A23"/>
    <w:rsid w:val="000913BB"/>
    <w:rsid w:val="000B2390"/>
    <w:rsid w:val="000B4A21"/>
    <w:rsid w:val="00120914"/>
    <w:rsid w:val="00132D92"/>
    <w:rsid w:val="001455CC"/>
    <w:rsid w:val="001545B7"/>
    <w:rsid w:val="00236AAF"/>
    <w:rsid w:val="00243336"/>
    <w:rsid w:val="002A3218"/>
    <w:rsid w:val="002B603B"/>
    <w:rsid w:val="002E6A54"/>
    <w:rsid w:val="00345303"/>
    <w:rsid w:val="00376D06"/>
    <w:rsid w:val="00385EC5"/>
    <w:rsid w:val="00387649"/>
    <w:rsid w:val="00392F25"/>
    <w:rsid w:val="004036B5"/>
    <w:rsid w:val="004067F8"/>
    <w:rsid w:val="00440334"/>
    <w:rsid w:val="004E1470"/>
    <w:rsid w:val="00512CCD"/>
    <w:rsid w:val="00571E51"/>
    <w:rsid w:val="005A55F9"/>
    <w:rsid w:val="005F36ED"/>
    <w:rsid w:val="00635819"/>
    <w:rsid w:val="006A2F7E"/>
    <w:rsid w:val="006B07A0"/>
    <w:rsid w:val="006C529C"/>
    <w:rsid w:val="006D77CF"/>
    <w:rsid w:val="006F55FC"/>
    <w:rsid w:val="00712650"/>
    <w:rsid w:val="00717D4D"/>
    <w:rsid w:val="00724F76"/>
    <w:rsid w:val="007405D3"/>
    <w:rsid w:val="00764ACC"/>
    <w:rsid w:val="00770438"/>
    <w:rsid w:val="007727A2"/>
    <w:rsid w:val="0079580C"/>
    <w:rsid w:val="007A562A"/>
    <w:rsid w:val="007A75A3"/>
    <w:rsid w:val="007B028C"/>
    <w:rsid w:val="007D7327"/>
    <w:rsid w:val="0085137F"/>
    <w:rsid w:val="0086561B"/>
    <w:rsid w:val="008A4773"/>
    <w:rsid w:val="008F1B2D"/>
    <w:rsid w:val="008F32F2"/>
    <w:rsid w:val="00922B76"/>
    <w:rsid w:val="00962696"/>
    <w:rsid w:val="00980D15"/>
    <w:rsid w:val="00985F2B"/>
    <w:rsid w:val="009B3D85"/>
    <w:rsid w:val="009B4F0C"/>
    <w:rsid w:val="009C0C5F"/>
    <w:rsid w:val="009D7FE8"/>
    <w:rsid w:val="009F387B"/>
    <w:rsid w:val="00A23A99"/>
    <w:rsid w:val="00A36BEA"/>
    <w:rsid w:val="00A43C2D"/>
    <w:rsid w:val="00A54DE6"/>
    <w:rsid w:val="00A6023F"/>
    <w:rsid w:val="00B06FBD"/>
    <w:rsid w:val="00B65B5C"/>
    <w:rsid w:val="00B93222"/>
    <w:rsid w:val="00C010B8"/>
    <w:rsid w:val="00C01F0D"/>
    <w:rsid w:val="00C241EB"/>
    <w:rsid w:val="00C4795C"/>
    <w:rsid w:val="00C526EF"/>
    <w:rsid w:val="00C83F15"/>
    <w:rsid w:val="00CA79A5"/>
    <w:rsid w:val="00CF5A21"/>
    <w:rsid w:val="00D01DED"/>
    <w:rsid w:val="00D10AF9"/>
    <w:rsid w:val="00DD25BF"/>
    <w:rsid w:val="00DE4083"/>
    <w:rsid w:val="00DF5C24"/>
    <w:rsid w:val="00E224F1"/>
    <w:rsid w:val="00E54968"/>
    <w:rsid w:val="00E95C18"/>
    <w:rsid w:val="00F459EB"/>
    <w:rsid w:val="00F54341"/>
    <w:rsid w:val="00F5458B"/>
    <w:rsid w:val="00F916E6"/>
    <w:rsid w:val="00FC345B"/>
    <w:rsid w:val="00FE5AAF"/>
    <w:rsid w:val="00FF307F"/>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40F1"/>
  <w15:chartTrackingRefBased/>
  <w15:docId w15:val="{A9977563-B696-4191-B54E-D55860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334"/>
    <w:pPr>
      <w:spacing w:after="240" w:line="240" w:lineRule="exact"/>
    </w:pPr>
    <w:rPr>
      <w:rFonts w:ascii="Georgia" w:hAnsi="Georg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paragraph" w:styleId="Textbubliny">
    <w:name w:val="Balloon Text"/>
    <w:basedOn w:val="Normln"/>
    <w:link w:val="TextbublinyChar"/>
    <w:uiPriority w:val="99"/>
    <w:semiHidden/>
    <w:unhideWhenUsed/>
    <w:rsid w:val="00E549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4968"/>
    <w:rPr>
      <w:rFonts w:ascii="Segoe UI" w:hAnsi="Segoe UI" w:cs="Segoe UI"/>
      <w:sz w:val="18"/>
      <w:szCs w:val="18"/>
    </w:rPr>
  </w:style>
  <w:style w:type="table" w:styleId="Mkatabulky">
    <w:name w:val="Table Grid"/>
    <w:basedOn w:val="Normlntabulka"/>
    <w:uiPriority w:val="39"/>
    <w:rsid w:val="00CF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727A2"/>
    <w:pPr>
      <w:suppressAutoHyphens/>
      <w:autoSpaceDN w:val="0"/>
      <w:textAlignment w:val="baseline"/>
    </w:pPr>
    <w:rPr>
      <w:rFonts w:ascii="Calibri" w:eastAsia="Calibri" w:hAnsi="Calibri" w:cs="F"/>
    </w:rPr>
  </w:style>
  <w:style w:type="paragraph" w:customStyle="1" w:styleId="Default">
    <w:name w:val="Default"/>
    <w:qFormat/>
    <w:rsid w:val="007727A2"/>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Zkladntext">
    <w:name w:val="Základní text_"/>
    <w:basedOn w:val="Standardnpsmoodstavce"/>
    <w:link w:val="Zkladntext1"/>
    <w:qFormat/>
    <w:rsid w:val="007727A2"/>
    <w:rPr>
      <w:rFonts w:ascii="Calibri" w:eastAsia="Calibri" w:hAnsi="Calibri" w:cs="Calibri"/>
      <w:shd w:val="clear" w:color="auto" w:fill="FFFFFF"/>
    </w:rPr>
  </w:style>
  <w:style w:type="paragraph" w:customStyle="1" w:styleId="Zkladntext1">
    <w:name w:val="Základní text1"/>
    <w:basedOn w:val="Normln"/>
    <w:link w:val="Zkladntext"/>
    <w:qFormat/>
    <w:rsid w:val="007727A2"/>
    <w:pPr>
      <w:widowControl w:val="0"/>
      <w:shd w:val="clear" w:color="auto" w:fill="FFFFFF"/>
      <w:spacing w:after="260" w:line="240" w:lineRule="auto"/>
    </w:pPr>
    <w:rPr>
      <w:rFonts w:ascii="Calibri" w:eastAsia="Calibri" w:hAnsi="Calibri" w:cs="Calibri"/>
      <w:sz w:val="22"/>
    </w:rPr>
  </w:style>
  <w:style w:type="paragraph" w:styleId="Odstavecseseznamem">
    <w:name w:val="List Paragraph"/>
    <w:basedOn w:val="Normln"/>
    <w:uiPriority w:val="34"/>
    <w:rsid w:val="007727A2"/>
    <w:pPr>
      <w:ind w:left="720"/>
      <w:contextualSpacing/>
    </w:pPr>
  </w:style>
  <w:style w:type="character" w:customStyle="1" w:styleId="Nadpis2">
    <w:name w:val="Nadpis #2_"/>
    <w:basedOn w:val="Standardnpsmoodstavce"/>
    <w:link w:val="Nadpis20"/>
    <w:qFormat/>
    <w:locked/>
    <w:rsid w:val="007B028C"/>
    <w:rPr>
      <w:rFonts w:ascii="Calibri" w:eastAsia="Calibri" w:hAnsi="Calibri" w:cs="Calibri"/>
      <w:b/>
      <w:bCs/>
      <w:shd w:val="clear" w:color="auto" w:fill="FFFFFF"/>
    </w:rPr>
  </w:style>
  <w:style w:type="paragraph" w:customStyle="1" w:styleId="Nadpis20">
    <w:name w:val="Nadpis #2"/>
    <w:basedOn w:val="Normln"/>
    <w:link w:val="Nadpis2"/>
    <w:qFormat/>
    <w:rsid w:val="007B028C"/>
    <w:pPr>
      <w:widowControl w:val="0"/>
      <w:shd w:val="clear" w:color="auto" w:fill="FFFFFF"/>
      <w:spacing w:after="260" w:line="240" w:lineRule="auto"/>
      <w:jc w:val="center"/>
      <w:outlineLvl w:val="1"/>
    </w:pPr>
    <w:rPr>
      <w:rFonts w:ascii="Calibri" w:eastAsia="Calibri" w:hAnsi="Calibri" w:cs="Calibr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4041">
      <w:bodyDiv w:val="1"/>
      <w:marLeft w:val="0"/>
      <w:marRight w:val="0"/>
      <w:marTop w:val="0"/>
      <w:marBottom w:val="0"/>
      <w:divBdr>
        <w:top w:val="none" w:sz="0" w:space="0" w:color="auto"/>
        <w:left w:val="none" w:sz="0" w:space="0" w:color="auto"/>
        <w:bottom w:val="none" w:sz="0" w:space="0" w:color="auto"/>
        <w:right w:val="none" w:sz="0" w:space="0" w:color="auto"/>
      </w:divBdr>
    </w:div>
    <w:div w:id="112285300">
      <w:bodyDiv w:val="1"/>
      <w:marLeft w:val="0"/>
      <w:marRight w:val="0"/>
      <w:marTop w:val="0"/>
      <w:marBottom w:val="0"/>
      <w:divBdr>
        <w:top w:val="none" w:sz="0" w:space="0" w:color="auto"/>
        <w:left w:val="none" w:sz="0" w:space="0" w:color="auto"/>
        <w:bottom w:val="none" w:sz="0" w:space="0" w:color="auto"/>
        <w:right w:val="none" w:sz="0" w:space="0" w:color="auto"/>
      </w:divBdr>
    </w:div>
    <w:div w:id="149369299">
      <w:bodyDiv w:val="1"/>
      <w:marLeft w:val="0"/>
      <w:marRight w:val="0"/>
      <w:marTop w:val="0"/>
      <w:marBottom w:val="0"/>
      <w:divBdr>
        <w:top w:val="none" w:sz="0" w:space="0" w:color="auto"/>
        <w:left w:val="none" w:sz="0" w:space="0" w:color="auto"/>
        <w:bottom w:val="none" w:sz="0" w:space="0" w:color="auto"/>
        <w:right w:val="none" w:sz="0" w:space="0" w:color="auto"/>
      </w:divBdr>
    </w:div>
    <w:div w:id="177938320">
      <w:bodyDiv w:val="1"/>
      <w:marLeft w:val="0"/>
      <w:marRight w:val="0"/>
      <w:marTop w:val="0"/>
      <w:marBottom w:val="0"/>
      <w:divBdr>
        <w:top w:val="none" w:sz="0" w:space="0" w:color="auto"/>
        <w:left w:val="none" w:sz="0" w:space="0" w:color="auto"/>
        <w:bottom w:val="none" w:sz="0" w:space="0" w:color="auto"/>
        <w:right w:val="none" w:sz="0" w:space="0" w:color="auto"/>
      </w:divBdr>
    </w:div>
    <w:div w:id="432550739">
      <w:bodyDiv w:val="1"/>
      <w:marLeft w:val="0"/>
      <w:marRight w:val="0"/>
      <w:marTop w:val="0"/>
      <w:marBottom w:val="0"/>
      <w:divBdr>
        <w:top w:val="none" w:sz="0" w:space="0" w:color="auto"/>
        <w:left w:val="none" w:sz="0" w:space="0" w:color="auto"/>
        <w:bottom w:val="none" w:sz="0" w:space="0" w:color="auto"/>
        <w:right w:val="none" w:sz="0" w:space="0" w:color="auto"/>
      </w:divBdr>
    </w:div>
    <w:div w:id="437674371">
      <w:bodyDiv w:val="1"/>
      <w:marLeft w:val="0"/>
      <w:marRight w:val="0"/>
      <w:marTop w:val="0"/>
      <w:marBottom w:val="0"/>
      <w:divBdr>
        <w:top w:val="none" w:sz="0" w:space="0" w:color="auto"/>
        <w:left w:val="none" w:sz="0" w:space="0" w:color="auto"/>
        <w:bottom w:val="none" w:sz="0" w:space="0" w:color="auto"/>
        <w:right w:val="none" w:sz="0" w:space="0" w:color="auto"/>
      </w:divBdr>
    </w:div>
    <w:div w:id="744452088">
      <w:bodyDiv w:val="1"/>
      <w:marLeft w:val="0"/>
      <w:marRight w:val="0"/>
      <w:marTop w:val="0"/>
      <w:marBottom w:val="0"/>
      <w:divBdr>
        <w:top w:val="none" w:sz="0" w:space="0" w:color="auto"/>
        <w:left w:val="none" w:sz="0" w:space="0" w:color="auto"/>
        <w:bottom w:val="none" w:sz="0" w:space="0" w:color="auto"/>
        <w:right w:val="none" w:sz="0" w:space="0" w:color="auto"/>
      </w:divBdr>
    </w:div>
    <w:div w:id="1174101739">
      <w:bodyDiv w:val="1"/>
      <w:marLeft w:val="0"/>
      <w:marRight w:val="0"/>
      <w:marTop w:val="0"/>
      <w:marBottom w:val="0"/>
      <w:divBdr>
        <w:top w:val="none" w:sz="0" w:space="0" w:color="auto"/>
        <w:left w:val="none" w:sz="0" w:space="0" w:color="auto"/>
        <w:bottom w:val="none" w:sz="0" w:space="0" w:color="auto"/>
        <w:right w:val="none" w:sz="0" w:space="0" w:color="auto"/>
      </w:divBdr>
    </w:div>
    <w:div w:id="1302617367">
      <w:bodyDiv w:val="1"/>
      <w:marLeft w:val="0"/>
      <w:marRight w:val="0"/>
      <w:marTop w:val="0"/>
      <w:marBottom w:val="0"/>
      <w:divBdr>
        <w:top w:val="none" w:sz="0" w:space="0" w:color="auto"/>
        <w:left w:val="none" w:sz="0" w:space="0" w:color="auto"/>
        <w:bottom w:val="none" w:sz="0" w:space="0" w:color="auto"/>
        <w:right w:val="none" w:sz="0" w:space="0" w:color="auto"/>
      </w:divBdr>
    </w:div>
    <w:div w:id="1336615263">
      <w:bodyDiv w:val="1"/>
      <w:marLeft w:val="0"/>
      <w:marRight w:val="0"/>
      <w:marTop w:val="0"/>
      <w:marBottom w:val="0"/>
      <w:divBdr>
        <w:top w:val="none" w:sz="0" w:space="0" w:color="auto"/>
        <w:left w:val="none" w:sz="0" w:space="0" w:color="auto"/>
        <w:bottom w:val="none" w:sz="0" w:space="0" w:color="auto"/>
        <w:right w:val="none" w:sz="0" w:space="0" w:color="auto"/>
      </w:divBdr>
    </w:div>
    <w:div w:id="1641961053">
      <w:bodyDiv w:val="1"/>
      <w:marLeft w:val="0"/>
      <w:marRight w:val="0"/>
      <w:marTop w:val="0"/>
      <w:marBottom w:val="0"/>
      <w:divBdr>
        <w:top w:val="none" w:sz="0" w:space="0" w:color="auto"/>
        <w:left w:val="none" w:sz="0" w:space="0" w:color="auto"/>
        <w:bottom w:val="none" w:sz="0" w:space="0" w:color="auto"/>
        <w:right w:val="none" w:sz="0" w:space="0" w:color="auto"/>
      </w:divBdr>
    </w:div>
    <w:div w:id="183791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8BE14-B76B-41ED-BAD8-3D5B2101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3</TotalTime>
  <Pages>5</Pages>
  <Words>1919</Words>
  <Characters>11324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6</cp:revision>
  <cp:lastPrinted>2023-06-29T09:26:00Z</cp:lastPrinted>
  <dcterms:created xsi:type="dcterms:W3CDTF">2023-06-29T09:26:00Z</dcterms:created>
  <dcterms:modified xsi:type="dcterms:W3CDTF">2023-07-13T11:18:00Z</dcterms:modified>
</cp:coreProperties>
</file>