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40828D70" w:rsidR="00895988" w:rsidRPr="00895988" w:rsidRDefault="001436EF" w:rsidP="00895988">
      <w:pPr>
        <w:rPr>
          <w:rFonts w:ascii="Arial" w:hAnsi="Arial" w:cs="Arial"/>
          <w:b/>
          <w:sz w:val="22"/>
          <w:szCs w:val="22"/>
        </w:rPr>
      </w:pPr>
      <w:r>
        <w:rPr>
          <w:rFonts w:ascii="Arial" w:hAnsi="Arial" w:cs="Arial"/>
          <w:b/>
          <w:sz w:val="22"/>
          <w:szCs w:val="22"/>
        </w:rPr>
        <w:t>IMEDEX s.r.o.</w:t>
      </w:r>
    </w:p>
    <w:p w14:paraId="73B10EAF" w14:textId="7BFB73DA"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1436EF" w:rsidRPr="001436EF">
        <w:rPr>
          <w:rFonts w:ascii="Arial" w:hAnsi="Arial" w:cs="Arial"/>
          <w:sz w:val="22"/>
          <w:szCs w:val="22"/>
        </w:rPr>
        <w:t>27510204</w:t>
      </w:r>
    </w:p>
    <w:p w14:paraId="6A8D571E" w14:textId="5EAC5292"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1436EF" w:rsidRPr="001436EF">
        <w:rPr>
          <w:rFonts w:ascii="Arial" w:hAnsi="Arial" w:cs="Arial"/>
          <w:sz w:val="22"/>
          <w:szCs w:val="22"/>
        </w:rPr>
        <w:t>CZ27510204</w:t>
      </w:r>
    </w:p>
    <w:p w14:paraId="4B540A5E" w14:textId="3E1A5E0C"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00805B35" w:rsidRPr="00805B35">
        <w:rPr>
          <w:rFonts w:ascii="Arial" w:hAnsi="Arial" w:cs="Arial"/>
          <w:sz w:val="22"/>
          <w:szCs w:val="22"/>
        </w:rPr>
        <w:t>Kladská 1092/</w:t>
      </w:r>
      <w:proofErr w:type="gramStart"/>
      <w:r w:rsidR="00805B35" w:rsidRPr="00805B35">
        <w:rPr>
          <w:rFonts w:ascii="Arial" w:hAnsi="Arial" w:cs="Arial"/>
          <w:sz w:val="22"/>
          <w:szCs w:val="22"/>
        </w:rPr>
        <w:t>1a</w:t>
      </w:r>
      <w:proofErr w:type="gramEnd"/>
      <w:r w:rsidR="00805B35" w:rsidRPr="00805B35">
        <w:rPr>
          <w:rFonts w:ascii="Arial" w:hAnsi="Arial" w:cs="Arial"/>
          <w:sz w:val="22"/>
          <w:szCs w:val="22"/>
        </w:rPr>
        <w:t>, Slezské Předměstí, 500 03 Hradec Králové</w:t>
      </w:r>
    </w:p>
    <w:p w14:paraId="721E8446" w14:textId="5C201DD5"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805B35">
        <w:rPr>
          <w:rFonts w:ascii="Arial" w:hAnsi="Arial" w:cs="Arial"/>
          <w:sz w:val="22"/>
          <w:szCs w:val="22"/>
        </w:rPr>
        <w:t>Mgr. Richardem Uhlířem</w:t>
      </w:r>
    </w:p>
    <w:p w14:paraId="17C56040" w14:textId="50E53AA3"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805B35" w:rsidRPr="00805B35">
        <w:rPr>
          <w:rFonts w:ascii="Arial" w:hAnsi="Arial" w:cs="Arial"/>
          <w:sz w:val="22"/>
          <w:szCs w:val="22"/>
        </w:rPr>
        <w:t>ČSOB, a.s.</w:t>
      </w:r>
    </w:p>
    <w:p w14:paraId="0A0A439B" w14:textId="5A32F1DA"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805B35" w:rsidRPr="00805B35">
        <w:rPr>
          <w:rFonts w:ascii="Arial" w:hAnsi="Arial" w:cs="Arial"/>
          <w:sz w:val="22"/>
          <w:szCs w:val="22"/>
        </w:rPr>
        <w:t>117057983/0300</w:t>
      </w:r>
    </w:p>
    <w:p w14:paraId="46D0484E" w14:textId="48D519AB"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805B35">
        <w:rPr>
          <w:rFonts w:ascii="Arial" w:hAnsi="Arial" w:cs="Arial"/>
          <w:sz w:val="22"/>
          <w:szCs w:val="22"/>
        </w:rPr>
        <w:t>Krajským</w:t>
      </w:r>
      <w:r w:rsidRPr="00895988">
        <w:rPr>
          <w:rFonts w:ascii="Arial" w:hAnsi="Arial" w:cs="Arial"/>
          <w:sz w:val="22"/>
          <w:szCs w:val="22"/>
        </w:rPr>
        <w:t xml:space="preserve"> soudem v</w:t>
      </w:r>
      <w:r w:rsidR="00805B35">
        <w:rPr>
          <w:rFonts w:ascii="Arial" w:hAnsi="Arial" w:cs="Arial"/>
          <w:sz w:val="22"/>
          <w:szCs w:val="22"/>
        </w:rPr>
        <w:t> Hradci Králové</w:t>
      </w:r>
      <w:r w:rsidRPr="00895988">
        <w:rPr>
          <w:rFonts w:ascii="Arial" w:hAnsi="Arial" w:cs="Arial"/>
          <w:sz w:val="22"/>
          <w:szCs w:val="22"/>
        </w:rPr>
        <w:t>, oddíl</w:t>
      </w:r>
      <w:r w:rsidR="00805B35">
        <w:rPr>
          <w:rFonts w:ascii="Arial" w:hAnsi="Arial" w:cs="Arial"/>
          <w:sz w:val="22"/>
          <w:szCs w:val="22"/>
        </w:rPr>
        <w:t xml:space="preserve"> C</w:t>
      </w:r>
      <w:r w:rsidRPr="00895988">
        <w:rPr>
          <w:rFonts w:ascii="Arial" w:hAnsi="Arial" w:cs="Arial"/>
          <w:sz w:val="22"/>
          <w:szCs w:val="22"/>
        </w:rPr>
        <w:t xml:space="preserve">, vložka </w:t>
      </w:r>
      <w:r w:rsidR="000F401D" w:rsidRPr="000F401D">
        <w:rPr>
          <w:rFonts w:ascii="Arial" w:hAnsi="Arial" w:cs="Arial"/>
          <w:sz w:val="22"/>
          <w:szCs w:val="22"/>
        </w:rPr>
        <w:t>23219</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F7C72D0"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0912EB" w:rsidRPr="000912EB">
        <w:rPr>
          <w:rFonts w:ascii="Arial" w:hAnsi="Arial" w:cs="Arial"/>
          <w:sz w:val="22"/>
          <w:szCs w:val="22"/>
        </w:rPr>
        <w:t>MUDr. Ivem Rovným, MBA</w:t>
      </w:r>
      <w:r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64155796"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5D537A" w:rsidRPr="005D537A">
        <w:rPr>
          <w:b/>
        </w:rPr>
        <w:t>“Přístroj pro PH – impedanci jícnu</w:t>
      </w:r>
      <w:r w:rsidR="00704A6A" w:rsidRPr="005D537A">
        <w:rPr>
          <w:b/>
        </w:rPr>
        <w:t>“</w:t>
      </w:r>
      <w:r w:rsidR="00704A6A">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0465D52"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544849">
        <w:t xml:space="preserve"> (dále též jen „</w:t>
      </w:r>
      <w:r w:rsidR="00544849" w:rsidRPr="00544849">
        <w:rPr>
          <w:b/>
        </w:rPr>
        <w:t>Spotřební materiál</w:t>
      </w:r>
      <w:r w:rsidR="00544849">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4B8607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62DBC143" w:rsidR="002C744A" w:rsidRDefault="001478AB" w:rsidP="002C744A">
      <w:pPr>
        <w:pStyle w:val="Odstavecsmlouvy"/>
      </w:pPr>
      <w:bookmarkStart w:id="3" w:name="_Ref48916082"/>
      <w:r>
        <w:t>Poskytovatel je povinen provádět servisní úkony uvedené v příloze č. 1 této smlouvy</w:t>
      </w:r>
      <w:r w:rsidR="005677D6">
        <w:t>, u kterých je uvedena nenulová cena,</w:t>
      </w:r>
      <w:r>
        <w:t xml:space="preserve"> na základě Objednávek</w:t>
      </w:r>
      <w:r w:rsidR="00544849">
        <w:t xml:space="preserve"> zadaných Objednatelem </w:t>
      </w:r>
      <w:r>
        <w:t xml:space="preserve">Poskytovateli.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AB3051">
        <w:t>II.4</w:t>
      </w:r>
      <w:r w:rsidR="00DB26F4">
        <w:fldChar w:fldCharType="end"/>
      </w:r>
      <w:r w:rsidR="00DB26F4">
        <w:t xml:space="preserve"> této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109229EF"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E8670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7D8E47C"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r w:rsidR="00253D58">
          <w:rPr>
            <w:rStyle w:val="Hypertextovodkaz"/>
            <w:color w:val="auto"/>
            <w:u w:val="none"/>
          </w:rPr>
          <w:t>XXX</w:t>
        </w:r>
      </w:hyperlink>
      <w:r w:rsidR="007D58B5">
        <w:t>, telefon:</w:t>
      </w:r>
      <w:r w:rsidR="006B54A9">
        <w:t xml:space="preserve"> </w:t>
      </w:r>
      <w:r w:rsidR="00253D58">
        <w:t>XXX</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BF36328" w:rsidR="0049276C" w:rsidRDefault="00676822" w:rsidP="00676822">
      <w:pPr>
        <w:pStyle w:val="Odstavecsmlouvy"/>
      </w:pPr>
      <w:r>
        <w:t xml:space="preserve">Objednatel </w:t>
      </w:r>
      <w:r w:rsidR="00E8670F">
        <w:t xml:space="preserve">je </w:t>
      </w:r>
      <w:r>
        <w:t>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6E236B">
        <w:t xml:space="preserve"> a S</w:t>
      </w:r>
      <w:r w:rsidR="00282964">
        <w:t>potřebního materiálu</w:t>
      </w:r>
      <w:r w:rsidRPr="00895988">
        <w:t xml:space="preserve">. </w:t>
      </w:r>
      <w:r w:rsidR="005F278E">
        <w:t xml:space="preserve">Vymíní-li si to Objednatel v Objednávce, je Poskytovatel při plnění Objednávky povinen použít Spotřební materiál poskytnutý Objednatelem, ledaže by tím byl porušen právní předpis.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36D90A21" w:rsidR="00BD5532" w:rsidRDefault="005A4B3D" w:rsidP="005C6331">
      <w:pPr>
        <w:pStyle w:val="Odstavecsmlouvy"/>
      </w:pPr>
      <w:r>
        <w:lastRenderedPageBreak/>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AB3051">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1C3478A3" w14:textId="77777777" w:rsidR="00C635C4" w:rsidRDefault="00C635C4" w:rsidP="00C635C4">
      <w:pPr>
        <w:pStyle w:val="Odstavecsmlouvy"/>
        <w:numPr>
          <w:ilvl w:val="0"/>
          <w:numId w:val="0"/>
        </w:numPr>
        <w:ind w:left="567"/>
      </w:pPr>
      <w:bookmarkStart w:id="12" w:name="_Ref48910774"/>
    </w:p>
    <w:p w14:paraId="7C23BA4D" w14:textId="21F3ACAF" w:rsidR="0074309B" w:rsidRDefault="0074309B" w:rsidP="0074309B">
      <w:pPr>
        <w:pStyle w:val="Odstavecsmlouvy"/>
      </w:pPr>
      <w:bookmarkStart w:id="13"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bookmarkEnd w:id="13"/>
    </w:p>
    <w:p w14:paraId="0906517E" w14:textId="77777777" w:rsidR="0074309B" w:rsidRDefault="0074309B" w:rsidP="0074309B">
      <w:pPr>
        <w:pStyle w:val="Odstavecseseznamem"/>
      </w:pPr>
    </w:p>
    <w:p w14:paraId="5025DC1D" w14:textId="371633BF"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AB3051">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AB3051">
        <w:t>IV.8</w:t>
      </w:r>
      <w:r w:rsidR="004A4162">
        <w:fldChar w:fldCharType="end"/>
      </w:r>
      <w:r w:rsidR="004A4162">
        <w:t xml:space="preserve"> </w:t>
      </w:r>
      <w:r w:rsidR="00470B79">
        <w:t xml:space="preserve">této smlouvy </w:t>
      </w:r>
      <w:r>
        <w:t xml:space="preserve">smluvní strany sepíšou </w:t>
      </w:r>
      <w:r w:rsidR="00BF2C72">
        <w:lastRenderedPageBreak/>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5B8AA4C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w:t>
      </w:r>
      <w:r w:rsidR="006E236B">
        <w:t>S</w:t>
      </w:r>
      <w:r w:rsidR="00E61259">
        <w:t>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8F059A9" w:rsidR="002A144D" w:rsidRDefault="002A144D" w:rsidP="00164605">
      <w:pPr>
        <w:pStyle w:val="Odstavecsmlouvy"/>
      </w:pPr>
      <w:r w:rsidRPr="00895988">
        <w:t xml:space="preserve">Cena práce za </w:t>
      </w:r>
      <w:r w:rsidR="00EA673C">
        <w:t xml:space="preserve">provedení opravy Zařízení se </w:t>
      </w:r>
      <w:proofErr w:type="gramStart"/>
      <w:r w:rsidR="00EA673C">
        <w:t>určí</w:t>
      </w:r>
      <w:proofErr w:type="gramEnd"/>
      <w:r w:rsidR="00EA673C">
        <w:t xml:space="preserve">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w:t>
      </w:r>
      <w:proofErr w:type="gramStart"/>
      <w:r w:rsidR="00EA673C">
        <w:t>určí</w:t>
      </w:r>
      <w:proofErr w:type="gramEnd"/>
      <w:r w:rsidR="00EA673C">
        <w:t xml:space="preserve">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AB3051">
        <w:t>IV.6</w:t>
      </w:r>
      <w:r w:rsidR="00E97231">
        <w:fldChar w:fldCharType="end"/>
      </w:r>
      <w:r w:rsidR="00E97231">
        <w:t xml:space="preserve"> </w:t>
      </w:r>
      <w:r w:rsidR="00EA673C">
        <w:t>této smlouvy tím není dotčeno.</w:t>
      </w:r>
      <w:r w:rsidR="00E61259">
        <w:t xml:space="preserve"> Součástí</w:t>
      </w:r>
      <w:r w:rsidR="00F952D3">
        <w:t xml:space="preserve"> Ceny za opravu však není cena S</w:t>
      </w:r>
      <w:r w:rsidR="00E61259">
        <w:t>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BC61BBF"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rsidR="000C6AE7">
        <w:t xml:space="preserve"> nebo obsahuje cenu </w:t>
      </w:r>
      <w:r w:rsidR="00F952D3">
        <w:t>S</w:t>
      </w:r>
      <w:r w:rsidR="000C6AE7">
        <w:t>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215F51C9"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w:t>
      </w:r>
      <w:r>
        <w:lastRenderedPageBreak/>
        <w:t xml:space="preserve">smluvními stranami.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w:t>
      </w:r>
      <w:r w:rsidR="00F952D3">
        <w:t>S</w:t>
      </w:r>
      <w:r w:rsidR="000C6AE7">
        <w:t>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6293B68D"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w:t>
      </w:r>
      <w:r w:rsidR="00F952D3">
        <w:t>S</w:t>
      </w:r>
      <w:r w:rsidR="00012FC3">
        <w:t xml:space="preserve">potřební materiál vztahuje.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 xml:space="preserve">za spotřební materiál rozepsaná </w:t>
      </w:r>
      <w:r w:rsidR="00F952D3">
        <w:t>na jednotlivé položky dodaného S</w:t>
      </w:r>
      <w:r w:rsidR="00012FC3">
        <w:t>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0B52C961" w14:textId="77777777" w:rsidR="00BD365D" w:rsidRDefault="00BD365D" w:rsidP="00BD365D">
      <w:pPr>
        <w:pStyle w:val="Odstavecsmlouvy"/>
        <w:numPr>
          <w:ilvl w:val="1"/>
          <w:numId w:val="22"/>
        </w:numPr>
      </w:pPr>
      <w:r>
        <w:t>Jestliže je Poskytovatel oprávněn ve vztahu k Hlavnímu předávacímu protokolu vystavit více faktur dle tohoto článku smlouvy, je oprávněn namísto jednotlivých faktur vystavit ve vztahu k takovému Hlavnímu předávacímu protokolu společnou fakturu na souhrnnou částku, přičemž ujednání odst. V.4, V.5 a V.6 této smlouvy se v takovém případě použijí obdobně. Na takové společné faktuře však musí být všechny fakturované ceny 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4E408932" w14:textId="77777777" w:rsidR="00D36758" w:rsidRDefault="00D36758" w:rsidP="00D36758"/>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2126A24E" w14:textId="77777777" w:rsidR="00AE7815" w:rsidRDefault="00AE7815" w:rsidP="00425EB0"/>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 xml:space="preserve">Objednatel je oprávněn vedle nároků z vad poskytnutých služeb a dodaných náhradních dílů uplatňovat i jakékoliv jiné nároky související s poskytnutými službami nebo dodanými náhradními díly (např. nárok na náhradu škody). Poskytovatel neodpovídá za </w:t>
      </w:r>
      <w:r w:rsidRPr="00BD5702">
        <w:lastRenderedPageBreak/>
        <w:t>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36D1B069" w:rsidR="00561F78" w:rsidRDefault="00561F78" w:rsidP="00561F78">
      <w:pPr>
        <w:pStyle w:val="Odstavecsmlouvy"/>
      </w:pPr>
      <w:bookmarkStart w:id="16" w:name="_Ref90987783"/>
      <w:bookmarkStart w:id="17" w:name="_Ref96439621"/>
      <w:bookmarkStart w:id="18"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w:t>
      </w:r>
      <w:bookmarkEnd w:id="16"/>
      <w:bookmarkEnd w:id="17"/>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 xml:space="preserve">případně, nelze-li využití zjištěné zranitelnosti zcela zamezit, </w:t>
      </w:r>
      <w:proofErr w:type="gramStart"/>
      <w:r>
        <w:t>sníží</w:t>
      </w:r>
      <w:proofErr w:type="gramEnd"/>
      <w:r>
        <w:t xml:space="preserve">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8"/>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w:t>
      </w:r>
      <w:r w:rsidRPr="00895988">
        <w:lastRenderedPageBreak/>
        <w:t xml:space="preserve">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9"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9"/>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0"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 xml:space="preserve">informace, které jako důvěrné smluvní strana výslovně </w:t>
      </w:r>
      <w:proofErr w:type="gramStart"/>
      <w:r>
        <w:t>označí</w:t>
      </w:r>
      <w:proofErr w:type="gramEnd"/>
      <w:r>
        <w:t>;</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1" w:name="_Ref43804893"/>
      <w:bookmarkEnd w:id="20"/>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1"/>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 xml:space="preserve">Žádným ustanovením této smlouvy nejsou dotčeny povinnosti Objednatele vyplývající z právních předpisů, zejména ze zákona č. 106/1999 Sb., o svobodném přístupu </w:t>
      </w:r>
      <w:r>
        <w:lastRenderedPageBreak/>
        <w:t>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2" w:name="_Ref529435017"/>
      <w:r>
        <w:t>Ochrana osobních údajů</w:t>
      </w:r>
      <w:bookmarkEnd w:id="22"/>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21E18BC" w:rsidR="00461378" w:rsidRDefault="00461378" w:rsidP="00461378">
      <w:pPr>
        <w:pStyle w:val="Odstavecsmlouvy"/>
        <w:numPr>
          <w:ilvl w:val="1"/>
          <w:numId w:val="22"/>
        </w:numPr>
      </w:pPr>
      <w:bookmarkStart w:id="23" w:name="_Ref529435327"/>
      <w:bookmarkStart w:id="24"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 xml:space="preserve">v souvislosti se zpracováním osobních údajů a o volném pohybu těchto údajů </w:t>
      </w:r>
      <w:r w:rsidR="00A06A31">
        <w:t xml:space="preserve"> </w:t>
      </w:r>
      <w:r>
        <w:t>a o zrušení směrnice 95/46/ES (obecné nařízení o ochraně osobních údajů), včetně adaptačních právních předpisů tohoto nařízení (dále souhrnně jen „</w:t>
      </w:r>
      <w:r w:rsidRPr="00C77CBC">
        <w:rPr>
          <w:b/>
        </w:rPr>
        <w:t>GDPR</w:t>
      </w:r>
      <w:r>
        <w:t>“), zavazuje</w:t>
      </w:r>
      <w:bookmarkEnd w:id="23"/>
      <w:r w:rsidR="00A06A31">
        <w:t xml:space="preserve"> </w:t>
      </w:r>
      <w:r>
        <w:t>zpracovávat Osobní údaje výhradně na základě pokynů Objednatele a výhradně za účelem plnění povinností vyplývajících z této smlouvy.</w:t>
      </w:r>
      <w:bookmarkEnd w:id="24"/>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5" w:name="_Ref529439652"/>
      <w:r>
        <w:t>V případě události s dopadem na bezpečnost Zaří</w:t>
      </w:r>
      <w:r w:rsidR="00A06A31">
        <w:t xml:space="preserve">zení, bezpečnost Osobních údajů </w:t>
      </w:r>
      <w:r>
        <w:t xml:space="preserve">nebo bezpečnost informací v Zařízení je Poskytovatel povinen předat </w:t>
      </w:r>
      <w:proofErr w:type="gramStart"/>
      <w:r>
        <w:t xml:space="preserve">Objednateli </w:t>
      </w:r>
      <w:r w:rsidR="00A06A31">
        <w:t xml:space="preserve"> </w:t>
      </w:r>
      <w:r>
        <w:t>bez</w:t>
      </w:r>
      <w:proofErr w:type="gramEnd"/>
      <w:r>
        <w:t xml:space="preserve">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5"/>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6A5C6C5D" w:rsidR="00A06A31" w:rsidRDefault="00A06A31" w:rsidP="00A06A31">
      <w:pPr>
        <w:pStyle w:val="Odstavecsmlouvy"/>
        <w:numPr>
          <w:ilvl w:val="0"/>
          <w:numId w:val="0"/>
        </w:numPr>
      </w:pPr>
    </w:p>
    <w:p w14:paraId="76B60F70" w14:textId="23E78006" w:rsidR="00986546" w:rsidRDefault="00986546" w:rsidP="00A06A31">
      <w:pPr>
        <w:pStyle w:val="Odstavecsmlouvy"/>
        <w:numPr>
          <w:ilvl w:val="0"/>
          <w:numId w:val="0"/>
        </w:numPr>
      </w:pPr>
    </w:p>
    <w:p w14:paraId="03272606" w14:textId="0FEA5E5E" w:rsidR="00BD365D" w:rsidRDefault="00BD365D" w:rsidP="00A06A31">
      <w:pPr>
        <w:pStyle w:val="Odstavecsmlouvy"/>
        <w:numPr>
          <w:ilvl w:val="0"/>
          <w:numId w:val="0"/>
        </w:numPr>
      </w:pPr>
    </w:p>
    <w:p w14:paraId="2D32F9BE" w14:textId="77777777" w:rsidR="00BD365D" w:rsidRDefault="00BD365D" w:rsidP="00A06A31">
      <w:pPr>
        <w:pStyle w:val="Odstavecsmlouvy"/>
        <w:numPr>
          <w:ilvl w:val="0"/>
          <w:numId w:val="0"/>
        </w:numPr>
      </w:pPr>
    </w:p>
    <w:p w14:paraId="2D4E4741" w14:textId="77777777" w:rsidR="00986546" w:rsidRDefault="00986546" w:rsidP="00A06A31">
      <w:pPr>
        <w:pStyle w:val="Odstavecsmlouvy"/>
        <w:numPr>
          <w:ilvl w:val="0"/>
          <w:numId w:val="0"/>
        </w:numPr>
      </w:pPr>
    </w:p>
    <w:p w14:paraId="2677ACDD" w14:textId="7F9DBDE4" w:rsidR="0019164C" w:rsidRPr="00A06A31" w:rsidRDefault="0019164C" w:rsidP="00A06A31">
      <w:pPr>
        <w:pStyle w:val="Nadpis1"/>
      </w:pPr>
      <w:r w:rsidRPr="00A06A31">
        <w:lastRenderedPageBreak/>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0D56071B"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AB3051">
        <w:t>II.5</w:t>
      </w:r>
      <w:r>
        <w:fldChar w:fldCharType="end"/>
      </w:r>
      <w:r>
        <w:t xml:space="preserve"> věty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01067C51"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AB3051">
        <w:t>VI.8</w:t>
      </w:r>
      <w:r>
        <w:fldChar w:fldCharType="end"/>
      </w:r>
      <w:r>
        <w:t xml:space="preserve"> této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AB3051">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AB3051">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3DFE70B4"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AB3051">
        <w:t>IV.2</w:t>
      </w:r>
      <w:r>
        <w:fldChar w:fldCharType="end"/>
      </w:r>
      <w:r>
        <w:t>,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787A72E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AB3051">
        <w:t>IV.7</w:t>
      </w:r>
      <w:r>
        <w:fldChar w:fldCharType="end"/>
      </w:r>
      <w:r>
        <w:t xml:space="preserve"> této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4CCD883"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AB3051">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0D51D8F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AB3051">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lastRenderedPageBreak/>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w:t>
      </w:r>
      <w:proofErr w:type="gramStart"/>
      <w:r w:rsidRPr="00895988">
        <w:rPr>
          <w:snapToGrid w:val="0"/>
        </w:rPr>
        <w:t>obdrží</w:t>
      </w:r>
      <w:proofErr w:type="gramEnd"/>
      <w:r w:rsidRPr="00895988">
        <w:rPr>
          <w:snapToGrid w:val="0"/>
        </w:rPr>
        <w:t xml:space="preserve">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2F104229" w:rsidR="00BC3900" w:rsidRDefault="00BC3900" w:rsidP="004366E6">
      <w:pPr>
        <w:pStyle w:val="Odstavecsmlouvy"/>
        <w:numPr>
          <w:ilvl w:val="0"/>
          <w:numId w:val="0"/>
        </w:numPr>
        <w:ind w:left="567"/>
        <w:rPr>
          <w:snapToGrid w:val="0"/>
        </w:rPr>
      </w:pPr>
    </w:p>
    <w:p w14:paraId="1DC6E58E" w14:textId="72613713" w:rsidR="00986546" w:rsidRDefault="00986546" w:rsidP="004366E6">
      <w:pPr>
        <w:pStyle w:val="Odstavecsmlouvy"/>
        <w:numPr>
          <w:ilvl w:val="0"/>
          <w:numId w:val="0"/>
        </w:numPr>
        <w:ind w:left="567"/>
        <w:rPr>
          <w:snapToGrid w:val="0"/>
        </w:rPr>
      </w:pPr>
    </w:p>
    <w:p w14:paraId="168AC07A" w14:textId="6406C370" w:rsidR="00986546" w:rsidRDefault="00986546" w:rsidP="004366E6">
      <w:pPr>
        <w:pStyle w:val="Odstavecsmlouvy"/>
        <w:numPr>
          <w:ilvl w:val="0"/>
          <w:numId w:val="0"/>
        </w:numPr>
        <w:ind w:left="567"/>
        <w:rPr>
          <w:snapToGrid w:val="0"/>
        </w:rPr>
      </w:pPr>
    </w:p>
    <w:p w14:paraId="72848596" w14:textId="77777777" w:rsidR="00986546" w:rsidRPr="00895988" w:rsidRDefault="00986546" w:rsidP="004366E6">
      <w:pPr>
        <w:pStyle w:val="Odstavecsmlouvy"/>
        <w:numPr>
          <w:ilvl w:val="0"/>
          <w:numId w:val="0"/>
        </w:numPr>
        <w:ind w:left="567"/>
        <w:rPr>
          <w:snapToGrid w:val="0"/>
        </w:rPr>
      </w:pPr>
    </w:p>
    <w:p w14:paraId="390BD1E2" w14:textId="684BE17A" w:rsidR="00811153" w:rsidRDefault="00811153" w:rsidP="004366E6">
      <w:pPr>
        <w:pStyle w:val="Odstavecsmlouvy"/>
        <w:rPr>
          <w:snapToGrid w:val="0"/>
        </w:rPr>
      </w:pPr>
      <w:r w:rsidRPr="00895988">
        <w:rPr>
          <w:snapToGrid w:val="0"/>
        </w:rPr>
        <w:lastRenderedPageBreak/>
        <w:t>Smluvní strany prohlašují, že se důkladně seznámily s obsahem této smlouvy,</w:t>
      </w:r>
      <w:r w:rsidR="00A06A31">
        <w:rPr>
          <w:snapToGrid w:val="0"/>
        </w:rPr>
        <w:t xml:space="preserve"> </w:t>
      </w:r>
      <w:r w:rsidRPr="00895988">
        <w:rPr>
          <w:snapToGrid w:val="0"/>
        </w:rPr>
        <w:t>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669"/>
        <w:gridCol w:w="1010"/>
        <w:gridCol w:w="3826"/>
      </w:tblGrid>
      <w:tr w:rsidR="006477F1" w:rsidRPr="00363B64" w14:paraId="5A0941E9" w14:textId="77777777" w:rsidTr="008A2097">
        <w:tc>
          <w:tcPr>
            <w:tcW w:w="4077" w:type="dxa"/>
            <w:shd w:val="clear" w:color="auto" w:fill="auto"/>
          </w:tcPr>
          <w:p w14:paraId="42B8CBD3" w14:textId="79A71181"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w:t>
            </w:r>
            <w:r w:rsidR="00BC231F">
              <w:rPr>
                <w:sz w:val="22"/>
                <w:szCs w:val="22"/>
              </w:rPr>
              <w:t> Hradci Králové</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54730E7E" w:rsidR="006477F1" w:rsidRPr="00363B64" w:rsidRDefault="00A95467" w:rsidP="008A2097">
            <w:pPr>
              <w:pStyle w:val="slovn"/>
              <w:numPr>
                <w:ilvl w:val="0"/>
                <w:numId w:val="0"/>
              </w:numPr>
              <w:tabs>
                <w:tab w:val="num" w:pos="567"/>
              </w:tabs>
              <w:spacing w:after="0" w:line="280" w:lineRule="atLeast"/>
              <w:jc w:val="center"/>
              <w:rPr>
                <w:b/>
                <w:sz w:val="22"/>
                <w:szCs w:val="22"/>
              </w:rPr>
            </w:pPr>
            <w:r>
              <w:rPr>
                <w:b/>
                <w:sz w:val="22"/>
                <w:szCs w:val="22"/>
              </w:rPr>
              <w:t>IMEDEX s.r.o.</w:t>
            </w:r>
          </w:p>
          <w:p w14:paraId="33B36CF1" w14:textId="19F59971" w:rsidR="006477F1" w:rsidRPr="00363B64" w:rsidRDefault="00A95467" w:rsidP="008A2097">
            <w:pPr>
              <w:jc w:val="center"/>
              <w:rPr>
                <w:rFonts w:ascii="Arial" w:hAnsi="Arial" w:cs="Arial"/>
                <w:bCs/>
                <w:sz w:val="22"/>
                <w:szCs w:val="22"/>
              </w:rPr>
            </w:pPr>
            <w:r>
              <w:rPr>
                <w:rFonts w:ascii="Arial" w:hAnsi="Arial" w:cs="Arial"/>
                <w:bCs/>
                <w:sz w:val="22"/>
                <w:szCs w:val="22"/>
              </w:rPr>
              <w:t>Mgr. Richard Uhlíř, jednatel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232001EE" w14:textId="77777777" w:rsidR="000912EB" w:rsidRDefault="000912EB" w:rsidP="000912EB">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Pr>
                <w:sz w:val="22"/>
                <w:szCs w:val="22"/>
              </w:rPr>
              <w:t>Ivo Rovný</w:t>
            </w:r>
            <w:r w:rsidRPr="001150C5">
              <w:rPr>
                <w:sz w:val="22"/>
                <w:szCs w:val="22"/>
              </w:rPr>
              <w:t xml:space="preserve">, </w:t>
            </w:r>
            <w:r>
              <w:rPr>
                <w:sz w:val="22"/>
                <w:szCs w:val="22"/>
              </w:rPr>
              <w:t>MBA</w:t>
            </w:r>
            <w:r w:rsidR="006477F1" w:rsidRPr="00363B64">
              <w:rPr>
                <w:sz w:val="22"/>
                <w:szCs w:val="22"/>
              </w:rPr>
              <w:t>,</w:t>
            </w:r>
            <w:r>
              <w:rPr>
                <w:sz w:val="22"/>
                <w:szCs w:val="22"/>
              </w:rPr>
              <w:t xml:space="preserve"> </w:t>
            </w:r>
          </w:p>
          <w:p w14:paraId="59D1886D" w14:textId="4DED4940" w:rsidR="006477F1" w:rsidRPr="00363B64" w:rsidRDefault="006477F1" w:rsidP="000912EB">
            <w:pPr>
              <w:pStyle w:val="slovn"/>
              <w:numPr>
                <w:ilvl w:val="0"/>
                <w:numId w:val="0"/>
              </w:numPr>
              <w:tabs>
                <w:tab w:val="num" w:pos="567"/>
              </w:tabs>
              <w:spacing w:after="0" w:line="280" w:lineRule="atLeast"/>
              <w:jc w:val="center"/>
              <w:rPr>
                <w:sz w:val="22"/>
                <w:szCs w:val="22"/>
              </w:rPr>
            </w:pPr>
            <w:r w:rsidRPr="00363B64">
              <w:rPr>
                <w:sz w:val="22"/>
                <w:szCs w:val="22"/>
              </w:rPr>
              <w:t xml:space="preserve"> ředitel</w:t>
            </w:r>
          </w:p>
        </w:tc>
      </w:tr>
    </w:tbl>
    <w:p w14:paraId="1F966264" w14:textId="77777777" w:rsidR="00986546" w:rsidRDefault="006477F1" w:rsidP="006477F1">
      <w:pPr>
        <w:jc w:val="center"/>
        <w:rPr>
          <w:rFonts w:ascii="Arial" w:hAnsi="Arial" w:cs="Arial"/>
          <w:sz w:val="22"/>
          <w:szCs w:val="22"/>
        </w:rPr>
        <w:sectPr w:rsidR="00986546">
          <w:headerReference w:type="default" r:id="rId14"/>
          <w:footerReference w:type="default" r:id="rId15"/>
          <w:pgSz w:w="11906" w:h="16838"/>
          <w:pgMar w:top="1417" w:right="1417" w:bottom="1417" w:left="1417" w:header="708" w:footer="708" w:gutter="0"/>
          <w:cols w:space="708"/>
          <w:docGrid w:linePitch="360"/>
        </w:sectPr>
      </w:pPr>
      <w:r>
        <w:rPr>
          <w:rFonts w:ascii="Arial" w:hAnsi="Arial" w:cs="Arial"/>
          <w:sz w:val="22"/>
          <w:szCs w:val="22"/>
        </w:rPr>
        <w:br w:type="page"/>
      </w:r>
    </w:p>
    <w:p w14:paraId="77AC0038" w14:textId="1DF6CD99" w:rsidR="006477F1" w:rsidRDefault="006477F1" w:rsidP="006477F1">
      <w:pPr>
        <w:jc w:val="center"/>
        <w:rPr>
          <w:rFonts w:ascii="Arial" w:hAnsi="Arial" w:cs="Arial"/>
          <w:b/>
          <w:sz w:val="22"/>
          <w:szCs w:val="22"/>
        </w:rPr>
      </w:pP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tbl>
      <w:tblPr>
        <w:tblStyle w:val="Mkatabulky"/>
        <w:tblW w:w="0" w:type="auto"/>
        <w:tblLook w:val="04A0" w:firstRow="1" w:lastRow="0" w:firstColumn="1" w:lastColumn="0" w:noHBand="0" w:noVBand="1"/>
      </w:tblPr>
      <w:tblGrid>
        <w:gridCol w:w="897"/>
        <w:gridCol w:w="1169"/>
        <w:gridCol w:w="1169"/>
        <w:gridCol w:w="941"/>
        <w:gridCol w:w="1147"/>
        <w:gridCol w:w="1147"/>
        <w:gridCol w:w="487"/>
        <w:gridCol w:w="952"/>
        <w:gridCol w:w="1331"/>
        <w:gridCol w:w="1516"/>
        <w:gridCol w:w="1418"/>
        <w:gridCol w:w="1697"/>
      </w:tblGrid>
      <w:tr w:rsidR="00986546" w:rsidRPr="00986546" w14:paraId="49CB2010" w14:textId="77777777" w:rsidTr="00986546">
        <w:trPr>
          <w:trHeight w:val="285"/>
        </w:trPr>
        <w:tc>
          <w:tcPr>
            <w:tcW w:w="897" w:type="dxa"/>
            <w:noWrap/>
            <w:hideMark/>
          </w:tcPr>
          <w:p w14:paraId="633BE801" w14:textId="77777777" w:rsidR="00986546" w:rsidRPr="00986546" w:rsidRDefault="00986546" w:rsidP="00986546">
            <w:pPr>
              <w:spacing w:after="160" w:line="259" w:lineRule="auto"/>
              <w:rPr>
                <w:rFonts w:ascii="Arial" w:hAnsi="Arial" w:cs="Arial"/>
                <w:sz w:val="18"/>
                <w:szCs w:val="18"/>
              </w:rPr>
            </w:pPr>
          </w:p>
        </w:tc>
        <w:tc>
          <w:tcPr>
            <w:tcW w:w="1169" w:type="dxa"/>
            <w:noWrap/>
            <w:hideMark/>
          </w:tcPr>
          <w:p w14:paraId="0C40535F" w14:textId="77777777" w:rsidR="00986546" w:rsidRPr="00986546" w:rsidRDefault="00986546" w:rsidP="00986546">
            <w:pPr>
              <w:spacing w:after="160" w:line="259" w:lineRule="auto"/>
              <w:rPr>
                <w:rFonts w:ascii="Arial" w:hAnsi="Arial" w:cs="Arial"/>
                <w:sz w:val="18"/>
                <w:szCs w:val="18"/>
              </w:rPr>
            </w:pPr>
          </w:p>
        </w:tc>
        <w:tc>
          <w:tcPr>
            <w:tcW w:w="1169" w:type="dxa"/>
            <w:noWrap/>
            <w:hideMark/>
          </w:tcPr>
          <w:p w14:paraId="1ACB114C" w14:textId="77777777" w:rsidR="00986546" w:rsidRPr="00986546" w:rsidRDefault="00986546" w:rsidP="00986546">
            <w:pPr>
              <w:spacing w:after="160" w:line="259" w:lineRule="auto"/>
              <w:rPr>
                <w:rFonts w:ascii="Arial" w:hAnsi="Arial" w:cs="Arial"/>
                <w:sz w:val="18"/>
                <w:szCs w:val="18"/>
              </w:rPr>
            </w:pPr>
          </w:p>
        </w:tc>
        <w:tc>
          <w:tcPr>
            <w:tcW w:w="941" w:type="dxa"/>
            <w:noWrap/>
            <w:hideMark/>
          </w:tcPr>
          <w:p w14:paraId="7B634368" w14:textId="77777777" w:rsidR="00986546" w:rsidRPr="00986546" w:rsidRDefault="00986546" w:rsidP="00986546">
            <w:pPr>
              <w:spacing w:after="160" w:line="259" w:lineRule="auto"/>
              <w:rPr>
                <w:rFonts w:ascii="Arial" w:hAnsi="Arial" w:cs="Arial"/>
                <w:sz w:val="18"/>
                <w:szCs w:val="18"/>
              </w:rPr>
            </w:pPr>
          </w:p>
        </w:tc>
        <w:tc>
          <w:tcPr>
            <w:tcW w:w="1147" w:type="dxa"/>
            <w:noWrap/>
            <w:hideMark/>
          </w:tcPr>
          <w:p w14:paraId="2A1DF2D4" w14:textId="77777777" w:rsidR="00986546" w:rsidRPr="00986546" w:rsidRDefault="00986546" w:rsidP="00986546">
            <w:pPr>
              <w:spacing w:after="160" w:line="259" w:lineRule="auto"/>
              <w:rPr>
                <w:rFonts w:ascii="Arial" w:hAnsi="Arial" w:cs="Arial"/>
                <w:sz w:val="18"/>
                <w:szCs w:val="18"/>
              </w:rPr>
            </w:pPr>
          </w:p>
        </w:tc>
        <w:tc>
          <w:tcPr>
            <w:tcW w:w="1147" w:type="dxa"/>
            <w:noWrap/>
            <w:hideMark/>
          </w:tcPr>
          <w:p w14:paraId="59F98734" w14:textId="77777777" w:rsidR="00986546" w:rsidRPr="00986546" w:rsidRDefault="00986546" w:rsidP="00986546">
            <w:pPr>
              <w:spacing w:after="160" w:line="259" w:lineRule="auto"/>
              <w:rPr>
                <w:rFonts w:ascii="Arial" w:hAnsi="Arial" w:cs="Arial"/>
                <w:sz w:val="18"/>
                <w:szCs w:val="18"/>
              </w:rPr>
            </w:pPr>
          </w:p>
        </w:tc>
        <w:tc>
          <w:tcPr>
            <w:tcW w:w="487" w:type="dxa"/>
            <w:noWrap/>
            <w:hideMark/>
          </w:tcPr>
          <w:p w14:paraId="54C4CE13"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1D22963B" w14:textId="77777777" w:rsidR="00986546" w:rsidRPr="00986546" w:rsidRDefault="00986546" w:rsidP="00986546">
            <w:pPr>
              <w:spacing w:after="160" w:line="259" w:lineRule="auto"/>
              <w:rPr>
                <w:rFonts w:ascii="Arial" w:hAnsi="Arial" w:cs="Arial"/>
                <w:sz w:val="18"/>
                <w:szCs w:val="18"/>
              </w:rPr>
            </w:pPr>
          </w:p>
        </w:tc>
        <w:tc>
          <w:tcPr>
            <w:tcW w:w="1331" w:type="dxa"/>
            <w:noWrap/>
            <w:hideMark/>
          </w:tcPr>
          <w:p w14:paraId="52EA1B6A" w14:textId="77777777" w:rsidR="00986546" w:rsidRPr="00986546" w:rsidRDefault="00986546" w:rsidP="00986546">
            <w:pPr>
              <w:spacing w:after="160" w:line="259" w:lineRule="auto"/>
              <w:rPr>
                <w:rFonts w:ascii="Arial" w:hAnsi="Arial" w:cs="Arial"/>
                <w:sz w:val="18"/>
                <w:szCs w:val="18"/>
              </w:rPr>
            </w:pPr>
          </w:p>
        </w:tc>
        <w:tc>
          <w:tcPr>
            <w:tcW w:w="1516" w:type="dxa"/>
            <w:noWrap/>
            <w:hideMark/>
          </w:tcPr>
          <w:p w14:paraId="7A2AA45F" w14:textId="77777777" w:rsidR="00986546" w:rsidRPr="00986546" w:rsidRDefault="00986546" w:rsidP="00986546">
            <w:pPr>
              <w:spacing w:after="160" w:line="259" w:lineRule="auto"/>
              <w:rPr>
                <w:rFonts w:ascii="Arial" w:hAnsi="Arial" w:cs="Arial"/>
                <w:sz w:val="18"/>
                <w:szCs w:val="18"/>
              </w:rPr>
            </w:pPr>
          </w:p>
        </w:tc>
        <w:tc>
          <w:tcPr>
            <w:tcW w:w="1418" w:type="dxa"/>
            <w:noWrap/>
            <w:hideMark/>
          </w:tcPr>
          <w:p w14:paraId="50F0BBCF" w14:textId="77777777" w:rsidR="00986546" w:rsidRPr="00986546" w:rsidRDefault="00986546" w:rsidP="00986546">
            <w:pPr>
              <w:spacing w:after="160" w:line="259" w:lineRule="auto"/>
              <w:rPr>
                <w:rFonts w:ascii="Arial" w:hAnsi="Arial" w:cs="Arial"/>
                <w:sz w:val="18"/>
                <w:szCs w:val="18"/>
              </w:rPr>
            </w:pPr>
          </w:p>
        </w:tc>
        <w:tc>
          <w:tcPr>
            <w:tcW w:w="862" w:type="dxa"/>
            <w:noWrap/>
            <w:hideMark/>
          </w:tcPr>
          <w:p w14:paraId="3E61D23C" w14:textId="77777777" w:rsidR="00986546" w:rsidRPr="00986546" w:rsidRDefault="00986546" w:rsidP="00986546">
            <w:pPr>
              <w:spacing w:after="160" w:line="259" w:lineRule="auto"/>
              <w:rPr>
                <w:rFonts w:ascii="Arial" w:hAnsi="Arial" w:cs="Arial"/>
                <w:sz w:val="18"/>
                <w:szCs w:val="18"/>
              </w:rPr>
            </w:pPr>
          </w:p>
        </w:tc>
      </w:tr>
      <w:tr w:rsidR="00986546" w:rsidRPr="00986546" w14:paraId="6DAA4B88" w14:textId="77777777" w:rsidTr="00986546">
        <w:trPr>
          <w:trHeight w:val="900"/>
        </w:trPr>
        <w:tc>
          <w:tcPr>
            <w:tcW w:w="897" w:type="dxa"/>
            <w:hideMark/>
          </w:tcPr>
          <w:p w14:paraId="1099DE9B"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Přístroj č.</w:t>
            </w:r>
          </w:p>
        </w:tc>
        <w:tc>
          <w:tcPr>
            <w:tcW w:w="1169" w:type="dxa"/>
            <w:hideMark/>
          </w:tcPr>
          <w:p w14:paraId="79FD9D26"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Název přístroje</w:t>
            </w:r>
          </w:p>
        </w:tc>
        <w:tc>
          <w:tcPr>
            <w:tcW w:w="1169" w:type="dxa"/>
            <w:hideMark/>
          </w:tcPr>
          <w:p w14:paraId="1182A787"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Typ přístroje, výrobce přístroje</w:t>
            </w:r>
          </w:p>
        </w:tc>
        <w:tc>
          <w:tcPr>
            <w:tcW w:w="941" w:type="dxa"/>
            <w:hideMark/>
          </w:tcPr>
          <w:p w14:paraId="5C61AF19"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Výrobní číslo</w:t>
            </w:r>
          </w:p>
        </w:tc>
        <w:tc>
          <w:tcPr>
            <w:tcW w:w="1147" w:type="dxa"/>
            <w:hideMark/>
          </w:tcPr>
          <w:p w14:paraId="2A872FBE"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Inventární číslo</w:t>
            </w:r>
          </w:p>
        </w:tc>
        <w:tc>
          <w:tcPr>
            <w:tcW w:w="1147" w:type="dxa"/>
            <w:hideMark/>
          </w:tcPr>
          <w:p w14:paraId="1F3F67D0"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Inventární úsek</w:t>
            </w:r>
          </w:p>
        </w:tc>
        <w:tc>
          <w:tcPr>
            <w:tcW w:w="487" w:type="dxa"/>
            <w:hideMark/>
          </w:tcPr>
          <w:p w14:paraId="5E7E5D98"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NS</w:t>
            </w:r>
          </w:p>
        </w:tc>
        <w:tc>
          <w:tcPr>
            <w:tcW w:w="952" w:type="dxa"/>
            <w:hideMark/>
          </w:tcPr>
          <w:p w14:paraId="30D9718D"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Cena za servisní úkon vč. DPH [Kč]</w:t>
            </w:r>
          </w:p>
        </w:tc>
        <w:tc>
          <w:tcPr>
            <w:tcW w:w="1331" w:type="dxa"/>
            <w:hideMark/>
          </w:tcPr>
          <w:p w14:paraId="20E60631"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Servisní úkon se provádí výhradně na Objednávku</w:t>
            </w:r>
          </w:p>
        </w:tc>
        <w:tc>
          <w:tcPr>
            <w:tcW w:w="1516" w:type="dxa"/>
            <w:hideMark/>
          </w:tcPr>
          <w:p w14:paraId="338842B8"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Typ servisního úkonu</w:t>
            </w:r>
          </w:p>
        </w:tc>
        <w:tc>
          <w:tcPr>
            <w:tcW w:w="1418" w:type="dxa"/>
            <w:hideMark/>
          </w:tcPr>
          <w:p w14:paraId="0D745A2C"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Interval [měsíce], tj. lhůta, ve které je Poskytovatel povinen daný servisní úkon provést</w:t>
            </w:r>
          </w:p>
        </w:tc>
        <w:tc>
          <w:tcPr>
            <w:tcW w:w="862" w:type="dxa"/>
            <w:hideMark/>
          </w:tcPr>
          <w:p w14:paraId="43B40ED8" w14:textId="77777777" w:rsidR="00986546" w:rsidRPr="00986546" w:rsidRDefault="00986546" w:rsidP="00986546">
            <w:pPr>
              <w:spacing w:after="160" w:line="259" w:lineRule="auto"/>
              <w:rPr>
                <w:rFonts w:ascii="Arial" w:hAnsi="Arial" w:cs="Arial"/>
                <w:b/>
                <w:bCs/>
                <w:sz w:val="18"/>
                <w:szCs w:val="18"/>
              </w:rPr>
            </w:pPr>
            <w:r w:rsidRPr="00986546">
              <w:rPr>
                <w:rFonts w:ascii="Arial" w:hAnsi="Arial" w:cs="Arial"/>
                <w:b/>
                <w:bCs/>
                <w:sz w:val="18"/>
                <w:szCs w:val="18"/>
              </w:rPr>
              <w:t>Datum zařazení/vyřazení</w:t>
            </w:r>
          </w:p>
        </w:tc>
      </w:tr>
      <w:tr w:rsidR="00986546" w:rsidRPr="00986546" w14:paraId="3A550F1A" w14:textId="77777777" w:rsidTr="00986546">
        <w:trPr>
          <w:trHeight w:val="285"/>
        </w:trPr>
        <w:tc>
          <w:tcPr>
            <w:tcW w:w="897" w:type="dxa"/>
            <w:vMerge w:val="restart"/>
            <w:noWrap/>
            <w:hideMark/>
          </w:tcPr>
          <w:p w14:paraId="3920A328"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1</w:t>
            </w:r>
          </w:p>
        </w:tc>
        <w:tc>
          <w:tcPr>
            <w:tcW w:w="1169" w:type="dxa"/>
            <w:vMerge w:val="restart"/>
            <w:noWrap/>
            <w:hideMark/>
          </w:tcPr>
          <w:p w14:paraId="34200E06" w14:textId="77777777" w:rsidR="00986546" w:rsidRPr="00986546" w:rsidRDefault="00986546" w:rsidP="00986546">
            <w:pPr>
              <w:spacing w:after="160" w:line="259" w:lineRule="auto"/>
              <w:rPr>
                <w:rFonts w:ascii="Arial" w:hAnsi="Arial" w:cs="Arial"/>
                <w:sz w:val="18"/>
                <w:szCs w:val="18"/>
              </w:rPr>
            </w:pPr>
            <w:proofErr w:type="spellStart"/>
            <w:r w:rsidRPr="00986546">
              <w:rPr>
                <w:rFonts w:ascii="Arial" w:hAnsi="Arial" w:cs="Arial"/>
                <w:sz w:val="18"/>
                <w:szCs w:val="18"/>
              </w:rPr>
              <w:t>Digitrapper</w:t>
            </w:r>
            <w:proofErr w:type="spellEnd"/>
            <w:r w:rsidRPr="00986546">
              <w:rPr>
                <w:rFonts w:ascii="Arial" w:hAnsi="Arial" w:cs="Arial"/>
                <w:sz w:val="18"/>
                <w:szCs w:val="18"/>
              </w:rPr>
              <w:t xml:space="preserve"> pH-Z</w:t>
            </w:r>
          </w:p>
        </w:tc>
        <w:tc>
          <w:tcPr>
            <w:tcW w:w="1169" w:type="dxa"/>
            <w:vMerge w:val="restart"/>
            <w:hideMark/>
          </w:tcPr>
          <w:p w14:paraId="4CC6C383"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xml:space="preserve">pH metr s impedancí, </w:t>
            </w:r>
            <w:proofErr w:type="spellStart"/>
            <w:r w:rsidRPr="00986546">
              <w:rPr>
                <w:rFonts w:ascii="Arial" w:hAnsi="Arial" w:cs="Arial"/>
                <w:sz w:val="18"/>
                <w:szCs w:val="18"/>
              </w:rPr>
              <w:t>Given</w:t>
            </w:r>
            <w:proofErr w:type="spellEnd"/>
            <w:r w:rsidRPr="00986546">
              <w:rPr>
                <w:rFonts w:ascii="Arial" w:hAnsi="Arial" w:cs="Arial"/>
                <w:sz w:val="18"/>
                <w:szCs w:val="18"/>
              </w:rPr>
              <w:t xml:space="preserve"> </w:t>
            </w:r>
            <w:proofErr w:type="spellStart"/>
            <w:r w:rsidRPr="00986546">
              <w:rPr>
                <w:rFonts w:ascii="Arial" w:hAnsi="Arial" w:cs="Arial"/>
                <w:sz w:val="18"/>
                <w:szCs w:val="18"/>
              </w:rPr>
              <w:t>Imaging</w:t>
            </w:r>
            <w:proofErr w:type="spellEnd"/>
          </w:p>
        </w:tc>
        <w:tc>
          <w:tcPr>
            <w:tcW w:w="941" w:type="dxa"/>
            <w:vMerge w:val="restart"/>
            <w:noWrap/>
            <w:hideMark/>
          </w:tcPr>
          <w:p w14:paraId="00474F70"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147" w:type="dxa"/>
            <w:vMerge w:val="restart"/>
            <w:noWrap/>
            <w:hideMark/>
          </w:tcPr>
          <w:p w14:paraId="4ABF1CCE"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147" w:type="dxa"/>
            <w:vMerge w:val="restart"/>
            <w:noWrap/>
            <w:hideMark/>
          </w:tcPr>
          <w:p w14:paraId="20C0EF9E"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487" w:type="dxa"/>
            <w:vMerge w:val="restart"/>
            <w:noWrap/>
            <w:hideMark/>
          </w:tcPr>
          <w:p w14:paraId="24B54E07"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952" w:type="dxa"/>
            <w:noWrap/>
            <w:hideMark/>
          </w:tcPr>
          <w:p w14:paraId="5A7F1CE9"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4 598 Kč</w:t>
            </w:r>
          </w:p>
        </w:tc>
        <w:tc>
          <w:tcPr>
            <w:tcW w:w="1331" w:type="dxa"/>
            <w:noWrap/>
            <w:hideMark/>
          </w:tcPr>
          <w:p w14:paraId="59850397"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5EE795BD"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BTK</w:t>
            </w:r>
          </w:p>
        </w:tc>
        <w:tc>
          <w:tcPr>
            <w:tcW w:w="1418" w:type="dxa"/>
            <w:noWrap/>
            <w:hideMark/>
          </w:tcPr>
          <w:p w14:paraId="75686459"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12</w:t>
            </w:r>
          </w:p>
        </w:tc>
        <w:tc>
          <w:tcPr>
            <w:tcW w:w="862" w:type="dxa"/>
            <w:vMerge w:val="restart"/>
            <w:noWrap/>
            <w:hideMark/>
          </w:tcPr>
          <w:p w14:paraId="40DEB1BA"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r>
      <w:tr w:rsidR="00986546" w:rsidRPr="00986546" w14:paraId="0CF4D8E9" w14:textId="77777777" w:rsidTr="00986546">
        <w:trPr>
          <w:trHeight w:val="285"/>
        </w:trPr>
        <w:tc>
          <w:tcPr>
            <w:tcW w:w="897" w:type="dxa"/>
            <w:vMerge/>
            <w:hideMark/>
          </w:tcPr>
          <w:p w14:paraId="6C312CD0"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359115A2"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19F7BB40"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4FD74018"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0FC2BB41"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3C965A9F"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6F1F4D77"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1EEBC7EB"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5661353F"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6A449889"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El. revize</w:t>
            </w:r>
          </w:p>
        </w:tc>
        <w:tc>
          <w:tcPr>
            <w:tcW w:w="1418" w:type="dxa"/>
            <w:noWrap/>
            <w:hideMark/>
          </w:tcPr>
          <w:p w14:paraId="649CBA20"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6B9D4F37" w14:textId="77777777" w:rsidR="00986546" w:rsidRPr="00986546" w:rsidRDefault="00986546" w:rsidP="00986546">
            <w:pPr>
              <w:spacing w:after="160" w:line="259" w:lineRule="auto"/>
              <w:rPr>
                <w:rFonts w:ascii="Arial" w:hAnsi="Arial" w:cs="Arial"/>
                <w:sz w:val="18"/>
                <w:szCs w:val="18"/>
              </w:rPr>
            </w:pPr>
          </w:p>
        </w:tc>
      </w:tr>
      <w:tr w:rsidR="00986546" w:rsidRPr="00986546" w14:paraId="1F72BA46" w14:textId="77777777" w:rsidTr="00986546">
        <w:trPr>
          <w:trHeight w:val="285"/>
        </w:trPr>
        <w:tc>
          <w:tcPr>
            <w:tcW w:w="897" w:type="dxa"/>
            <w:vMerge/>
            <w:hideMark/>
          </w:tcPr>
          <w:p w14:paraId="283213B9"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242B7913"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32D091B7"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0672DBB9"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7F63EB32"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3742D6B3"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1A335C7C"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3F6FB127"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3AEBF02C"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08699B02"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Validace</w:t>
            </w:r>
          </w:p>
        </w:tc>
        <w:tc>
          <w:tcPr>
            <w:tcW w:w="1418" w:type="dxa"/>
            <w:noWrap/>
            <w:hideMark/>
          </w:tcPr>
          <w:p w14:paraId="566C5917"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15A2BE7F" w14:textId="77777777" w:rsidR="00986546" w:rsidRPr="00986546" w:rsidRDefault="00986546" w:rsidP="00986546">
            <w:pPr>
              <w:spacing w:after="160" w:line="259" w:lineRule="auto"/>
              <w:rPr>
                <w:rFonts w:ascii="Arial" w:hAnsi="Arial" w:cs="Arial"/>
                <w:sz w:val="18"/>
                <w:szCs w:val="18"/>
              </w:rPr>
            </w:pPr>
          </w:p>
        </w:tc>
      </w:tr>
      <w:tr w:rsidR="00986546" w:rsidRPr="00986546" w14:paraId="208D9F28" w14:textId="77777777" w:rsidTr="00986546">
        <w:trPr>
          <w:trHeight w:val="285"/>
        </w:trPr>
        <w:tc>
          <w:tcPr>
            <w:tcW w:w="897" w:type="dxa"/>
            <w:vMerge/>
            <w:hideMark/>
          </w:tcPr>
          <w:p w14:paraId="0F60C262"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0E0DF0DD"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47DDF7CC"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297818B7"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7F58E284"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0FF6F172"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0F994FE6"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079AE7DA"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5CBD39A3"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6258F8D5"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Kalibrace</w:t>
            </w:r>
          </w:p>
        </w:tc>
        <w:tc>
          <w:tcPr>
            <w:tcW w:w="1418" w:type="dxa"/>
            <w:noWrap/>
            <w:hideMark/>
          </w:tcPr>
          <w:p w14:paraId="0A4EDC53"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0E670092" w14:textId="77777777" w:rsidR="00986546" w:rsidRPr="00986546" w:rsidRDefault="00986546" w:rsidP="00986546">
            <w:pPr>
              <w:spacing w:after="160" w:line="259" w:lineRule="auto"/>
              <w:rPr>
                <w:rFonts w:ascii="Arial" w:hAnsi="Arial" w:cs="Arial"/>
                <w:sz w:val="18"/>
                <w:szCs w:val="18"/>
              </w:rPr>
            </w:pPr>
          </w:p>
        </w:tc>
      </w:tr>
      <w:tr w:rsidR="00986546" w:rsidRPr="00986546" w14:paraId="0125D77A" w14:textId="77777777" w:rsidTr="00986546">
        <w:trPr>
          <w:trHeight w:val="285"/>
        </w:trPr>
        <w:tc>
          <w:tcPr>
            <w:tcW w:w="897" w:type="dxa"/>
            <w:vMerge/>
            <w:hideMark/>
          </w:tcPr>
          <w:p w14:paraId="741F8B42"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792E58FC"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0218BF0D"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0A6600CF"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0639C9B1"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71FB3027"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4C734733"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7D7F4C36"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179BA7E9"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49854586"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Zkouška dlouhodobé stability (ZDS)</w:t>
            </w:r>
          </w:p>
        </w:tc>
        <w:tc>
          <w:tcPr>
            <w:tcW w:w="1418" w:type="dxa"/>
            <w:noWrap/>
            <w:hideMark/>
          </w:tcPr>
          <w:p w14:paraId="18C90225"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7263FE76" w14:textId="77777777" w:rsidR="00986546" w:rsidRPr="00986546" w:rsidRDefault="00986546" w:rsidP="00986546">
            <w:pPr>
              <w:spacing w:after="160" w:line="259" w:lineRule="auto"/>
              <w:rPr>
                <w:rFonts w:ascii="Arial" w:hAnsi="Arial" w:cs="Arial"/>
                <w:sz w:val="18"/>
                <w:szCs w:val="18"/>
              </w:rPr>
            </w:pPr>
          </w:p>
        </w:tc>
      </w:tr>
      <w:tr w:rsidR="00986546" w:rsidRPr="00986546" w14:paraId="410757B7" w14:textId="77777777" w:rsidTr="00986546">
        <w:trPr>
          <w:trHeight w:val="285"/>
        </w:trPr>
        <w:tc>
          <w:tcPr>
            <w:tcW w:w="897" w:type="dxa"/>
            <w:vMerge/>
            <w:hideMark/>
          </w:tcPr>
          <w:p w14:paraId="23C8184C"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4E58DF32"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4277605C"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78B88DD3"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5B25C0C7"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52616623"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7D98305E"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52847651"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3EBBD81E"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475ED6CE"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Zkouška provozní stálosti</w:t>
            </w:r>
          </w:p>
        </w:tc>
        <w:tc>
          <w:tcPr>
            <w:tcW w:w="1418" w:type="dxa"/>
            <w:noWrap/>
            <w:hideMark/>
          </w:tcPr>
          <w:p w14:paraId="1C6389DC"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31AC7B6A" w14:textId="77777777" w:rsidR="00986546" w:rsidRPr="00986546" w:rsidRDefault="00986546" w:rsidP="00986546">
            <w:pPr>
              <w:spacing w:after="160" w:line="259" w:lineRule="auto"/>
              <w:rPr>
                <w:rFonts w:ascii="Arial" w:hAnsi="Arial" w:cs="Arial"/>
                <w:sz w:val="18"/>
                <w:szCs w:val="18"/>
              </w:rPr>
            </w:pPr>
          </w:p>
        </w:tc>
      </w:tr>
      <w:tr w:rsidR="00986546" w:rsidRPr="00986546" w14:paraId="38AC18A7" w14:textId="77777777" w:rsidTr="00986546">
        <w:trPr>
          <w:trHeight w:val="285"/>
        </w:trPr>
        <w:tc>
          <w:tcPr>
            <w:tcW w:w="897" w:type="dxa"/>
            <w:vMerge/>
            <w:hideMark/>
          </w:tcPr>
          <w:p w14:paraId="51BCE8E3"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573F2B66"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2D70C737"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5A9756AE"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7AE538E9"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46C52B78"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152178EE"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4029103D"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0260BC78"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542B05EF"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Provozní revize tlakové nádoby</w:t>
            </w:r>
          </w:p>
        </w:tc>
        <w:tc>
          <w:tcPr>
            <w:tcW w:w="1418" w:type="dxa"/>
            <w:noWrap/>
            <w:hideMark/>
          </w:tcPr>
          <w:p w14:paraId="118F8077"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49400928" w14:textId="77777777" w:rsidR="00986546" w:rsidRPr="00986546" w:rsidRDefault="00986546" w:rsidP="00986546">
            <w:pPr>
              <w:spacing w:after="160" w:line="259" w:lineRule="auto"/>
              <w:rPr>
                <w:rFonts w:ascii="Arial" w:hAnsi="Arial" w:cs="Arial"/>
                <w:sz w:val="18"/>
                <w:szCs w:val="18"/>
              </w:rPr>
            </w:pPr>
          </w:p>
        </w:tc>
      </w:tr>
      <w:tr w:rsidR="00986546" w:rsidRPr="00986546" w14:paraId="0AB279D8" w14:textId="77777777" w:rsidTr="00986546">
        <w:trPr>
          <w:trHeight w:val="285"/>
        </w:trPr>
        <w:tc>
          <w:tcPr>
            <w:tcW w:w="897" w:type="dxa"/>
            <w:vMerge/>
            <w:hideMark/>
          </w:tcPr>
          <w:p w14:paraId="3D3A7F55"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0833B05B"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420149AE"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46748202"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7EAC72D8"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38BECCCB"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0AC35932"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034197A7"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066395E6"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357A3CD3"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Vnitřní revize tlakové nádoby</w:t>
            </w:r>
          </w:p>
        </w:tc>
        <w:tc>
          <w:tcPr>
            <w:tcW w:w="1418" w:type="dxa"/>
            <w:noWrap/>
            <w:hideMark/>
          </w:tcPr>
          <w:p w14:paraId="2D7C31D4"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10904BA4" w14:textId="77777777" w:rsidR="00986546" w:rsidRPr="00986546" w:rsidRDefault="00986546" w:rsidP="00986546">
            <w:pPr>
              <w:spacing w:after="160" w:line="259" w:lineRule="auto"/>
              <w:rPr>
                <w:rFonts w:ascii="Arial" w:hAnsi="Arial" w:cs="Arial"/>
                <w:sz w:val="18"/>
                <w:szCs w:val="18"/>
              </w:rPr>
            </w:pPr>
          </w:p>
        </w:tc>
      </w:tr>
      <w:tr w:rsidR="00986546" w:rsidRPr="00986546" w14:paraId="7B9BADBE" w14:textId="77777777" w:rsidTr="00986546">
        <w:trPr>
          <w:trHeight w:val="285"/>
        </w:trPr>
        <w:tc>
          <w:tcPr>
            <w:tcW w:w="897" w:type="dxa"/>
            <w:vMerge/>
            <w:hideMark/>
          </w:tcPr>
          <w:p w14:paraId="7BF90DD6"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1C94B7B1" w14:textId="77777777" w:rsidR="00986546" w:rsidRPr="00986546" w:rsidRDefault="00986546" w:rsidP="00986546">
            <w:pPr>
              <w:spacing w:after="160" w:line="259" w:lineRule="auto"/>
              <w:rPr>
                <w:rFonts w:ascii="Arial" w:hAnsi="Arial" w:cs="Arial"/>
                <w:sz w:val="18"/>
                <w:szCs w:val="18"/>
              </w:rPr>
            </w:pPr>
          </w:p>
        </w:tc>
        <w:tc>
          <w:tcPr>
            <w:tcW w:w="1169" w:type="dxa"/>
            <w:vMerge/>
            <w:hideMark/>
          </w:tcPr>
          <w:p w14:paraId="1057B8FA" w14:textId="77777777" w:rsidR="00986546" w:rsidRPr="00986546" w:rsidRDefault="00986546" w:rsidP="00986546">
            <w:pPr>
              <w:spacing w:after="160" w:line="259" w:lineRule="auto"/>
              <w:rPr>
                <w:rFonts w:ascii="Arial" w:hAnsi="Arial" w:cs="Arial"/>
                <w:sz w:val="18"/>
                <w:szCs w:val="18"/>
              </w:rPr>
            </w:pPr>
          </w:p>
        </w:tc>
        <w:tc>
          <w:tcPr>
            <w:tcW w:w="941" w:type="dxa"/>
            <w:vMerge/>
            <w:hideMark/>
          </w:tcPr>
          <w:p w14:paraId="106000BA"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4E0891FF" w14:textId="77777777" w:rsidR="00986546" w:rsidRPr="00986546" w:rsidRDefault="00986546" w:rsidP="00986546">
            <w:pPr>
              <w:spacing w:after="160" w:line="259" w:lineRule="auto"/>
              <w:rPr>
                <w:rFonts w:ascii="Arial" w:hAnsi="Arial" w:cs="Arial"/>
                <w:sz w:val="18"/>
                <w:szCs w:val="18"/>
              </w:rPr>
            </w:pPr>
          </w:p>
        </w:tc>
        <w:tc>
          <w:tcPr>
            <w:tcW w:w="1147" w:type="dxa"/>
            <w:vMerge/>
            <w:hideMark/>
          </w:tcPr>
          <w:p w14:paraId="39D5C6D8" w14:textId="77777777" w:rsidR="00986546" w:rsidRPr="00986546" w:rsidRDefault="00986546" w:rsidP="00986546">
            <w:pPr>
              <w:spacing w:after="160" w:line="259" w:lineRule="auto"/>
              <w:rPr>
                <w:rFonts w:ascii="Arial" w:hAnsi="Arial" w:cs="Arial"/>
                <w:sz w:val="18"/>
                <w:szCs w:val="18"/>
              </w:rPr>
            </w:pPr>
          </w:p>
        </w:tc>
        <w:tc>
          <w:tcPr>
            <w:tcW w:w="487" w:type="dxa"/>
            <w:vMerge/>
            <w:hideMark/>
          </w:tcPr>
          <w:p w14:paraId="593A12D3" w14:textId="77777777" w:rsidR="00986546" w:rsidRPr="00986546" w:rsidRDefault="00986546" w:rsidP="00986546">
            <w:pPr>
              <w:spacing w:after="160" w:line="259" w:lineRule="auto"/>
              <w:rPr>
                <w:rFonts w:ascii="Arial" w:hAnsi="Arial" w:cs="Arial"/>
                <w:sz w:val="18"/>
                <w:szCs w:val="18"/>
              </w:rPr>
            </w:pPr>
          </w:p>
        </w:tc>
        <w:tc>
          <w:tcPr>
            <w:tcW w:w="952" w:type="dxa"/>
            <w:noWrap/>
            <w:hideMark/>
          </w:tcPr>
          <w:p w14:paraId="23F117FF"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1331" w:type="dxa"/>
            <w:noWrap/>
            <w:hideMark/>
          </w:tcPr>
          <w:p w14:paraId="73326853"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Ne</w:t>
            </w:r>
          </w:p>
        </w:tc>
        <w:tc>
          <w:tcPr>
            <w:tcW w:w="1516" w:type="dxa"/>
            <w:noWrap/>
            <w:hideMark/>
          </w:tcPr>
          <w:p w14:paraId="6FD93E6C"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Tlaková zkouška tlakové nádoby</w:t>
            </w:r>
          </w:p>
        </w:tc>
        <w:tc>
          <w:tcPr>
            <w:tcW w:w="1418" w:type="dxa"/>
            <w:noWrap/>
            <w:hideMark/>
          </w:tcPr>
          <w:p w14:paraId="7C3CA240" w14:textId="77777777" w:rsidR="00986546" w:rsidRPr="00986546" w:rsidRDefault="00986546" w:rsidP="00986546">
            <w:pPr>
              <w:spacing w:after="160" w:line="259" w:lineRule="auto"/>
              <w:rPr>
                <w:rFonts w:ascii="Arial" w:hAnsi="Arial" w:cs="Arial"/>
                <w:sz w:val="18"/>
                <w:szCs w:val="18"/>
              </w:rPr>
            </w:pPr>
            <w:r w:rsidRPr="00986546">
              <w:rPr>
                <w:rFonts w:ascii="Arial" w:hAnsi="Arial" w:cs="Arial"/>
                <w:sz w:val="18"/>
                <w:szCs w:val="18"/>
              </w:rPr>
              <w:t> </w:t>
            </w:r>
          </w:p>
        </w:tc>
        <w:tc>
          <w:tcPr>
            <w:tcW w:w="862" w:type="dxa"/>
            <w:vMerge/>
            <w:hideMark/>
          </w:tcPr>
          <w:p w14:paraId="3D297C8B" w14:textId="77777777" w:rsidR="00986546" w:rsidRPr="00986546" w:rsidRDefault="00986546" w:rsidP="00986546">
            <w:pPr>
              <w:spacing w:after="160" w:line="259" w:lineRule="auto"/>
              <w:rPr>
                <w:rFonts w:ascii="Arial" w:hAnsi="Arial" w:cs="Arial"/>
                <w:sz w:val="18"/>
                <w:szCs w:val="18"/>
              </w:rPr>
            </w:pPr>
          </w:p>
        </w:tc>
      </w:tr>
    </w:tbl>
    <w:p w14:paraId="57F2CF45" w14:textId="77777777" w:rsidR="00986546" w:rsidRDefault="00986546" w:rsidP="006477F1">
      <w:pPr>
        <w:spacing w:after="160" w:line="259" w:lineRule="auto"/>
        <w:rPr>
          <w:rFonts w:ascii="Arial" w:hAnsi="Arial" w:cs="Arial"/>
          <w:b/>
          <w:sz w:val="22"/>
          <w:szCs w:val="22"/>
        </w:rPr>
      </w:pPr>
    </w:p>
    <w:p w14:paraId="2547AC0D" w14:textId="77777777" w:rsidR="00986546" w:rsidRDefault="00986546" w:rsidP="006477F1">
      <w:pPr>
        <w:spacing w:after="160" w:line="259" w:lineRule="auto"/>
        <w:rPr>
          <w:rFonts w:ascii="Arial" w:hAnsi="Arial" w:cs="Arial"/>
          <w:b/>
          <w:sz w:val="22"/>
          <w:szCs w:val="22"/>
        </w:rPr>
      </w:pPr>
    </w:p>
    <w:tbl>
      <w:tblPr>
        <w:tblStyle w:val="Mkatabulky"/>
        <w:tblW w:w="0" w:type="auto"/>
        <w:tblLook w:val="04A0" w:firstRow="1" w:lastRow="0" w:firstColumn="1" w:lastColumn="0" w:noHBand="0" w:noVBand="1"/>
      </w:tblPr>
      <w:tblGrid>
        <w:gridCol w:w="4972"/>
        <w:gridCol w:w="2485"/>
        <w:gridCol w:w="2227"/>
        <w:gridCol w:w="1767"/>
        <w:gridCol w:w="2541"/>
      </w:tblGrid>
      <w:tr w:rsidR="00986546" w:rsidRPr="00986546" w14:paraId="771E41C6" w14:textId="77777777" w:rsidTr="00986546">
        <w:trPr>
          <w:trHeight w:val="855"/>
        </w:trPr>
        <w:tc>
          <w:tcPr>
            <w:tcW w:w="5380" w:type="dxa"/>
            <w:hideMark/>
          </w:tcPr>
          <w:p w14:paraId="18ECCCC9" w14:textId="77777777" w:rsidR="00986546" w:rsidRPr="00986546" w:rsidRDefault="00986546" w:rsidP="00986546">
            <w:pPr>
              <w:spacing w:after="160" w:line="259" w:lineRule="auto"/>
              <w:rPr>
                <w:rFonts w:ascii="Arial" w:hAnsi="Arial" w:cs="Arial"/>
                <w:bCs/>
                <w:i/>
                <w:iCs/>
                <w:sz w:val="20"/>
                <w:szCs w:val="20"/>
              </w:rPr>
            </w:pPr>
            <w:r w:rsidRPr="00986546">
              <w:rPr>
                <w:rFonts w:ascii="Arial" w:hAnsi="Arial" w:cs="Arial"/>
                <w:bCs/>
                <w:i/>
                <w:iCs/>
                <w:sz w:val="20"/>
                <w:szCs w:val="20"/>
              </w:rPr>
              <w:lastRenderedPageBreak/>
              <w:t> </w:t>
            </w:r>
          </w:p>
        </w:tc>
        <w:tc>
          <w:tcPr>
            <w:tcW w:w="2680" w:type="dxa"/>
            <w:hideMark/>
          </w:tcPr>
          <w:p w14:paraId="4F78EB1F"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 xml:space="preserve">Cena </w:t>
            </w:r>
            <w:r w:rsidRPr="00986546">
              <w:rPr>
                <w:rFonts w:ascii="Arial" w:hAnsi="Arial" w:cs="Arial"/>
                <w:bCs/>
                <w:sz w:val="20"/>
                <w:szCs w:val="20"/>
              </w:rPr>
              <w:br/>
              <w:t>bez DPH</w:t>
            </w:r>
            <w:r w:rsidRPr="00986546">
              <w:rPr>
                <w:rFonts w:ascii="Arial" w:hAnsi="Arial" w:cs="Arial"/>
                <w:bCs/>
                <w:sz w:val="20"/>
                <w:szCs w:val="20"/>
              </w:rPr>
              <w:br/>
              <w:t>[Kč]</w:t>
            </w:r>
          </w:p>
        </w:tc>
        <w:tc>
          <w:tcPr>
            <w:tcW w:w="2400" w:type="dxa"/>
            <w:hideMark/>
          </w:tcPr>
          <w:p w14:paraId="6CE0F5A0"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Sazba DPH</w:t>
            </w:r>
            <w:r w:rsidRPr="00986546">
              <w:rPr>
                <w:rFonts w:ascii="Arial" w:hAnsi="Arial" w:cs="Arial"/>
                <w:bCs/>
                <w:sz w:val="20"/>
                <w:szCs w:val="20"/>
              </w:rPr>
              <w:br/>
              <w:t>[%]</w:t>
            </w:r>
          </w:p>
        </w:tc>
        <w:tc>
          <w:tcPr>
            <w:tcW w:w="1900" w:type="dxa"/>
            <w:hideMark/>
          </w:tcPr>
          <w:p w14:paraId="0D3BF483"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Celkem</w:t>
            </w:r>
            <w:r w:rsidRPr="00986546">
              <w:rPr>
                <w:rFonts w:ascii="Arial" w:hAnsi="Arial" w:cs="Arial"/>
                <w:bCs/>
                <w:sz w:val="20"/>
                <w:szCs w:val="20"/>
              </w:rPr>
              <w:br/>
              <w:t>DPH</w:t>
            </w:r>
            <w:r w:rsidRPr="00986546">
              <w:rPr>
                <w:rFonts w:ascii="Arial" w:hAnsi="Arial" w:cs="Arial"/>
                <w:bCs/>
                <w:sz w:val="20"/>
                <w:szCs w:val="20"/>
              </w:rPr>
              <w:br/>
              <w:t>[Kč]</w:t>
            </w:r>
          </w:p>
        </w:tc>
        <w:tc>
          <w:tcPr>
            <w:tcW w:w="2740" w:type="dxa"/>
            <w:hideMark/>
          </w:tcPr>
          <w:p w14:paraId="502002F5"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 xml:space="preserve">Cena </w:t>
            </w:r>
            <w:r w:rsidRPr="00986546">
              <w:rPr>
                <w:rFonts w:ascii="Arial" w:hAnsi="Arial" w:cs="Arial"/>
                <w:bCs/>
                <w:sz w:val="20"/>
                <w:szCs w:val="20"/>
              </w:rPr>
              <w:br/>
              <w:t>s DPH</w:t>
            </w:r>
            <w:r w:rsidRPr="00986546">
              <w:rPr>
                <w:rFonts w:ascii="Arial" w:hAnsi="Arial" w:cs="Arial"/>
                <w:bCs/>
                <w:sz w:val="20"/>
                <w:szCs w:val="20"/>
              </w:rPr>
              <w:br/>
              <w:t>[Kč]</w:t>
            </w:r>
          </w:p>
        </w:tc>
      </w:tr>
      <w:tr w:rsidR="00986546" w:rsidRPr="00986546" w14:paraId="46A1DC05" w14:textId="77777777" w:rsidTr="00986546">
        <w:trPr>
          <w:trHeight w:val="315"/>
        </w:trPr>
        <w:tc>
          <w:tcPr>
            <w:tcW w:w="5380" w:type="dxa"/>
            <w:hideMark/>
          </w:tcPr>
          <w:p w14:paraId="5ECE41CA"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Cena za 1 hodinu provádění oprav</w:t>
            </w:r>
          </w:p>
        </w:tc>
        <w:tc>
          <w:tcPr>
            <w:tcW w:w="2680" w:type="dxa"/>
            <w:hideMark/>
          </w:tcPr>
          <w:p w14:paraId="29BEBBC6"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2500,00</w:t>
            </w:r>
          </w:p>
        </w:tc>
        <w:tc>
          <w:tcPr>
            <w:tcW w:w="2400" w:type="dxa"/>
            <w:hideMark/>
          </w:tcPr>
          <w:p w14:paraId="15366928" w14:textId="77777777" w:rsidR="00986546" w:rsidRPr="00986546" w:rsidRDefault="00986546" w:rsidP="00986546">
            <w:pPr>
              <w:spacing w:after="160" w:line="259" w:lineRule="auto"/>
              <w:rPr>
                <w:rFonts w:ascii="Arial" w:hAnsi="Arial" w:cs="Arial"/>
                <w:bCs/>
                <w:sz w:val="20"/>
                <w:szCs w:val="20"/>
              </w:rPr>
            </w:pPr>
            <w:proofErr w:type="gramStart"/>
            <w:r w:rsidRPr="00986546">
              <w:rPr>
                <w:rFonts w:ascii="Arial" w:hAnsi="Arial" w:cs="Arial"/>
                <w:bCs/>
                <w:sz w:val="20"/>
                <w:szCs w:val="20"/>
              </w:rPr>
              <w:t>12%</w:t>
            </w:r>
            <w:proofErr w:type="gramEnd"/>
          </w:p>
        </w:tc>
        <w:tc>
          <w:tcPr>
            <w:tcW w:w="1900" w:type="dxa"/>
            <w:noWrap/>
            <w:hideMark/>
          </w:tcPr>
          <w:p w14:paraId="636CEF48"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300,00</w:t>
            </w:r>
          </w:p>
        </w:tc>
        <w:tc>
          <w:tcPr>
            <w:tcW w:w="2740" w:type="dxa"/>
            <w:noWrap/>
            <w:hideMark/>
          </w:tcPr>
          <w:p w14:paraId="65248F7F"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2 800,00</w:t>
            </w:r>
          </w:p>
        </w:tc>
      </w:tr>
      <w:tr w:rsidR="00986546" w:rsidRPr="00986546" w14:paraId="1E2C832E" w14:textId="77777777" w:rsidTr="00986546">
        <w:trPr>
          <w:trHeight w:val="315"/>
        </w:trPr>
        <w:tc>
          <w:tcPr>
            <w:tcW w:w="5380" w:type="dxa"/>
            <w:hideMark/>
          </w:tcPr>
          <w:p w14:paraId="4A828056"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Sazba cestovních nákladů za 1 km (jedním směrem)</w:t>
            </w:r>
          </w:p>
        </w:tc>
        <w:tc>
          <w:tcPr>
            <w:tcW w:w="2680" w:type="dxa"/>
            <w:hideMark/>
          </w:tcPr>
          <w:p w14:paraId="0B8238E4"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15,00</w:t>
            </w:r>
          </w:p>
        </w:tc>
        <w:tc>
          <w:tcPr>
            <w:tcW w:w="2400" w:type="dxa"/>
            <w:hideMark/>
          </w:tcPr>
          <w:p w14:paraId="1DCD278C" w14:textId="77777777" w:rsidR="00986546" w:rsidRPr="00986546" w:rsidRDefault="00986546" w:rsidP="00986546">
            <w:pPr>
              <w:spacing w:after="160" w:line="259" w:lineRule="auto"/>
              <w:rPr>
                <w:rFonts w:ascii="Arial" w:hAnsi="Arial" w:cs="Arial"/>
                <w:bCs/>
                <w:sz w:val="20"/>
                <w:szCs w:val="20"/>
              </w:rPr>
            </w:pPr>
            <w:proofErr w:type="gramStart"/>
            <w:r w:rsidRPr="00986546">
              <w:rPr>
                <w:rFonts w:ascii="Arial" w:hAnsi="Arial" w:cs="Arial"/>
                <w:bCs/>
                <w:sz w:val="20"/>
                <w:szCs w:val="20"/>
              </w:rPr>
              <w:t>21%</w:t>
            </w:r>
            <w:proofErr w:type="gramEnd"/>
          </w:p>
        </w:tc>
        <w:tc>
          <w:tcPr>
            <w:tcW w:w="1900" w:type="dxa"/>
            <w:noWrap/>
            <w:hideMark/>
          </w:tcPr>
          <w:p w14:paraId="6272D97C"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3,15</w:t>
            </w:r>
          </w:p>
        </w:tc>
        <w:tc>
          <w:tcPr>
            <w:tcW w:w="2740" w:type="dxa"/>
            <w:noWrap/>
            <w:hideMark/>
          </w:tcPr>
          <w:p w14:paraId="6B0E49A7"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18,15</w:t>
            </w:r>
          </w:p>
        </w:tc>
      </w:tr>
      <w:tr w:rsidR="00986546" w:rsidRPr="00986546" w14:paraId="31AC1203" w14:textId="77777777" w:rsidTr="00986546">
        <w:trPr>
          <w:trHeight w:val="300"/>
        </w:trPr>
        <w:tc>
          <w:tcPr>
            <w:tcW w:w="5380" w:type="dxa"/>
            <w:hideMark/>
          </w:tcPr>
          <w:p w14:paraId="2CB14AC3"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Maximální cestovní náklady</w:t>
            </w:r>
          </w:p>
        </w:tc>
        <w:tc>
          <w:tcPr>
            <w:tcW w:w="2680" w:type="dxa"/>
            <w:hideMark/>
          </w:tcPr>
          <w:p w14:paraId="288DE685"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2550,00</w:t>
            </w:r>
          </w:p>
        </w:tc>
        <w:tc>
          <w:tcPr>
            <w:tcW w:w="2400" w:type="dxa"/>
            <w:hideMark/>
          </w:tcPr>
          <w:p w14:paraId="66D14153" w14:textId="77777777" w:rsidR="00986546" w:rsidRPr="00986546" w:rsidRDefault="00986546" w:rsidP="00986546">
            <w:pPr>
              <w:spacing w:after="160" w:line="259" w:lineRule="auto"/>
              <w:rPr>
                <w:rFonts w:ascii="Arial" w:hAnsi="Arial" w:cs="Arial"/>
                <w:bCs/>
                <w:sz w:val="20"/>
                <w:szCs w:val="20"/>
              </w:rPr>
            </w:pPr>
            <w:proofErr w:type="gramStart"/>
            <w:r w:rsidRPr="00986546">
              <w:rPr>
                <w:rFonts w:ascii="Arial" w:hAnsi="Arial" w:cs="Arial"/>
                <w:bCs/>
                <w:sz w:val="20"/>
                <w:szCs w:val="20"/>
              </w:rPr>
              <w:t>21%</w:t>
            </w:r>
            <w:proofErr w:type="gramEnd"/>
          </w:p>
        </w:tc>
        <w:tc>
          <w:tcPr>
            <w:tcW w:w="1900" w:type="dxa"/>
            <w:noWrap/>
            <w:hideMark/>
          </w:tcPr>
          <w:p w14:paraId="04C3F229"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535,50</w:t>
            </w:r>
          </w:p>
        </w:tc>
        <w:tc>
          <w:tcPr>
            <w:tcW w:w="2740" w:type="dxa"/>
            <w:noWrap/>
            <w:hideMark/>
          </w:tcPr>
          <w:p w14:paraId="6C2DBCAC"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3 085,50</w:t>
            </w:r>
          </w:p>
        </w:tc>
      </w:tr>
      <w:tr w:rsidR="00986546" w:rsidRPr="00986546" w14:paraId="07519FDC" w14:textId="77777777" w:rsidTr="00986546">
        <w:trPr>
          <w:trHeight w:val="300"/>
        </w:trPr>
        <w:tc>
          <w:tcPr>
            <w:tcW w:w="5380" w:type="dxa"/>
            <w:noWrap/>
            <w:hideMark/>
          </w:tcPr>
          <w:p w14:paraId="313BDCED" w14:textId="77777777" w:rsidR="00986546" w:rsidRPr="00986546" w:rsidRDefault="00986546" w:rsidP="00986546">
            <w:pPr>
              <w:spacing w:after="160" w:line="259" w:lineRule="auto"/>
              <w:rPr>
                <w:rFonts w:ascii="Arial" w:hAnsi="Arial" w:cs="Arial"/>
                <w:bCs/>
                <w:sz w:val="20"/>
                <w:szCs w:val="20"/>
              </w:rPr>
            </w:pPr>
          </w:p>
        </w:tc>
        <w:tc>
          <w:tcPr>
            <w:tcW w:w="2680" w:type="dxa"/>
            <w:noWrap/>
            <w:hideMark/>
          </w:tcPr>
          <w:p w14:paraId="60972FC9" w14:textId="77777777" w:rsidR="00986546" w:rsidRPr="00986546" w:rsidRDefault="00986546" w:rsidP="00986546">
            <w:pPr>
              <w:spacing w:after="160" w:line="259" w:lineRule="auto"/>
              <w:rPr>
                <w:rFonts w:ascii="Arial" w:hAnsi="Arial" w:cs="Arial"/>
                <w:bCs/>
                <w:sz w:val="20"/>
                <w:szCs w:val="20"/>
              </w:rPr>
            </w:pPr>
          </w:p>
        </w:tc>
        <w:tc>
          <w:tcPr>
            <w:tcW w:w="2400" w:type="dxa"/>
            <w:noWrap/>
            <w:hideMark/>
          </w:tcPr>
          <w:p w14:paraId="23111AFF" w14:textId="77777777" w:rsidR="00986546" w:rsidRPr="00986546" w:rsidRDefault="00986546" w:rsidP="00986546">
            <w:pPr>
              <w:spacing w:after="160" w:line="259" w:lineRule="auto"/>
              <w:rPr>
                <w:rFonts w:ascii="Arial" w:hAnsi="Arial" w:cs="Arial"/>
                <w:bCs/>
                <w:sz w:val="20"/>
                <w:szCs w:val="20"/>
              </w:rPr>
            </w:pPr>
          </w:p>
        </w:tc>
        <w:tc>
          <w:tcPr>
            <w:tcW w:w="1900" w:type="dxa"/>
            <w:noWrap/>
            <w:hideMark/>
          </w:tcPr>
          <w:p w14:paraId="62456E78" w14:textId="77777777" w:rsidR="00986546" w:rsidRPr="00986546" w:rsidRDefault="00986546" w:rsidP="00986546">
            <w:pPr>
              <w:spacing w:after="160" w:line="259" w:lineRule="auto"/>
              <w:rPr>
                <w:rFonts w:ascii="Arial" w:hAnsi="Arial" w:cs="Arial"/>
                <w:bCs/>
                <w:sz w:val="20"/>
                <w:szCs w:val="20"/>
              </w:rPr>
            </w:pPr>
          </w:p>
        </w:tc>
        <w:tc>
          <w:tcPr>
            <w:tcW w:w="2740" w:type="dxa"/>
            <w:noWrap/>
            <w:hideMark/>
          </w:tcPr>
          <w:p w14:paraId="1CABD686" w14:textId="77777777" w:rsidR="00986546" w:rsidRPr="00986546" w:rsidRDefault="00986546" w:rsidP="00986546">
            <w:pPr>
              <w:spacing w:after="160" w:line="259" w:lineRule="auto"/>
              <w:rPr>
                <w:rFonts w:ascii="Arial" w:hAnsi="Arial" w:cs="Arial"/>
                <w:bCs/>
                <w:sz w:val="20"/>
                <w:szCs w:val="20"/>
              </w:rPr>
            </w:pPr>
          </w:p>
        </w:tc>
      </w:tr>
      <w:tr w:rsidR="00986546" w:rsidRPr="00986546" w14:paraId="615D7CEB" w14:textId="77777777" w:rsidTr="00986546">
        <w:trPr>
          <w:trHeight w:val="300"/>
        </w:trPr>
        <w:tc>
          <w:tcPr>
            <w:tcW w:w="10460" w:type="dxa"/>
            <w:gridSpan w:val="3"/>
            <w:noWrap/>
            <w:hideMark/>
          </w:tcPr>
          <w:p w14:paraId="616E71D8"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Vzdálenost nejbližšího servisního střediska Poskytovatele od sídla Objednatele [km]:</w:t>
            </w:r>
          </w:p>
        </w:tc>
        <w:tc>
          <w:tcPr>
            <w:tcW w:w="1900" w:type="dxa"/>
            <w:hideMark/>
          </w:tcPr>
          <w:p w14:paraId="65124AC7" w14:textId="77777777" w:rsidR="00986546" w:rsidRPr="00986546" w:rsidRDefault="00986546" w:rsidP="00986546">
            <w:pPr>
              <w:spacing w:after="160" w:line="259" w:lineRule="auto"/>
              <w:rPr>
                <w:rFonts w:ascii="Arial" w:hAnsi="Arial" w:cs="Arial"/>
                <w:bCs/>
                <w:sz w:val="20"/>
                <w:szCs w:val="20"/>
              </w:rPr>
            </w:pPr>
            <w:r w:rsidRPr="00986546">
              <w:rPr>
                <w:rFonts w:ascii="Arial" w:hAnsi="Arial" w:cs="Arial"/>
                <w:bCs/>
                <w:sz w:val="20"/>
                <w:szCs w:val="20"/>
              </w:rPr>
              <w:t>170</w:t>
            </w:r>
          </w:p>
        </w:tc>
        <w:tc>
          <w:tcPr>
            <w:tcW w:w="2740" w:type="dxa"/>
            <w:noWrap/>
            <w:hideMark/>
          </w:tcPr>
          <w:p w14:paraId="09CB8FEF" w14:textId="77777777" w:rsidR="00986546" w:rsidRPr="00986546" w:rsidRDefault="00986546" w:rsidP="00986546">
            <w:pPr>
              <w:spacing w:after="160" w:line="259" w:lineRule="auto"/>
              <w:rPr>
                <w:rFonts w:ascii="Arial" w:hAnsi="Arial" w:cs="Arial"/>
                <w:bCs/>
                <w:sz w:val="20"/>
                <w:szCs w:val="20"/>
              </w:rPr>
            </w:pPr>
          </w:p>
        </w:tc>
      </w:tr>
    </w:tbl>
    <w:p w14:paraId="727CF359" w14:textId="77777777" w:rsidR="00986546" w:rsidRDefault="00986546" w:rsidP="006477F1">
      <w:pPr>
        <w:spacing w:after="160" w:line="259" w:lineRule="auto"/>
        <w:rPr>
          <w:rFonts w:ascii="Arial" w:hAnsi="Arial" w:cs="Arial"/>
          <w:b/>
          <w:sz w:val="22"/>
          <w:szCs w:val="22"/>
        </w:rPr>
      </w:pPr>
    </w:p>
    <w:tbl>
      <w:tblPr>
        <w:tblW w:w="14257" w:type="dxa"/>
        <w:tblCellMar>
          <w:left w:w="70" w:type="dxa"/>
          <w:right w:w="70" w:type="dxa"/>
        </w:tblCellMar>
        <w:tblLook w:val="04A0" w:firstRow="1" w:lastRow="0" w:firstColumn="1" w:lastColumn="0" w:noHBand="0" w:noVBand="1"/>
      </w:tblPr>
      <w:tblGrid>
        <w:gridCol w:w="1657"/>
        <w:gridCol w:w="2381"/>
        <w:gridCol w:w="1914"/>
        <w:gridCol w:w="1546"/>
        <w:gridCol w:w="1304"/>
        <w:gridCol w:w="1319"/>
        <w:gridCol w:w="1593"/>
        <w:gridCol w:w="2543"/>
      </w:tblGrid>
      <w:tr w:rsidR="00986546" w:rsidRPr="00986546" w14:paraId="5344D822" w14:textId="77777777" w:rsidTr="00986546">
        <w:trPr>
          <w:trHeight w:val="307"/>
        </w:trPr>
        <w:tc>
          <w:tcPr>
            <w:tcW w:w="7498"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7B90A15" w14:textId="77777777" w:rsidR="00986546" w:rsidRPr="00986546" w:rsidRDefault="00986546" w:rsidP="00986546">
            <w:pPr>
              <w:rPr>
                <w:rFonts w:ascii="Arial" w:hAnsi="Arial" w:cs="Arial"/>
                <w:b/>
                <w:bCs/>
                <w:color w:val="000000"/>
                <w:sz w:val="20"/>
                <w:szCs w:val="20"/>
              </w:rPr>
            </w:pPr>
            <w:r w:rsidRPr="00986546">
              <w:rPr>
                <w:rFonts w:ascii="Arial" w:hAnsi="Arial" w:cs="Arial"/>
                <w:b/>
                <w:bCs/>
                <w:color w:val="000000"/>
                <w:sz w:val="20"/>
                <w:szCs w:val="20"/>
              </w:rPr>
              <w:t>Nejbližší servisní středisko Poskytovatele od sídla Objednatele:</w:t>
            </w:r>
          </w:p>
        </w:tc>
        <w:tc>
          <w:tcPr>
            <w:tcW w:w="1304" w:type="dxa"/>
            <w:tcBorders>
              <w:top w:val="nil"/>
              <w:left w:val="nil"/>
              <w:bottom w:val="nil"/>
              <w:right w:val="nil"/>
            </w:tcBorders>
            <w:shd w:val="clear" w:color="auto" w:fill="auto"/>
            <w:noWrap/>
            <w:vAlign w:val="bottom"/>
            <w:hideMark/>
          </w:tcPr>
          <w:p w14:paraId="30C49631" w14:textId="77777777" w:rsidR="00986546" w:rsidRPr="00986546" w:rsidRDefault="00986546" w:rsidP="00986546">
            <w:pPr>
              <w:rPr>
                <w:rFonts w:ascii="Arial" w:hAnsi="Arial" w:cs="Arial"/>
                <w:b/>
                <w:bCs/>
                <w:color w:val="000000"/>
                <w:sz w:val="20"/>
                <w:szCs w:val="20"/>
              </w:rPr>
            </w:pPr>
          </w:p>
        </w:tc>
        <w:tc>
          <w:tcPr>
            <w:tcW w:w="1319" w:type="dxa"/>
            <w:tcBorders>
              <w:top w:val="nil"/>
              <w:left w:val="nil"/>
              <w:bottom w:val="nil"/>
              <w:right w:val="nil"/>
            </w:tcBorders>
            <w:shd w:val="clear" w:color="auto" w:fill="auto"/>
            <w:noWrap/>
            <w:vAlign w:val="bottom"/>
            <w:hideMark/>
          </w:tcPr>
          <w:p w14:paraId="00C2ADBC"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478FAB8C"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6DB4FC6D" w14:textId="77777777" w:rsidR="00986546" w:rsidRPr="00986546" w:rsidRDefault="00986546" w:rsidP="00986546">
            <w:pPr>
              <w:rPr>
                <w:sz w:val="20"/>
                <w:szCs w:val="20"/>
              </w:rPr>
            </w:pPr>
          </w:p>
        </w:tc>
      </w:tr>
      <w:tr w:rsidR="00986546" w:rsidRPr="00986546" w14:paraId="5254A3A7" w14:textId="77777777" w:rsidTr="00986546">
        <w:trPr>
          <w:trHeight w:val="307"/>
        </w:trPr>
        <w:tc>
          <w:tcPr>
            <w:tcW w:w="1657" w:type="dxa"/>
            <w:vMerge w:val="restart"/>
            <w:tcBorders>
              <w:top w:val="nil"/>
              <w:left w:val="single" w:sz="4" w:space="0" w:color="auto"/>
              <w:bottom w:val="single" w:sz="4" w:space="0" w:color="000000"/>
              <w:right w:val="single" w:sz="4" w:space="0" w:color="auto"/>
            </w:tcBorders>
            <w:shd w:val="clear" w:color="auto" w:fill="auto"/>
            <w:noWrap/>
            <w:hideMark/>
          </w:tcPr>
          <w:p w14:paraId="132477FB" w14:textId="77777777" w:rsidR="00986546" w:rsidRPr="00986546" w:rsidRDefault="00986546" w:rsidP="00986546">
            <w:pPr>
              <w:rPr>
                <w:rFonts w:ascii="Arial" w:hAnsi="Arial" w:cs="Arial"/>
                <w:color w:val="000000"/>
                <w:sz w:val="20"/>
                <w:szCs w:val="20"/>
              </w:rPr>
            </w:pPr>
            <w:r w:rsidRPr="00986546">
              <w:rPr>
                <w:rFonts w:ascii="Arial" w:hAnsi="Arial" w:cs="Arial"/>
                <w:color w:val="000000"/>
                <w:sz w:val="20"/>
                <w:szCs w:val="20"/>
              </w:rPr>
              <w:t>Adresa:</w:t>
            </w:r>
          </w:p>
        </w:tc>
        <w:tc>
          <w:tcPr>
            <w:tcW w:w="5841" w:type="dxa"/>
            <w:gridSpan w:val="3"/>
            <w:tcBorders>
              <w:top w:val="single" w:sz="4" w:space="0" w:color="auto"/>
              <w:left w:val="nil"/>
              <w:bottom w:val="single" w:sz="4" w:space="0" w:color="auto"/>
              <w:right w:val="single" w:sz="4" w:space="0" w:color="000000"/>
            </w:tcBorders>
            <w:shd w:val="clear" w:color="000000" w:fill="FFFFC8"/>
            <w:vAlign w:val="bottom"/>
            <w:hideMark/>
          </w:tcPr>
          <w:p w14:paraId="791B93AC" w14:textId="77777777" w:rsidR="00986546" w:rsidRPr="00986546" w:rsidRDefault="00986546" w:rsidP="00986546">
            <w:pPr>
              <w:jc w:val="center"/>
              <w:rPr>
                <w:rFonts w:ascii="Arial" w:hAnsi="Arial" w:cs="Arial"/>
                <w:sz w:val="20"/>
                <w:szCs w:val="20"/>
              </w:rPr>
            </w:pPr>
            <w:r w:rsidRPr="00986546">
              <w:rPr>
                <w:rFonts w:ascii="Arial" w:hAnsi="Arial" w:cs="Arial"/>
                <w:sz w:val="20"/>
                <w:szCs w:val="20"/>
              </w:rPr>
              <w:t>IMEDEX s.r.o.</w:t>
            </w:r>
          </w:p>
        </w:tc>
        <w:tc>
          <w:tcPr>
            <w:tcW w:w="1304" w:type="dxa"/>
            <w:tcBorders>
              <w:top w:val="nil"/>
              <w:left w:val="nil"/>
              <w:bottom w:val="nil"/>
              <w:right w:val="nil"/>
            </w:tcBorders>
            <w:shd w:val="clear" w:color="auto" w:fill="auto"/>
            <w:noWrap/>
            <w:vAlign w:val="bottom"/>
            <w:hideMark/>
          </w:tcPr>
          <w:p w14:paraId="31FD363B" w14:textId="77777777" w:rsidR="00986546" w:rsidRPr="00986546" w:rsidRDefault="00986546" w:rsidP="00986546">
            <w:pPr>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14:paraId="5A163BF1"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22066378"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6A22C10B" w14:textId="77777777" w:rsidR="00986546" w:rsidRPr="00986546" w:rsidRDefault="00986546" w:rsidP="00986546">
            <w:pPr>
              <w:rPr>
                <w:sz w:val="20"/>
                <w:szCs w:val="20"/>
              </w:rPr>
            </w:pPr>
          </w:p>
        </w:tc>
      </w:tr>
      <w:tr w:rsidR="00986546" w:rsidRPr="00986546" w14:paraId="16D98CF7" w14:textId="77777777" w:rsidTr="00986546">
        <w:trPr>
          <w:trHeight w:val="307"/>
        </w:trPr>
        <w:tc>
          <w:tcPr>
            <w:tcW w:w="1657" w:type="dxa"/>
            <w:vMerge/>
            <w:tcBorders>
              <w:top w:val="nil"/>
              <w:left w:val="single" w:sz="4" w:space="0" w:color="auto"/>
              <w:bottom w:val="single" w:sz="4" w:space="0" w:color="000000"/>
              <w:right w:val="single" w:sz="4" w:space="0" w:color="auto"/>
            </w:tcBorders>
            <w:vAlign w:val="center"/>
            <w:hideMark/>
          </w:tcPr>
          <w:p w14:paraId="141723A6" w14:textId="77777777" w:rsidR="00986546" w:rsidRPr="00986546" w:rsidRDefault="00986546" w:rsidP="00986546">
            <w:pPr>
              <w:rPr>
                <w:rFonts w:ascii="Arial" w:hAnsi="Arial" w:cs="Arial"/>
                <w:color w:val="000000"/>
                <w:sz w:val="20"/>
                <w:szCs w:val="20"/>
              </w:rPr>
            </w:pPr>
          </w:p>
        </w:tc>
        <w:tc>
          <w:tcPr>
            <w:tcW w:w="5841" w:type="dxa"/>
            <w:gridSpan w:val="3"/>
            <w:tcBorders>
              <w:top w:val="single" w:sz="4" w:space="0" w:color="auto"/>
              <w:left w:val="nil"/>
              <w:bottom w:val="single" w:sz="4" w:space="0" w:color="auto"/>
              <w:right w:val="single" w:sz="4" w:space="0" w:color="000000"/>
            </w:tcBorders>
            <w:shd w:val="clear" w:color="000000" w:fill="FFFFC8"/>
            <w:vAlign w:val="bottom"/>
            <w:hideMark/>
          </w:tcPr>
          <w:p w14:paraId="56BF52F2" w14:textId="77777777" w:rsidR="00986546" w:rsidRPr="00986546" w:rsidRDefault="00986546" w:rsidP="00986546">
            <w:pPr>
              <w:jc w:val="center"/>
              <w:rPr>
                <w:rFonts w:ascii="Arial" w:hAnsi="Arial" w:cs="Arial"/>
                <w:sz w:val="20"/>
                <w:szCs w:val="20"/>
              </w:rPr>
            </w:pPr>
            <w:r w:rsidRPr="00986546">
              <w:rPr>
                <w:rFonts w:ascii="Arial" w:hAnsi="Arial" w:cs="Arial"/>
                <w:sz w:val="20"/>
                <w:szCs w:val="20"/>
              </w:rPr>
              <w:t>Kladská 1092/</w:t>
            </w:r>
            <w:proofErr w:type="gramStart"/>
            <w:r w:rsidRPr="00986546">
              <w:rPr>
                <w:rFonts w:ascii="Arial" w:hAnsi="Arial" w:cs="Arial"/>
                <w:sz w:val="20"/>
                <w:szCs w:val="20"/>
              </w:rPr>
              <w:t>1a</w:t>
            </w:r>
            <w:proofErr w:type="gramEnd"/>
          </w:p>
        </w:tc>
        <w:tc>
          <w:tcPr>
            <w:tcW w:w="1304" w:type="dxa"/>
            <w:tcBorders>
              <w:top w:val="nil"/>
              <w:left w:val="nil"/>
              <w:bottom w:val="nil"/>
              <w:right w:val="nil"/>
            </w:tcBorders>
            <w:shd w:val="clear" w:color="auto" w:fill="auto"/>
            <w:noWrap/>
            <w:vAlign w:val="bottom"/>
            <w:hideMark/>
          </w:tcPr>
          <w:p w14:paraId="04DDFE3C" w14:textId="77777777" w:rsidR="00986546" w:rsidRPr="00986546" w:rsidRDefault="00986546" w:rsidP="00986546">
            <w:pPr>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14:paraId="536F01FD"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64AC179B"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39128733" w14:textId="77777777" w:rsidR="00986546" w:rsidRPr="00986546" w:rsidRDefault="00986546" w:rsidP="00986546">
            <w:pPr>
              <w:rPr>
                <w:sz w:val="20"/>
                <w:szCs w:val="20"/>
              </w:rPr>
            </w:pPr>
          </w:p>
        </w:tc>
      </w:tr>
      <w:tr w:rsidR="00986546" w:rsidRPr="00986546" w14:paraId="19634A52" w14:textId="77777777" w:rsidTr="00986546">
        <w:trPr>
          <w:trHeight w:val="307"/>
        </w:trPr>
        <w:tc>
          <w:tcPr>
            <w:tcW w:w="1657" w:type="dxa"/>
            <w:vMerge/>
            <w:tcBorders>
              <w:top w:val="nil"/>
              <w:left w:val="single" w:sz="4" w:space="0" w:color="auto"/>
              <w:bottom w:val="single" w:sz="4" w:space="0" w:color="000000"/>
              <w:right w:val="single" w:sz="4" w:space="0" w:color="auto"/>
            </w:tcBorders>
            <w:vAlign w:val="center"/>
            <w:hideMark/>
          </w:tcPr>
          <w:p w14:paraId="3301A69D" w14:textId="77777777" w:rsidR="00986546" w:rsidRPr="00986546" w:rsidRDefault="00986546" w:rsidP="00986546">
            <w:pPr>
              <w:rPr>
                <w:rFonts w:ascii="Arial" w:hAnsi="Arial" w:cs="Arial"/>
                <w:color w:val="000000"/>
                <w:sz w:val="20"/>
                <w:szCs w:val="20"/>
              </w:rPr>
            </w:pPr>
          </w:p>
        </w:tc>
        <w:tc>
          <w:tcPr>
            <w:tcW w:w="5841" w:type="dxa"/>
            <w:gridSpan w:val="3"/>
            <w:tcBorders>
              <w:top w:val="single" w:sz="4" w:space="0" w:color="auto"/>
              <w:left w:val="nil"/>
              <w:bottom w:val="single" w:sz="4" w:space="0" w:color="auto"/>
              <w:right w:val="single" w:sz="4" w:space="0" w:color="000000"/>
            </w:tcBorders>
            <w:shd w:val="clear" w:color="000000" w:fill="FFFFC8"/>
            <w:vAlign w:val="bottom"/>
            <w:hideMark/>
          </w:tcPr>
          <w:p w14:paraId="6161A86E" w14:textId="77777777" w:rsidR="00986546" w:rsidRPr="00986546" w:rsidRDefault="00986546" w:rsidP="00986546">
            <w:pPr>
              <w:jc w:val="center"/>
              <w:rPr>
                <w:rFonts w:ascii="Arial" w:hAnsi="Arial" w:cs="Arial"/>
                <w:sz w:val="20"/>
                <w:szCs w:val="20"/>
              </w:rPr>
            </w:pPr>
            <w:r w:rsidRPr="00986546">
              <w:rPr>
                <w:rFonts w:ascii="Arial" w:hAnsi="Arial" w:cs="Arial"/>
                <w:sz w:val="20"/>
                <w:szCs w:val="20"/>
              </w:rPr>
              <w:t>Hradec Králové, 500 03</w:t>
            </w:r>
          </w:p>
        </w:tc>
        <w:tc>
          <w:tcPr>
            <w:tcW w:w="1304" w:type="dxa"/>
            <w:tcBorders>
              <w:top w:val="nil"/>
              <w:left w:val="nil"/>
              <w:bottom w:val="nil"/>
              <w:right w:val="nil"/>
            </w:tcBorders>
            <w:shd w:val="clear" w:color="auto" w:fill="auto"/>
            <w:noWrap/>
            <w:vAlign w:val="bottom"/>
            <w:hideMark/>
          </w:tcPr>
          <w:p w14:paraId="7A87642A" w14:textId="77777777" w:rsidR="00986546" w:rsidRPr="00986546" w:rsidRDefault="00986546" w:rsidP="00986546">
            <w:pPr>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14:paraId="371AA827"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14B1B49D"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006AB9B7" w14:textId="77777777" w:rsidR="00986546" w:rsidRPr="00986546" w:rsidRDefault="00986546" w:rsidP="00986546">
            <w:pPr>
              <w:rPr>
                <w:sz w:val="20"/>
                <w:szCs w:val="20"/>
              </w:rPr>
            </w:pPr>
          </w:p>
        </w:tc>
      </w:tr>
      <w:tr w:rsidR="00986546" w:rsidRPr="00986546" w14:paraId="146B83A1" w14:textId="77777777" w:rsidTr="00986546">
        <w:trPr>
          <w:trHeight w:val="307"/>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1126DF0B" w14:textId="77777777" w:rsidR="00986546" w:rsidRPr="00986546" w:rsidRDefault="00986546" w:rsidP="00986546">
            <w:pPr>
              <w:rPr>
                <w:rFonts w:ascii="Arial" w:hAnsi="Arial" w:cs="Arial"/>
                <w:color w:val="000000"/>
                <w:sz w:val="20"/>
                <w:szCs w:val="20"/>
              </w:rPr>
            </w:pPr>
            <w:r w:rsidRPr="00986546">
              <w:rPr>
                <w:rFonts w:ascii="Arial" w:hAnsi="Arial" w:cs="Arial"/>
                <w:color w:val="000000"/>
                <w:sz w:val="20"/>
                <w:szCs w:val="20"/>
              </w:rPr>
              <w:t>Kontaktní osoba:</w:t>
            </w:r>
          </w:p>
        </w:tc>
        <w:tc>
          <w:tcPr>
            <w:tcW w:w="5841" w:type="dxa"/>
            <w:gridSpan w:val="3"/>
            <w:tcBorders>
              <w:top w:val="single" w:sz="4" w:space="0" w:color="auto"/>
              <w:left w:val="nil"/>
              <w:bottom w:val="single" w:sz="4" w:space="0" w:color="auto"/>
              <w:right w:val="single" w:sz="4" w:space="0" w:color="000000"/>
            </w:tcBorders>
            <w:shd w:val="clear" w:color="000000" w:fill="FFFFC8"/>
            <w:vAlign w:val="bottom"/>
            <w:hideMark/>
          </w:tcPr>
          <w:p w14:paraId="1B477144" w14:textId="5714DB16" w:rsidR="00986546" w:rsidRPr="00986546" w:rsidRDefault="00253D58" w:rsidP="00986546">
            <w:pPr>
              <w:jc w:val="center"/>
              <w:rPr>
                <w:rFonts w:ascii="Arial" w:hAnsi="Arial" w:cs="Arial"/>
                <w:sz w:val="20"/>
                <w:szCs w:val="20"/>
              </w:rPr>
            </w:pPr>
            <w:r>
              <w:rPr>
                <w:rFonts w:ascii="Arial" w:hAnsi="Arial" w:cs="Arial"/>
                <w:sz w:val="20"/>
                <w:szCs w:val="20"/>
              </w:rPr>
              <w:t>XXX</w:t>
            </w:r>
          </w:p>
        </w:tc>
        <w:tc>
          <w:tcPr>
            <w:tcW w:w="1304" w:type="dxa"/>
            <w:tcBorders>
              <w:top w:val="nil"/>
              <w:left w:val="nil"/>
              <w:bottom w:val="nil"/>
              <w:right w:val="nil"/>
            </w:tcBorders>
            <w:shd w:val="clear" w:color="auto" w:fill="auto"/>
            <w:noWrap/>
            <w:vAlign w:val="bottom"/>
            <w:hideMark/>
          </w:tcPr>
          <w:p w14:paraId="1ED10BBE" w14:textId="77777777" w:rsidR="00986546" w:rsidRPr="00986546" w:rsidRDefault="00986546" w:rsidP="00986546">
            <w:pPr>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14:paraId="54BC4589"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55C4823B"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6EC4F157" w14:textId="77777777" w:rsidR="00986546" w:rsidRPr="00986546" w:rsidRDefault="00986546" w:rsidP="00986546">
            <w:pPr>
              <w:rPr>
                <w:sz w:val="20"/>
                <w:szCs w:val="20"/>
              </w:rPr>
            </w:pPr>
          </w:p>
        </w:tc>
      </w:tr>
      <w:tr w:rsidR="00986546" w:rsidRPr="00986546" w14:paraId="1E03C3BF" w14:textId="77777777" w:rsidTr="00986546">
        <w:trPr>
          <w:trHeight w:val="307"/>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7BA5760D" w14:textId="77777777" w:rsidR="00986546" w:rsidRPr="00986546" w:rsidRDefault="00986546" w:rsidP="00986546">
            <w:pPr>
              <w:rPr>
                <w:rFonts w:ascii="Arial" w:hAnsi="Arial" w:cs="Arial"/>
                <w:color w:val="000000"/>
                <w:sz w:val="20"/>
                <w:szCs w:val="20"/>
              </w:rPr>
            </w:pPr>
            <w:r w:rsidRPr="00986546">
              <w:rPr>
                <w:rFonts w:ascii="Arial" w:hAnsi="Arial" w:cs="Arial"/>
                <w:color w:val="000000"/>
                <w:sz w:val="20"/>
                <w:szCs w:val="20"/>
              </w:rPr>
              <w:t>Telefon:</w:t>
            </w:r>
          </w:p>
        </w:tc>
        <w:tc>
          <w:tcPr>
            <w:tcW w:w="5841" w:type="dxa"/>
            <w:gridSpan w:val="3"/>
            <w:tcBorders>
              <w:top w:val="single" w:sz="4" w:space="0" w:color="auto"/>
              <w:left w:val="nil"/>
              <w:bottom w:val="single" w:sz="4" w:space="0" w:color="auto"/>
              <w:right w:val="single" w:sz="4" w:space="0" w:color="000000"/>
            </w:tcBorders>
            <w:shd w:val="clear" w:color="000000" w:fill="FFFFC8"/>
            <w:vAlign w:val="bottom"/>
            <w:hideMark/>
          </w:tcPr>
          <w:p w14:paraId="15AEC444" w14:textId="3CCC31AA" w:rsidR="00986546" w:rsidRPr="00986546" w:rsidRDefault="00253D58" w:rsidP="00986546">
            <w:pPr>
              <w:jc w:val="center"/>
              <w:rPr>
                <w:rFonts w:ascii="Arial" w:hAnsi="Arial" w:cs="Arial"/>
                <w:sz w:val="20"/>
                <w:szCs w:val="20"/>
              </w:rPr>
            </w:pPr>
            <w:r>
              <w:rPr>
                <w:rFonts w:ascii="Arial" w:hAnsi="Arial" w:cs="Arial"/>
                <w:sz w:val="20"/>
                <w:szCs w:val="20"/>
              </w:rPr>
              <w:t>XXX</w:t>
            </w:r>
          </w:p>
        </w:tc>
        <w:tc>
          <w:tcPr>
            <w:tcW w:w="1304" w:type="dxa"/>
            <w:tcBorders>
              <w:top w:val="nil"/>
              <w:left w:val="nil"/>
              <w:bottom w:val="nil"/>
              <w:right w:val="nil"/>
            </w:tcBorders>
            <w:shd w:val="clear" w:color="auto" w:fill="auto"/>
            <w:noWrap/>
            <w:vAlign w:val="bottom"/>
            <w:hideMark/>
          </w:tcPr>
          <w:p w14:paraId="6CAC1BC6" w14:textId="77777777" w:rsidR="00986546" w:rsidRPr="00986546" w:rsidRDefault="00986546" w:rsidP="00986546">
            <w:pPr>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14:paraId="21B2682D"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545359E4"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1CAC6DFA" w14:textId="77777777" w:rsidR="00986546" w:rsidRPr="00986546" w:rsidRDefault="00986546" w:rsidP="00986546">
            <w:pPr>
              <w:rPr>
                <w:sz w:val="20"/>
                <w:szCs w:val="20"/>
              </w:rPr>
            </w:pPr>
          </w:p>
        </w:tc>
      </w:tr>
      <w:tr w:rsidR="00986546" w:rsidRPr="00986546" w14:paraId="02C39E5A" w14:textId="77777777" w:rsidTr="00986546">
        <w:trPr>
          <w:trHeight w:val="307"/>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11794B82" w14:textId="77777777" w:rsidR="00986546" w:rsidRPr="00986546" w:rsidRDefault="00986546" w:rsidP="00986546">
            <w:pPr>
              <w:rPr>
                <w:rFonts w:ascii="Arial" w:hAnsi="Arial" w:cs="Arial"/>
                <w:color w:val="000000"/>
                <w:sz w:val="20"/>
                <w:szCs w:val="20"/>
              </w:rPr>
            </w:pPr>
            <w:r w:rsidRPr="00986546">
              <w:rPr>
                <w:rFonts w:ascii="Arial" w:hAnsi="Arial" w:cs="Arial"/>
                <w:color w:val="000000"/>
                <w:sz w:val="20"/>
                <w:szCs w:val="20"/>
              </w:rPr>
              <w:t>E-mail:</w:t>
            </w:r>
          </w:p>
        </w:tc>
        <w:tc>
          <w:tcPr>
            <w:tcW w:w="5841" w:type="dxa"/>
            <w:gridSpan w:val="3"/>
            <w:tcBorders>
              <w:top w:val="single" w:sz="4" w:space="0" w:color="auto"/>
              <w:left w:val="nil"/>
              <w:bottom w:val="single" w:sz="4" w:space="0" w:color="auto"/>
              <w:right w:val="single" w:sz="4" w:space="0" w:color="000000"/>
            </w:tcBorders>
            <w:shd w:val="clear" w:color="000000" w:fill="FFFFC8"/>
            <w:vAlign w:val="bottom"/>
            <w:hideMark/>
          </w:tcPr>
          <w:p w14:paraId="75527AE3" w14:textId="5F470F8D" w:rsidR="00986546" w:rsidRPr="00986546" w:rsidRDefault="00253D58" w:rsidP="00986546">
            <w:pPr>
              <w:jc w:val="center"/>
              <w:rPr>
                <w:rFonts w:ascii="Calibri" w:hAnsi="Calibri" w:cs="Calibri"/>
                <w:color w:val="0563C1"/>
                <w:sz w:val="20"/>
                <w:szCs w:val="20"/>
                <w:u w:val="single"/>
              </w:rPr>
            </w:pPr>
            <w:r>
              <w:t>XXX</w:t>
            </w:r>
            <w:hyperlink r:id="rId16" w:history="1"/>
          </w:p>
        </w:tc>
        <w:tc>
          <w:tcPr>
            <w:tcW w:w="1304" w:type="dxa"/>
            <w:tcBorders>
              <w:top w:val="nil"/>
              <w:left w:val="nil"/>
              <w:bottom w:val="nil"/>
              <w:right w:val="nil"/>
            </w:tcBorders>
            <w:shd w:val="clear" w:color="auto" w:fill="auto"/>
            <w:noWrap/>
            <w:vAlign w:val="bottom"/>
            <w:hideMark/>
          </w:tcPr>
          <w:p w14:paraId="78414D4C" w14:textId="77777777" w:rsidR="00986546" w:rsidRPr="00986546" w:rsidRDefault="00986546" w:rsidP="00986546">
            <w:pPr>
              <w:jc w:val="center"/>
              <w:rPr>
                <w:rFonts w:ascii="Calibri" w:hAnsi="Calibri" w:cs="Calibri"/>
                <w:color w:val="0563C1"/>
                <w:sz w:val="20"/>
                <w:szCs w:val="20"/>
                <w:u w:val="single"/>
              </w:rPr>
            </w:pPr>
          </w:p>
        </w:tc>
        <w:tc>
          <w:tcPr>
            <w:tcW w:w="1319" w:type="dxa"/>
            <w:tcBorders>
              <w:top w:val="nil"/>
              <w:left w:val="nil"/>
              <w:bottom w:val="nil"/>
              <w:right w:val="nil"/>
            </w:tcBorders>
            <w:shd w:val="clear" w:color="auto" w:fill="auto"/>
            <w:noWrap/>
            <w:vAlign w:val="bottom"/>
            <w:hideMark/>
          </w:tcPr>
          <w:p w14:paraId="7C3F601B"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2656E39F"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6E670F52" w14:textId="77777777" w:rsidR="00986546" w:rsidRPr="00986546" w:rsidRDefault="00986546" w:rsidP="00986546">
            <w:pPr>
              <w:rPr>
                <w:sz w:val="20"/>
                <w:szCs w:val="20"/>
              </w:rPr>
            </w:pPr>
          </w:p>
        </w:tc>
      </w:tr>
      <w:tr w:rsidR="00986546" w:rsidRPr="00986546" w14:paraId="25519149" w14:textId="77777777" w:rsidTr="00986546">
        <w:trPr>
          <w:trHeight w:val="307"/>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259E82FE" w14:textId="77777777" w:rsidR="00986546" w:rsidRPr="00986546" w:rsidRDefault="00986546" w:rsidP="00986546">
            <w:pPr>
              <w:rPr>
                <w:rFonts w:ascii="Arial" w:hAnsi="Arial" w:cs="Arial"/>
                <w:color w:val="000000"/>
                <w:sz w:val="20"/>
                <w:szCs w:val="20"/>
              </w:rPr>
            </w:pPr>
            <w:r w:rsidRPr="00986546">
              <w:rPr>
                <w:rFonts w:ascii="Arial" w:hAnsi="Arial" w:cs="Arial"/>
                <w:color w:val="000000"/>
                <w:sz w:val="20"/>
                <w:szCs w:val="20"/>
              </w:rPr>
              <w:t>Datová schránka:</w:t>
            </w:r>
          </w:p>
        </w:tc>
        <w:tc>
          <w:tcPr>
            <w:tcW w:w="5841" w:type="dxa"/>
            <w:gridSpan w:val="3"/>
            <w:tcBorders>
              <w:top w:val="single" w:sz="4" w:space="0" w:color="auto"/>
              <w:left w:val="nil"/>
              <w:bottom w:val="single" w:sz="4" w:space="0" w:color="auto"/>
              <w:right w:val="single" w:sz="4" w:space="0" w:color="000000"/>
            </w:tcBorders>
            <w:shd w:val="clear" w:color="000000" w:fill="FFFFC8"/>
            <w:vAlign w:val="bottom"/>
            <w:hideMark/>
          </w:tcPr>
          <w:p w14:paraId="4D1408C4" w14:textId="77777777" w:rsidR="00986546" w:rsidRPr="00986546" w:rsidRDefault="00986546" w:rsidP="00986546">
            <w:pPr>
              <w:jc w:val="center"/>
              <w:rPr>
                <w:rFonts w:ascii="Arial" w:hAnsi="Arial" w:cs="Arial"/>
                <w:sz w:val="20"/>
                <w:szCs w:val="20"/>
              </w:rPr>
            </w:pPr>
            <w:r w:rsidRPr="00986546">
              <w:rPr>
                <w:rFonts w:ascii="Arial" w:hAnsi="Arial" w:cs="Arial"/>
                <w:sz w:val="20"/>
                <w:szCs w:val="20"/>
              </w:rPr>
              <w:t>h2xbnd9</w:t>
            </w:r>
          </w:p>
        </w:tc>
        <w:tc>
          <w:tcPr>
            <w:tcW w:w="1304" w:type="dxa"/>
            <w:tcBorders>
              <w:top w:val="nil"/>
              <w:left w:val="nil"/>
              <w:bottom w:val="nil"/>
              <w:right w:val="nil"/>
            </w:tcBorders>
            <w:shd w:val="clear" w:color="auto" w:fill="auto"/>
            <w:noWrap/>
            <w:vAlign w:val="bottom"/>
            <w:hideMark/>
          </w:tcPr>
          <w:p w14:paraId="14A1246B" w14:textId="77777777" w:rsidR="00986546" w:rsidRPr="00986546" w:rsidRDefault="00986546" w:rsidP="00986546">
            <w:pPr>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14:paraId="04FECEDA"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3E523A97"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739E91F0" w14:textId="77777777" w:rsidR="00986546" w:rsidRPr="00986546" w:rsidRDefault="00986546" w:rsidP="00986546">
            <w:pPr>
              <w:rPr>
                <w:sz w:val="20"/>
                <w:szCs w:val="20"/>
              </w:rPr>
            </w:pPr>
          </w:p>
        </w:tc>
      </w:tr>
      <w:tr w:rsidR="00986546" w:rsidRPr="00986546" w14:paraId="4B3E9C7A" w14:textId="77777777" w:rsidTr="00986546">
        <w:trPr>
          <w:trHeight w:val="307"/>
        </w:trPr>
        <w:tc>
          <w:tcPr>
            <w:tcW w:w="1657" w:type="dxa"/>
            <w:tcBorders>
              <w:top w:val="nil"/>
              <w:left w:val="nil"/>
              <w:bottom w:val="nil"/>
              <w:right w:val="nil"/>
            </w:tcBorders>
            <w:shd w:val="clear" w:color="auto" w:fill="auto"/>
            <w:noWrap/>
            <w:vAlign w:val="bottom"/>
            <w:hideMark/>
          </w:tcPr>
          <w:p w14:paraId="453F62FA" w14:textId="77777777" w:rsidR="00986546" w:rsidRPr="00986546" w:rsidRDefault="00986546" w:rsidP="00986546">
            <w:pPr>
              <w:rPr>
                <w:sz w:val="20"/>
                <w:szCs w:val="20"/>
              </w:rPr>
            </w:pPr>
          </w:p>
        </w:tc>
        <w:tc>
          <w:tcPr>
            <w:tcW w:w="2381" w:type="dxa"/>
            <w:tcBorders>
              <w:top w:val="nil"/>
              <w:left w:val="nil"/>
              <w:bottom w:val="nil"/>
              <w:right w:val="nil"/>
            </w:tcBorders>
            <w:shd w:val="clear" w:color="auto" w:fill="auto"/>
            <w:noWrap/>
            <w:vAlign w:val="bottom"/>
            <w:hideMark/>
          </w:tcPr>
          <w:p w14:paraId="2BC4F946" w14:textId="77777777" w:rsidR="00986546" w:rsidRPr="00986546" w:rsidRDefault="00986546" w:rsidP="00986546">
            <w:pPr>
              <w:rPr>
                <w:sz w:val="20"/>
                <w:szCs w:val="20"/>
              </w:rPr>
            </w:pPr>
          </w:p>
        </w:tc>
        <w:tc>
          <w:tcPr>
            <w:tcW w:w="1914" w:type="dxa"/>
            <w:tcBorders>
              <w:top w:val="nil"/>
              <w:left w:val="nil"/>
              <w:bottom w:val="nil"/>
              <w:right w:val="nil"/>
            </w:tcBorders>
            <w:shd w:val="clear" w:color="auto" w:fill="auto"/>
            <w:noWrap/>
            <w:vAlign w:val="bottom"/>
            <w:hideMark/>
          </w:tcPr>
          <w:p w14:paraId="3E9BADD9" w14:textId="77777777" w:rsidR="00986546" w:rsidRPr="00986546" w:rsidRDefault="00986546" w:rsidP="00986546">
            <w:pPr>
              <w:rPr>
                <w:sz w:val="20"/>
                <w:szCs w:val="20"/>
              </w:rPr>
            </w:pPr>
          </w:p>
        </w:tc>
        <w:tc>
          <w:tcPr>
            <w:tcW w:w="1544" w:type="dxa"/>
            <w:tcBorders>
              <w:top w:val="nil"/>
              <w:left w:val="nil"/>
              <w:bottom w:val="nil"/>
              <w:right w:val="nil"/>
            </w:tcBorders>
            <w:shd w:val="clear" w:color="auto" w:fill="auto"/>
            <w:noWrap/>
            <w:vAlign w:val="bottom"/>
            <w:hideMark/>
          </w:tcPr>
          <w:p w14:paraId="7569393E" w14:textId="77777777" w:rsidR="00986546" w:rsidRPr="00986546" w:rsidRDefault="00986546" w:rsidP="00986546">
            <w:pPr>
              <w:rPr>
                <w:sz w:val="20"/>
                <w:szCs w:val="20"/>
              </w:rPr>
            </w:pPr>
          </w:p>
        </w:tc>
        <w:tc>
          <w:tcPr>
            <w:tcW w:w="1304" w:type="dxa"/>
            <w:tcBorders>
              <w:top w:val="nil"/>
              <w:left w:val="nil"/>
              <w:bottom w:val="nil"/>
              <w:right w:val="nil"/>
            </w:tcBorders>
            <w:shd w:val="clear" w:color="auto" w:fill="auto"/>
            <w:noWrap/>
            <w:vAlign w:val="bottom"/>
            <w:hideMark/>
          </w:tcPr>
          <w:p w14:paraId="60C5F070" w14:textId="77777777" w:rsidR="00986546" w:rsidRPr="00986546" w:rsidRDefault="00986546" w:rsidP="00986546">
            <w:pPr>
              <w:rPr>
                <w:sz w:val="20"/>
                <w:szCs w:val="20"/>
              </w:rPr>
            </w:pPr>
          </w:p>
        </w:tc>
        <w:tc>
          <w:tcPr>
            <w:tcW w:w="1319" w:type="dxa"/>
            <w:tcBorders>
              <w:top w:val="nil"/>
              <w:left w:val="nil"/>
              <w:bottom w:val="nil"/>
              <w:right w:val="nil"/>
            </w:tcBorders>
            <w:shd w:val="clear" w:color="auto" w:fill="auto"/>
            <w:noWrap/>
            <w:vAlign w:val="bottom"/>
            <w:hideMark/>
          </w:tcPr>
          <w:p w14:paraId="24A5EEB4" w14:textId="77777777" w:rsidR="00986546" w:rsidRPr="00986546" w:rsidRDefault="00986546" w:rsidP="00986546">
            <w:pPr>
              <w:rPr>
                <w:sz w:val="20"/>
                <w:szCs w:val="20"/>
              </w:rPr>
            </w:pPr>
          </w:p>
        </w:tc>
        <w:tc>
          <w:tcPr>
            <w:tcW w:w="1593" w:type="dxa"/>
            <w:tcBorders>
              <w:top w:val="nil"/>
              <w:left w:val="nil"/>
              <w:bottom w:val="nil"/>
              <w:right w:val="nil"/>
            </w:tcBorders>
            <w:shd w:val="clear" w:color="auto" w:fill="auto"/>
            <w:noWrap/>
            <w:vAlign w:val="bottom"/>
            <w:hideMark/>
          </w:tcPr>
          <w:p w14:paraId="0CC32617" w14:textId="77777777" w:rsidR="00986546" w:rsidRPr="00986546" w:rsidRDefault="00986546" w:rsidP="00986546">
            <w:pPr>
              <w:rPr>
                <w:sz w:val="20"/>
                <w:szCs w:val="20"/>
              </w:rPr>
            </w:pPr>
          </w:p>
        </w:tc>
        <w:tc>
          <w:tcPr>
            <w:tcW w:w="2542" w:type="dxa"/>
            <w:tcBorders>
              <w:top w:val="nil"/>
              <w:left w:val="nil"/>
              <w:bottom w:val="nil"/>
              <w:right w:val="nil"/>
            </w:tcBorders>
            <w:shd w:val="clear" w:color="auto" w:fill="auto"/>
            <w:noWrap/>
            <w:vAlign w:val="bottom"/>
            <w:hideMark/>
          </w:tcPr>
          <w:p w14:paraId="35990AC3" w14:textId="77777777" w:rsidR="00986546" w:rsidRPr="00986546" w:rsidRDefault="00986546" w:rsidP="00986546">
            <w:pPr>
              <w:rPr>
                <w:sz w:val="20"/>
                <w:szCs w:val="20"/>
              </w:rPr>
            </w:pPr>
          </w:p>
        </w:tc>
      </w:tr>
      <w:tr w:rsidR="00986546" w:rsidRPr="00986546" w14:paraId="466F44CF" w14:textId="77777777" w:rsidTr="00986546">
        <w:trPr>
          <w:trHeight w:val="307"/>
        </w:trPr>
        <w:tc>
          <w:tcPr>
            <w:tcW w:w="14257" w:type="dxa"/>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C05D2A8" w14:textId="77777777" w:rsidR="00986546" w:rsidRPr="00986546" w:rsidRDefault="00986546" w:rsidP="00986546">
            <w:pPr>
              <w:rPr>
                <w:rFonts w:ascii="Arial" w:hAnsi="Arial" w:cs="Arial"/>
                <w:b/>
                <w:bCs/>
                <w:color w:val="000000"/>
                <w:sz w:val="20"/>
                <w:szCs w:val="20"/>
              </w:rPr>
            </w:pPr>
            <w:r w:rsidRPr="00986546">
              <w:rPr>
                <w:rFonts w:ascii="Arial" w:hAnsi="Arial" w:cs="Arial"/>
                <w:b/>
                <w:bCs/>
                <w:color w:val="000000"/>
                <w:sz w:val="20"/>
                <w:szCs w:val="20"/>
              </w:rPr>
              <w:t>Autorizovaný servis:</w:t>
            </w:r>
          </w:p>
        </w:tc>
      </w:tr>
      <w:tr w:rsidR="00986546" w:rsidRPr="00986546" w14:paraId="6CAAE014" w14:textId="77777777" w:rsidTr="00986546">
        <w:trPr>
          <w:trHeight w:val="307"/>
        </w:trPr>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AF8182"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Přístroj</w:t>
            </w:r>
          </w:p>
        </w:tc>
        <w:tc>
          <w:tcPr>
            <w:tcW w:w="584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9081692"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Adresa společnosti</w:t>
            </w:r>
          </w:p>
        </w:tc>
        <w:tc>
          <w:tcPr>
            <w:tcW w:w="13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569750"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Kontaktní osoba</w:t>
            </w:r>
          </w:p>
        </w:tc>
        <w:tc>
          <w:tcPr>
            <w:tcW w:w="13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F79B59"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Telefon</w:t>
            </w:r>
          </w:p>
        </w:tc>
        <w:tc>
          <w:tcPr>
            <w:tcW w:w="15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00F8384"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E-mail</w:t>
            </w:r>
          </w:p>
        </w:tc>
        <w:tc>
          <w:tcPr>
            <w:tcW w:w="25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E354528"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Hlášení závad</w:t>
            </w:r>
          </w:p>
        </w:tc>
      </w:tr>
      <w:tr w:rsidR="00986546" w:rsidRPr="00986546" w14:paraId="2034BF1D" w14:textId="77777777" w:rsidTr="00986546">
        <w:trPr>
          <w:trHeight w:val="307"/>
        </w:trPr>
        <w:tc>
          <w:tcPr>
            <w:tcW w:w="1657" w:type="dxa"/>
            <w:vMerge/>
            <w:tcBorders>
              <w:top w:val="nil"/>
              <w:left w:val="single" w:sz="4" w:space="0" w:color="auto"/>
              <w:bottom w:val="single" w:sz="4" w:space="0" w:color="auto"/>
              <w:right w:val="single" w:sz="4" w:space="0" w:color="auto"/>
            </w:tcBorders>
            <w:vAlign w:val="center"/>
            <w:hideMark/>
          </w:tcPr>
          <w:p w14:paraId="72634338" w14:textId="77777777" w:rsidR="00986546" w:rsidRPr="00986546" w:rsidRDefault="00986546" w:rsidP="00986546">
            <w:pPr>
              <w:rPr>
                <w:rFonts w:ascii="Arial" w:hAnsi="Arial" w:cs="Arial"/>
                <w:color w:val="000000"/>
                <w:sz w:val="20"/>
                <w:szCs w:val="20"/>
              </w:rPr>
            </w:pPr>
          </w:p>
        </w:tc>
        <w:tc>
          <w:tcPr>
            <w:tcW w:w="2381" w:type="dxa"/>
            <w:tcBorders>
              <w:top w:val="nil"/>
              <w:left w:val="nil"/>
              <w:bottom w:val="single" w:sz="4" w:space="0" w:color="auto"/>
              <w:right w:val="single" w:sz="4" w:space="0" w:color="auto"/>
            </w:tcBorders>
            <w:shd w:val="clear" w:color="000000" w:fill="FFFFFF"/>
            <w:noWrap/>
            <w:vAlign w:val="center"/>
            <w:hideMark/>
          </w:tcPr>
          <w:p w14:paraId="6516A12B"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Název</w:t>
            </w:r>
          </w:p>
        </w:tc>
        <w:tc>
          <w:tcPr>
            <w:tcW w:w="1914" w:type="dxa"/>
            <w:tcBorders>
              <w:top w:val="nil"/>
              <w:left w:val="nil"/>
              <w:bottom w:val="single" w:sz="4" w:space="0" w:color="auto"/>
              <w:right w:val="single" w:sz="4" w:space="0" w:color="auto"/>
            </w:tcBorders>
            <w:shd w:val="clear" w:color="000000" w:fill="FFFFFF"/>
            <w:noWrap/>
            <w:vAlign w:val="center"/>
            <w:hideMark/>
          </w:tcPr>
          <w:p w14:paraId="3031E921"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Ulice</w:t>
            </w:r>
          </w:p>
        </w:tc>
        <w:tc>
          <w:tcPr>
            <w:tcW w:w="1544" w:type="dxa"/>
            <w:tcBorders>
              <w:top w:val="nil"/>
              <w:left w:val="nil"/>
              <w:bottom w:val="single" w:sz="4" w:space="0" w:color="auto"/>
              <w:right w:val="single" w:sz="4" w:space="0" w:color="auto"/>
            </w:tcBorders>
            <w:shd w:val="clear" w:color="000000" w:fill="FFFFFF"/>
            <w:noWrap/>
            <w:vAlign w:val="center"/>
            <w:hideMark/>
          </w:tcPr>
          <w:p w14:paraId="05C97028" w14:textId="77777777" w:rsidR="00986546" w:rsidRPr="00986546" w:rsidRDefault="00986546" w:rsidP="00986546">
            <w:pPr>
              <w:jc w:val="center"/>
              <w:rPr>
                <w:rFonts w:ascii="Arial" w:hAnsi="Arial" w:cs="Arial"/>
                <w:color w:val="000000"/>
                <w:sz w:val="20"/>
                <w:szCs w:val="20"/>
              </w:rPr>
            </w:pPr>
            <w:r w:rsidRPr="00986546">
              <w:rPr>
                <w:rFonts w:ascii="Arial" w:hAnsi="Arial" w:cs="Arial"/>
                <w:color w:val="000000"/>
                <w:sz w:val="20"/>
                <w:szCs w:val="20"/>
              </w:rPr>
              <w:t>PSČ a obec</w:t>
            </w:r>
          </w:p>
        </w:tc>
        <w:tc>
          <w:tcPr>
            <w:tcW w:w="1304" w:type="dxa"/>
            <w:vMerge/>
            <w:tcBorders>
              <w:top w:val="nil"/>
              <w:left w:val="single" w:sz="4" w:space="0" w:color="auto"/>
              <w:bottom w:val="single" w:sz="4" w:space="0" w:color="auto"/>
              <w:right w:val="single" w:sz="4" w:space="0" w:color="auto"/>
            </w:tcBorders>
            <w:vAlign w:val="center"/>
            <w:hideMark/>
          </w:tcPr>
          <w:p w14:paraId="1BE067DB" w14:textId="77777777" w:rsidR="00986546" w:rsidRPr="00986546" w:rsidRDefault="00986546" w:rsidP="00986546">
            <w:pPr>
              <w:rPr>
                <w:rFonts w:ascii="Arial" w:hAnsi="Arial" w:cs="Arial"/>
                <w:color w:val="000000"/>
                <w:sz w:val="20"/>
                <w:szCs w:val="20"/>
              </w:rPr>
            </w:pPr>
          </w:p>
        </w:tc>
        <w:tc>
          <w:tcPr>
            <w:tcW w:w="1319" w:type="dxa"/>
            <w:vMerge/>
            <w:tcBorders>
              <w:top w:val="nil"/>
              <w:left w:val="single" w:sz="4" w:space="0" w:color="auto"/>
              <w:bottom w:val="single" w:sz="4" w:space="0" w:color="auto"/>
              <w:right w:val="single" w:sz="4" w:space="0" w:color="auto"/>
            </w:tcBorders>
            <w:vAlign w:val="center"/>
            <w:hideMark/>
          </w:tcPr>
          <w:p w14:paraId="0AFCEE51" w14:textId="77777777" w:rsidR="00986546" w:rsidRPr="00986546" w:rsidRDefault="00986546" w:rsidP="00986546">
            <w:pPr>
              <w:rPr>
                <w:rFonts w:ascii="Arial" w:hAnsi="Arial" w:cs="Arial"/>
                <w:color w:val="000000"/>
                <w:sz w:val="20"/>
                <w:szCs w:val="20"/>
              </w:rPr>
            </w:pPr>
          </w:p>
        </w:tc>
        <w:tc>
          <w:tcPr>
            <w:tcW w:w="1593" w:type="dxa"/>
            <w:vMerge/>
            <w:tcBorders>
              <w:top w:val="nil"/>
              <w:left w:val="single" w:sz="4" w:space="0" w:color="auto"/>
              <w:bottom w:val="single" w:sz="4" w:space="0" w:color="auto"/>
              <w:right w:val="single" w:sz="4" w:space="0" w:color="auto"/>
            </w:tcBorders>
            <w:vAlign w:val="center"/>
            <w:hideMark/>
          </w:tcPr>
          <w:p w14:paraId="244F3DEB" w14:textId="77777777" w:rsidR="00986546" w:rsidRPr="00986546" w:rsidRDefault="00986546" w:rsidP="00986546">
            <w:pPr>
              <w:rPr>
                <w:rFonts w:ascii="Arial" w:hAnsi="Arial" w:cs="Arial"/>
                <w:color w:val="000000"/>
                <w:sz w:val="20"/>
                <w:szCs w:val="20"/>
              </w:rPr>
            </w:pPr>
          </w:p>
        </w:tc>
        <w:tc>
          <w:tcPr>
            <w:tcW w:w="2542" w:type="dxa"/>
            <w:vMerge/>
            <w:tcBorders>
              <w:top w:val="nil"/>
              <w:left w:val="single" w:sz="4" w:space="0" w:color="auto"/>
              <w:bottom w:val="single" w:sz="4" w:space="0" w:color="auto"/>
              <w:right w:val="single" w:sz="4" w:space="0" w:color="auto"/>
            </w:tcBorders>
            <w:vAlign w:val="center"/>
            <w:hideMark/>
          </w:tcPr>
          <w:p w14:paraId="0F072575" w14:textId="77777777" w:rsidR="00986546" w:rsidRPr="00986546" w:rsidRDefault="00986546" w:rsidP="00986546">
            <w:pPr>
              <w:rPr>
                <w:rFonts w:ascii="Arial" w:hAnsi="Arial" w:cs="Arial"/>
                <w:color w:val="000000"/>
                <w:sz w:val="20"/>
                <w:szCs w:val="20"/>
              </w:rPr>
            </w:pPr>
          </w:p>
        </w:tc>
      </w:tr>
      <w:tr w:rsidR="00986546" w:rsidRPr="00986546" w14:paraId="225C1E49" w14:textId="77777777" w:rsidTr="00986546">
        <w:trPr>
          <w:trHeight w:val="599"/>
        </w:trPr>
        <w:tc>
          <w:tcPr>
            <w:tcW w:w="1657" w:type="dxa"/>
            <w:tcBorders>
              <w:top w:val="nil"/>
              <w:left w:val="single" w:sz="4" w:space="0" w:color="auto"/>
              <w:bottom w:val="single" w:sz="4" w:space="0" w:color="auto"/>
              <w:right w:val="single" w:sz="4" w:space="0" w:color="auto"/>
            </w:tcBorders>
            <w:shd w:val="clear" w:color="000000" w:fill="FFFFC8"/>
            <w:vAlign w:val="bottom"/>
            <w:hideMark/>
          </w:tcPr>
          <w:p w14:paraId="22948B90" w14:textId="77777777" w:rsidR="00986546" w:rsidRPr="00986546" w:rsidRDefault="00986546" w:rsidP="00986546">
            <w:pPr>
              <w:rPr>
                <w:rFonts w:ascii="Arial" w:hAnsi="Arial" w:cs="Arial"/>
                <w:sz w:val="20"/>
                <w:szCs w:val="20"/>
              </w:rPr>
            </w:pPr>
            <w:proofErr w:type="spellStart"/>
            <w:r w:rsidRPr="00986546">
              <w:rPr>
                <w:rFonts w:ascii="Arial" w:hAnsi="Arial" w:cs="Arial"/>
                <w:sz w:val="20"/>
                <w:szCs w:val="20"/>
              </w:rPr>
              <w:t>pHmetr</w:t>
            </w:r>
            <w:proofErr w:type="spellEnd"/>
            <w:r w:rsidRPr="00986546">
              <w:rPr>
                <w:rFonts w:ascii="Arial" w:hAnsi="Arial" w:cs="Arial"/>
                <w:sz w:val="20"/>
                <w:szCs w:val="20"/>
              </w:rPr>
              <w:t xml:space="preserve"> s impedancí</w:t>
            </w:r>
          </w:p>
        </w:tc>
        <w:tc>
          <w:tcPr>
            <w:tcW w:w="2381" w:type="dxa"/>
            <w:tcBorders>
              <w:top w:val="nil"/>
              <w:left w:val="nil"/>
              <w:bottom w:val="single" w:sz="4" w:space="0" w:color="auto"/>
              <w:right w:val="single" w:sz="4" w:space="0" w:color="auto"/>
            </w:tcBorders>
            <w:shd w:val="clear" w:color="000000" w:fill="FFFFC8"/>
            <w:vAlign w:val="bottom"/>
            <w:hideMark/>
          </w:tcPr>
          <w:p w14:paraId="37BAC67D" w14:textId="77777777" w:rsidR="00986546" w:rsidRPr="00986546" w:rsidRDefault="00986546" w:rsidP="00986546">
            <w:pPr>
              <w:rPr>
                <w:rFonts w:ascii="Arial" w:hAnsi="Arial" w:cs="Arial"/>
                <w:sz w:val="20"/>
                <w:szCs w:val="20"/>
              </w:rPr>
            </w:pPr>
            <w:r w:rsidRPr="00986546">
              <w:rPr>
                <w:rFonts w:ascii="Arial" w:hAnsi="Arial" w:cs="Arial"/>
                <w:sz w:val="20"/>
                <w:szCs w:val="20"/>
              </w:rPr>
              <w:t>IMEDEX s.r.o.</w:t>
            </w:r>
          </w:p>
        </w:tc>
        <w:tc>
          <w:tcPr>
            <w:tcW w:w="1914" w:type="dxa"/>
            <w:tcBorders>
              <w:top w:val="nil"/>
              <w:left w:val="nil"/>
              <w:bottom w:val="single" w:sz="4" w:space="0" w:color="auto"/>
              <w:right w:val="single" w:sz="4" w:space="0" w:color="auto"/>
            </w:tcBorders>
            <w:shd w:val="clear" w:color="000000" w:fill="FFFFC8"/>
            <w:vAlign w:val="bottom"/>
            <w:hideMark/>
          </w:tcPr>
          <w:p w14:paraId="135D8593" w14:textId="77777777" w:rsidR="00986546" w:rsidRPr="00986546" w:rsidRDefault="00986546" w:rsidP="00986546">
            <w:pPr>
              <w:rPr>
                <w:rFonts w:ascii="Arial" w:hAnsi="Arial" w:cs="Arial"/>
                <w:sz w:val="20"/>
                <w:szCs w:val="20"/>
              </w:rPr>
            </w:pPr>
            <w:r w:rsidRPr="00986546">
              <w:rPr>
                <w:rFonts w:ascii="Arial" w:hAnsi="Arial" w:cs="Arial"/>
                <w:sz w:val="20"/>
                <w:szCs w:val="20"/>
              </w:rPr>
              <w:t>Kladská 1092/</w:t>
            </w:r>
            <w:proofErr w:type="gramStart"/>
            <w:r w:rsidRPr="00986546">
              <w:rPr>
                <w:rFonts w:ascii="Arial" w:hAnsi="Arial" w:cs="Arial"/>
                <w:sz w:val="20"/>
                <w:szCs w:val="20"/>
              </w:rPr>
              <w:t>1a</w:t>
            </w:r>
            <w:proofErr w:type="gramEnd"/>
          </w:p>
        </w:tc>
        <w:tc>
          <w:tcPr>
            <w:tcW w:w="1544" w:type="dxa"/>
            <w:tcBorders>
              <w:top w:val="nil"/>
              <w:left w:val="nil"/>
              <w:bottom w:val="single" w:sz="4" w:space="0" w:color="auto"/>
              <w:right w:val="single" w:sz="4" w:space="0" w:color="auto"/>
            </w:tcBorders>
            <w:shd w:val="clear" w:color="000000" w:fill="FFFFC8"/>
            <w:vAlign w:val="bottom"/>
            <w:hideMark/>
          </w:tcPr>
          <w:p w14:paraId="05DA1BEB" w14:textId="77777777" w:rsidR="00986546" w:rsidRPr="00986546" w:rsidRDefault="00986546" w:rsidP="00986546">
            <w:pPr>
              <w:rPr>
                <w:rFonts w:ascii="Arial" w:hAnsi="Arial" w:cs="Arial"/>
                <w:sz w:val="20"/>
                <w:szCs w:val="20"/>
              </w:rPr>
            </w:pPr>
            <w:r w:rsidRPr="00986546">
              <w:rPr>
                <w:rFonts w:ascii="Arial" w:hAnsi="Arial" w:cs="Arial"/>
                <w:sz w:val="20"/>
                <w:szCs w:val="20"/>
              </w:rPr>
              <w:t>500 03, Hradec Králové</w:t>
            </w:r>
          </w:p>
        </w:tc>
        <w:tc>
          <w:tcPr>
            <w:tcW w:w="1304" w:type="dxa"/>
            <w:tcBorders>
              <w:top w:val="nil"/>
              <w:left w:val="nil"/>
              <w:bottom w:val="single" w:sz="4" w:space="0" w:color="auto"/>
              <w:right w:val="single" w:sz="4" w:space="0" w:color="auto"/>
            </w:tcBorders>
            <w:shd w:val="clear" w:color="000000" w:fill="FFFFC8"/>
            <w:vAlign w:val="bottom"/>
            <w:hideMark/>
          </w:tcPr>
          <w:p w14:paraId="1B6DACBD" w14:textId="649DB227" w:rsidR="00986546" w:rsidRPr="00986546" w:rsidRDefault="00253D58" w:rsidP="00253D58">
            <w:pPr>
              <w:jc w:val="center"/>
              <w:rPr>
                <w:rFonts w:ascii="Arial" w:hAnsi="Arial" w:cs="Arial"/>
                <w:sz w:val="20"/>
                <w:szCs w:val="20"/>
              </w:rPr>
            </w:pPr>
            <w:r>
              <w:rPr>
                <w:rFonts w:ascii="Arial" w:hAnsi="Arial" w:cs="Arial"/>
                <w:sz w:val="20"/>
                <w:szCs w:val="20"/>
              </w:rPr>
              <w:t>XXX</w:t>
            </w:r>
          </w:p>
        </w:tc>
        <w:tc>
          <w:tcPr>
            <w:tcW w:w="1319" w:type="dxa"/>
            <w:tcBorders>
              <w:top w:val="nil"/>
              <w:left w:val="nil"/>
              <w:bottom w:val="single" w:sz="4" w:space="0" w:color="auto"/>
              <w:right w:val="single" w:sz="4" w:space="0" w:color="auto"/>
            </w:tcBorders>
            <w:shd w:val="clear" w:color="000000" w:fill="FFFFC8"/>
            <w:vAlign w:val="bottom"/>
            <w:hideMark/>
          </w:tcPr>
          <w:p w14:paraId="59888222" w14:textId="4BE6C273" w:rsidR="00986546" w:rsidRPr="00986546" w:rsidRDefault="00253D58" w:rsidP="00253D58">
            <w:pPr>
              <w:jc w:val="center"/>
              <w:rPr>
                <w:rFonts w:ascii="Arial" w:hAnsi="Arial" w:cs="Arial"/>
                <w:sz w:val="20"/>
                <w:szCs w:val="20"/>
              </w:rPr>
            </w:pPr>
            <w:r>
              <w:rPr>
                <w:rFonts w:ascii="Arial" w:hAnsi="Arial" w:cs="Arial"/>
                <w:sz w:val="20"/>
                <w:szCs w:val="20"/>
              </w:rPr>
              <w:t>XXX</w:t>
            </w:r>
          </w:p>
        </w:tc>
        <w:tc>
          <w:tcPr>
            <w:tcW w:w="1593" w:type="dxa"/>
            <w:tcBorders>
              <w:top w:val="nil"/>
              <w:left w:val="nil"/>
              <w:bottom w:val="single" w:sz="4" w:space="0" w:color="auto"/>
              <w:right w:val="single" w:sz="4" w:space="0" w:color="auto"/>
            </w:tcBorders>
            <w:shd w:val="clear" w:color="000000" w:fill="FFFFC8"/>
            <w:vAlign w:val="bottom"/>
            <w:hideMark/>
          </w:tcPr>
          <w:p w14:paraId="64F54A62" w14:textId="6F6D663E" w:rsidR="00986546" w:rsidRPr="00986546" w:rsidRDefault="00253D58" w:rsidP="00253D58">
            <w:pPr>
              <w:jc w:val="center"/>
              <w:rPr>
                <w:rFonts w:ascii="Calibri" w:hAnsi="Calibri" w:cs="Calibri"/>
                <w:color w:val="0563C1"/>
                <w:sz w:val="20"/>
                <w:szCs w:val="20"/>
                <w:u w:val="single"/>
              </w:rPr>
            </w:pPr>
            <w:r>
              <w:rPr>
                <w:rFonts w:ascii="Arial" w:hAnsi="Arial" w:cs="Arial"/>
                <w:sz w:val="20"/>
                <w:szCs w:val="20"/>
              </w:rPr>
              <w:t>XXX</w:t>
            </w:r>
          </w:p>
        </w:tc>
        <w:tc>
          <w:tcPr>
            <w:tcW w:w="2542" w:type="dxa"/>
            <w:tcBorders>
              <w:top w:val="nil"/>
              <w:left w:val="nil"/>
              <w:bottom w:val="single" w:sz="4" w:space="0" w:color="auto"/>
              <w:right w:val="single" w:sz="4" w:space="0" w:color="auto"/>
            </w:tcBorders>
            <w:shd w:val="clear" w:color="000000" w:fill="FFFFC8"/>
            <w:vAlign w:val="bottom"/>
            <w:hideMark/>
          </w:tcPr>
          <w:p w14:paraId="3133915B" w14:textId="77777777" w:rsidR="00986546" w:rsidRPr="00986546" w:rsidRDefault="00986546" w:rsidP="00986546">
            <w:pPr>
              <w:rPr>
                <w:rFonts w:ascii="Arial" w:hAnsi="Arial" w:cs="Arial"/>
                <w:sz w:val="20"/>
                <w:szCs w:val="20"/>
              </w:rPr>
            </w:pPr>
            <w:r w:rsidRPr="00986546">
              <w:rPr>
                <w:rFonts w:ascii="Arial" w:hAnsi="Arial" w:cs="Arial"/>
                <w:sz w:val="20"/>
                <w:szCs w:val="20"/>
              </w:rPr>
              <w:t>email, telefon</w:t>
            </w:r>
          </w:p>
        </w:tc>
      </w:tr>
    </w:tbl>
    <w:p w14:paraId="6749635A" w14:textId="3D8489D6" w:rsidR="00986546" w:rsidRDefault="00986546" w:rsidP="006477F1">
      <w:pPr>
        <w:spacing w:after="160" w:line="259" w:lineRule="auto"/>
        <w:rPr>
          <w:rFonts w:ascii="Arial" w:hAnsi="Arial" w:cs="Arial"/>
          <w:b/>
          <w:sz w:val="22"/>
          <w:szCs w:val="22"/>
        </w:rPr>
        <w:sectPr w:rsidR="00986546" w:rsidSect="00986546">
          <w:pgSz w:w="16838" w:h="11906" w:orient="landscape"/>
          <w:pgMar w:top="1418" w:right="1418" w:bottom="1418" w:left="1418" w:header="709" w:footer="709" w:gutter="0"/>
          <w:cols w:space="708"/>
          <w:docGrid w:linePitch="360"/>
        </w:sectPr>
      </w:pPr>
    </w:p>
    <w:p w14:paraId="150D157D" w14:textId="1572985D" w:rsidR="006477F1" w:rsidRPr="00DA6E7A" w:rsidRDefault="00986546" w:rsidP="00986546">
      <w:pPr>
        <w:spacing w:after="160" w:line="259" w:lineRule="auto"/>
        <w:jc w:val="center"/>
        <w:rPr>
          <w:rFonts w:ascii="Arial" w:hAnsi="Arial" w:cs="Arial"/>
          <w:b/>
          <w:sz w:val="22"/>
          <w:szCs w:val="22"/>
        </w:rPr>
      </w:pPr>
      <w:r>
        <w:rPr>
          <w:rFonts w:ascii="Arial" w:hAnsi="Arial" w:cs="Arial"/>
          <w:b/>
          <w:sz w:val="22"/>
          <w:szCs w:val="22"/>
        </w:rPr>
        <w:lastRenderedPageBreak/>
        <w:t>P</w:t>
      </w:r>
      <w:r w:rsidR="006477F1" w:rsidRPr="00DA6E7A">
        <w:rPr>
          <w:rFonts w:ascii="Arial" w:hAnsi="Arial" w:cs="Arial"/>
          <w:b/>
          <w:sz w:val="22"/>
          <w:szCs w:val="22"/>
        </w:rPr>
        <w:t>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77777777" w:rsidR="006477F1" w:rsidRDefault="006477F1" w:rsidP="006477F1">
      <w:pPr>
        <w:jc w:val="both"/>
        <w:rPr>
          <w:rFonts w:ascii="Arial" w:hAnsi="Arial" w:cs="Arial"/>
          <w:sz w:val="22"/>
          <w:szCs w:val="22"/>
        </w:rPr>
      </w:pP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5FD0" w14:textId="77777777" w:rsidR="00951166" w:rsidRDefault="00951166" w:rsidP="008C3D93">
      <w:r>
        <w:separator/>
      </w:r>
    </w:p>
  </w:endnote>
  <w:endnote w:type="continuationSeparator" w:id="0">
    <w:p w14:paraId="43BEBDE5" w14:textId="77777777" w:rsidR="00951166" w:rsidRDefault="00951166" w:rsidP="008C3D93">
      <w:r>
        <w:continuationSeparator/>
      </w:r>
    </w:p>
  </w:endnote>
  <w:endnote w:type="continuationNotice" w:id="1">
    <w:p w14:paraId="017F0157" w14:textId="77777777" w:rsidR="00951166" w:rsidRDefault="0095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11774189"/>
      <w:docPartObj>
        <w:docPartGallery w:val="Page Numbers (Bottom of Page)"/>
        <w:docPartUnique/>
      </w:docPartObj>
    </w:sdtPr>
    <w:sdtEndPr/>
    <w:sdtContent>
      <w:p w14:paraId="0488643E" w14:textId="52F4AD02"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0912EB">
          <w:rPr>
            <w:rFonts w:ascii="Arial" w:hAnsi="Arial" w:cs="Arial"/>
            <w:noProof/>
            <w:sz w:val="20"/>
          </w:rPr>
          <w:t>15</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CDA1" w14:textId="77777777" w:rsidR="00951166" w:rsidRDefault="00951166" w:rsidP="008C3D93">
      <w:r>
        <w:separator/>
      </w:r>
    </w:p>
  </w:footnote>
  <w:footnote w:type="continuationSeparator" w:id="0">
    <w:p w14:paraId="30D8505A" w14:textId="77777777" w:rsidR="00951166" w:rsidRDefault="00951166" w:rsidP="008C3D93">
      <w:r>
        <w:continuationSeparator/>
      </w:r>
    </w:p>
  </w:footnote>
  <w:footnote w:type="continuationNotice" w:id="1">
    <w:p w14:paraId="191E2A4A" w14:textId="77777777" w:rsidR="00951166" w:rsidRDefault="00951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66640419">
    <w:abstractNumId w:val="18"/>
  </w:num>
  <w:num w:numId="2" w16cid:durableId="930040890">
    <w:abstractNumId w:val="1"/>
  </w:num>
  <w:num w:numId="3" w16cid:durableId="228541851">
    <w:abstractNumId w:val="11"/>
  </w:num>
  <w:num w:numId="4" w16cid:durableId="1383408150">
    <w:abstractNumId w:val="2"/>
  </w:num>
  <w:num w:numId="5" w16cid:durableId="2110930634">
    <w:abstractNumId w:val="19"/>
  </w:num>
  <w:num w:numId="6" w16cid:durableId="475218301">
    <w:abstractNumId w:val="6"/>
  </w:num>
  <w:num w:numId="7" w16cid:durableId="423451824">
    <w:abstractNumId w:val="0"/>
  </w:num>
  <w:num w:numId="8" w16cid:durableId="458912970">
    <w:abstractNumId w:val="0"/>
  </w:num>
  <w:num w:numId="9" w16cid:durableId="1219784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0135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6097765">
    <w:abstractNumId w:val="7"/>
  </w:num>
  <w:num w:numId="12" w16cid:durableId="431319709">
    <w:abstractNumId w:val="3"/>
  </w:num>
  <w:num w:numId="13" w16cid:durableId="706486464">
    <w:abstractNumId w:val="18"/>
  </w:num>
  <w:num w:numId="14" w16cid:durableId="1141464871">
    <w:abstractNumId w:val="4"/>
  </w:num>
  <w:num w:numId="15" w16cid:durableId="276067076">
    <w:abstractNumId w:val="12"/>
  </w:num>
  <w:num w:numId="16" w16cid:durableId="403530900">
    <w:abstractNumId w:val="21"/>
  </w:num>
  <w:num w:numId="17" w16cid:durableId="799571336">
    <w:abstractNumId w:val="14"/>
  </w:num>
  <w:num w:numId="18" w16cid:durableId="1619526228">
    <w:abstractNumId w:val="20"/>
  </w:num>
  <w:num w:numId="19" w16cid:durableId="281302091">
    <w:abstractNumId w:val="10"/>
  </w:num>
  <w:num w:numId="20" w16cid:durableId="305816510">
    <w:abstractNumId w:val="8"/>
  </w:num>
  <w:num w:numId="21" w16cid:durableId="241260284">
    <w:abstractNumId w:val="5"/>
  </w:num>
  <w:num w:numId="22" w16cid:durableId="1732651520">
    <w:abstractNumId w:val="15"/>
  </w:num>
  <w:num w:numId="23" w16cid:durableId="386807930">
    <w:abstractNumId w:val="15"/>
  </w:num>
  <w:num w:numId="24" w16cid:durableId="311182975">
    <w:abstractNumId w:val="9"/>
  </w:num>
  <w:num w:numId="25" w16cid:durableId="1143278715">
    <w:abstractNumId w:val="17"/>
  </w:num>
  <w:num w:numId="26" w16cid:durableId="1581020781">
    <w:abstractNumId w:val="15"/>
  </w:num>
  <w:num w:numId="27" w16cid:durableId="198978951">
    <w:abstractNumId w:val="16"/>
  </w:num>
  <w:num w:numId="28" w16cid:durableId="1184438005">
    <w:abstractNumId w:val="13"/>
  </w:num>
  <w:num w:numId="29" w16cid:durableId="690373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9071205">
    <w:abstractNumId w:val="15"/>
  </w:num>
  <w:num w:numId="31" w16cid:durableId="108009854">
    <w:abstractNumId w:val="15"/>
  </w:num>
  <w:num w:numId="32" w16cid:durableId="310868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27302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12EB"/>
    <w:rsid w:val="00093A1A"/>
    <w:rsid w:val="000B4918"/>
    <w:rsid w:val="000C445F"/>
    <w:rsid w:val="000C6AE7"/>
    <w:rsid w:val="000D5717"/>
    <w:rsid w:val="000E473F"/>
    <w:rsid w:val="000F336D"/>
    <w:rsid w:val="000F392F"/>
    <w:rsid w:val="000F401D"/>
    <w:rsid w:val="00106628"/>
    <w:rsid w:val="00106742"/>
    <w:rsid w:val="001069AA"/>
    <w:rsid w:val="00112D8C"/>
    <w:rsid w:val="00123E55"/>
    <w:rsid w:val="00137499"/>
    <w:rsid w:val="001436EF"/>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10656"/>
    <w:rsid w:val="00231247"/>
    <w:rsid w:val="002318B5"/>
    <w:rsid w:val="00253D58"/>
    <w:rsid w:val="00254A40"/>
    <w:rsid w:val="00271A82"/>
    <w:rsid w:val="00275826"/>
    <w:rsid w:val="00275EF4"/>
    <w:rsid w:val="00282964"/>
    <w:rsid w:val="002921EC"/>
    <w:rsid w:val="002A144D"/>
    <w:rsid w:val="002A5D0D"/>
    <w:rsid w:val="002A7B43"/>
    <w:rsid w:val="002C6469"/>
    <w:rsid w:val="002C744A"/>
    <w:rsid w:val="002E69F2"/>
    <w:rsid w:val="002F4E6D"/>
    <w:rsid w:val="002F6D31"/>
    <w:rsid w:val="0030111A"/>
    <w:rsid w:val="0031252B"/>
    <w:rsid w:val="00314D71"/>
    <w:rsid w:val="00326429"/>
    <w:rsid w:val="003347D1"/>
    <w:rsid w:val="003368CE"/>
    <w:rsid w:val="00343D3A"/>
    <w:rsid w:val="00360881"/>
    <w:rsid w:val="003615B3"/>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21B3"/>
    <w:rsid w:val="003F58C0"/>
    <w:rsid w:val="0041207F"/>
    <w:rsid w:val="004152D5"/>
    <w:rsid w:val="00420884"/>
    <w:rsid w:val="00424A1F"/>
    <w:rsid w:val="00425EB0"/>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44849"/>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D537A"/>
    <w:rsid w:val="005E599F"/>
    <w:rsid w:val="005F172F"/>
    <w:rsid w:val="005F278E"/>
    <w:rsid w:val="00600025"/>
    <w:rsid w:val="006117D5"/>
    <w:rsid w:val="00641421"/>
    <w:rsid w:val="006418A7"/>
    <w:rsid w:val="00642CE4"/>
    <w:rsid w:val="006477F1"/>
    <w:rsid w:val="0065312B"/>
    <w:rsid w:val="006533C5"/>
    <w:rsid w:val="00656C67"/>
    <w:rsid w:val="00664F6D"/>
    <w:rsid w:val="00672C8D"/>
    <w:rsid w:val="00676822"/>
    <w:rsid w:val="00677327"/>
    <w:rsid w:val="0068256A"/>
    <w:rsid w:val="0069166B"/>
    <w:rsid w:val="006A0A77"/>
    <w:rsid w:val="006A5BCB"/>
    <w:rsid w:val="006B54A9"/>
    <w:rsid w:val="006B6AFC"/>
    <w:rsid w:val="006C0AE3"/>
    <w:rsid w:val="006C0B91"/>
    <w:rsid w:val="006C4A2C"/>
    <w:rsid w:val="006D2D0F"/>
    <w:rsid w:val="006D58E5"/>
    <w:rsid w:val="006D7C3D"/>
    <w:rsid w:val="006E1E16"/>
    <w:rsid w:val="006E236B"/>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05B35"/>
    <w:rsid w:val="00811153"/>
    <w:rsid w:val="0082766A"/>
    <w:rsid w:val="00841E87"/>
    <w:rsid w:val="008546CC"/>
    <w:rsid w:val="00874D82"/>
    <w:rsid w:val="0088594B"/>
    <w:rsid w:val="008920EE"/>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1166"/>
    <w:rsid w:val="00956A9A"/>
    <w:rsid w:val="00956DAD"/>
    <w:rsid w:val="009846D5"/>
    <w:rsid w:val="00986546"/>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95467"/>
    <w:rsid w:val="00AB3051"/>
    <w:rsid w:val="00AB48EF"/>
    <w:rsid w:val="00AC05AE"/>
    <w:rsid w:val="00AC13C9"/>
    <w:rsid w:val="00AC1D91"/>
    <w:rsid w:val="00AC2FB0"/>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061D"/>
    <w:rsid w:val="00BC1E1C"/>
    <w:rsid w:val="00BC231F"/>
    <w:rsid w:val="00BC3900"/>
    <w:rsid w:val="00BC4C5A"/>
    <w:rsid w:val="00BD127C"/>
    <w:rsid w:val="00BD365D"/>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E48A0"/>
    <w:rsid w:val="00D04144"/>
    <w:rsid w:val="00D112AA"/>
    <w:rsid w:val="00D36758"/>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20B"/>
    <w:rsid w:val="00E82C46"/>
    <w:rsid w:val="00E8670F"/>
    <w:rsid w:val="00E92F3F"/>
    <w:rsid w:val="00E93835"/>
    <w:rsid w:val="00E97231"/>
    <w:rsid w:val="00EA223D"/>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52D3"/>
    <w:rsid w:val="00F9631D"/>
    <w:rsid w:val="00FA1CA2"/>
    <w:rsid w:val="00FB330F"/>
    <w:rsid w:val="00FB67E5"/>
    <w:rsid w:val="00FC3D0C"/>
    <w:rsid w:val="00FC7501"/>
    <w:rsid w:val="00FE0F15"/>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40882832">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47730116">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094664177">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rvis@imedex.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f1ac448-a7dd-42ef-906d-3a6d3599c10b" xsi:nil="true"/>
    <lcf76f155ced4ddcb4097134ff3c332f xmlns="8f5a9dc9-1154-45f1-b984-95fdfa4fd0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6A70F9F7B9084CB5F245A43C40A784" ma:contentTypeVersion="16" ma:contentTypeDescription="Vytvoří nový dokument" ma:contentTypeScope="" ma:versionID="71198e47bb58757b835f88112d064140">
  <xsd:schema xmlns:xsd="http://www.w3.org/2001/XMLSchema" xmlns:xs="http://www.w3.org/2001/XMLSchema" xmlns:p="http://schemas.microsoft.com/office/2006/metadata/properties" xmlns:ns2="8f5a9dc9-1154-45f1-b984-95fdfa4fd00d" xmlns:ns3="df1ac448-a7dd-42ef-906d-3a6d3599c10b" targetNamespace="http://schemas.microsoft.com/office/2006/metadata/properties" ma:root="true" ma:fieldsID="09da245f5d16f0076da7003c64d8c0f8" ns2:_="" ns3:_="">
    <xsd:import namespace="8f5a9dc9-1154-45f1-b984-95fdfa4fd00d"/>
    <xsd:import namespace="df1ac448-a7dd-42ef-906d-3a6d3599c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a9dc9-1154-45f1-b984-95fdfa4fd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a6843d1d-0372-4759-bd72-dc93bced4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ac448-a7dd-42ef-906d-3a6d3599c10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882fdd7-9ea5-449f-834a-c233462999e5}" ma:internalName="TaxCatchAll" ma:showField="CatchAllData" ma:web="df1ac448-a7dd-42ef-906d-3a6d3599c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AE458-B2B4-425B-81EF-9EB7B48F7540}">
  <ds:schemaRefs>
    <ds:schemaRef ds:uri="http://schemas.openxmlformats.org/officeDocument/2006/bibliography"/>
  </ds:schemaRefs>
</ds:datastoreItem>
</file>

<file path=customXml/itemProps2.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df1ac448-a7dd-42ef-906d-3a6d3599c10b"/>
    <ds:schemaRef ds:uri="8f5a9dc9-1154-45f1-b984-95fdfa4fd00d"/>
  </ds:schemaRefs>
</ds:datastoreItem>
</file>

<file path=customXml/itemProps3.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4.xml><?xml version="1.0" encoding="utf-8"?>
<ds:datastoreItem xmlns:ds="http://schemas.openxmlformats.org/officeDocument/2006/customXml" ds:itemID="{C793DC12-BFD0-4243-8183-682A6419A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a9dc9-1154-45f1-b984-95fdfa4fd00d"/>
    <ds:schemaRef ds:uri="df1ac448-a7dd-42ef-906d-3a6d3599c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5979</Words>
  <Characters>35281</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Mičánková Lucie</cp:lastModifiedBy>
  <cp:revision>40</cp:revision>
  <cp:lastPrinted>2023-04-26T06:58:00Z</cp:lastPrinted>
  <dcterms:created xsi:type="dcterms:W3CDTF">2022-02-17T07:53:00Z</dcterms:created>
  <dcterms:modified xsi:type="dcterms:W3CDTF">2023-07-13T08:06:00Z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0x010100316A70F9F7B9084CB5F245A43C40A784</vt:lpwstr>
  </property>
  <property fmtid="{D5CDD505-2E9C-101B-9397-08002B2CF9AE}" pid="3" name="_dlc_DocIdItemGuid">
    <vt:lpwstr>49f079c1-0425-48a3-b42a-e3e903e18b06</vt:lpwstr>
  </property>
  <property fmtid="{D5CDD505-2E9C-101B-9397-08002B2CF9AE}" pid="4" name="MediaServiceImageTags">
    <vt:lpwstr/>
  </property>
</Properties>
</file>