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8777"/>
      </w:tblGrid>
      <w:tr w:rsidR="00C0617B" w14:paraId="770071A6" w14:textId="77777777" w:rsidTr="00A560E7">
        <w:trPr>
          <w:trHeight w:val="12329"/>
        </w:trPr>
        <w:tc>
          <w:tcPr>
            <w:tcW w:w="877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2B2B854E" w14:textId="77777777" w:rsidR="00C0617B" w:rsidRPr="00C0617B" w:rsidRDefault="00C0617B" w:rsidP="00F75AE6">
            <w:pPr>
              <w:pStyle w:val="Default"/>
              <w:spacing w:line="240" w:lineRule="auto"/>
              <w:jc w:val="center"/>
              <w:rPr>
                <w:rFonts w:ascii="Calibri" w:hAnsi="Calibri" w:cs="Calibri"/>
                <w:b/>
                <w:bCs/>
                <w:sz w:val="28"/>
                <w:szCs w:val="28"/>
              </w:rPr>
            </w:pPr>
          </w:p>
          <w:p w14:paraId="3A58AD63" w14:textId="13E4A15A" w:rsidR="00C0617B" w:rsidRPr="00C0617B" w:rsidRDefault="00E43615" w:rsidP="00F75AE6">
            <w:pPr>
              <w:pStyle w:val="Default"/>
              <w:spacing w:line="240" w:lineRule="auto"/>
              <w:jc w:val="center"/>
              <w:rPr>
                <w:rFonts w:ascii="Calibri" w:hAnsi="Calibri" w:cs="Calibri"/>
                <w:b/>
                <w:bCs/>
                <w:sz w:val="28"/>
                <w:szCs w:val="28"/>
              </w:rPr>
            </w:pPr>
            <w:proofErr w:type="spellStart"/>
            <w:r>
              <w:rPr>
                <w:rFonts w:ascii="Calibri" w:hAnsi="Calibri" w:cs="Calibri"/>
                <w:b/>
                <w:bCs/>
                <w:sz w:val="28"/>
                <w:szCs w:val="28"/>
              </w:rPr>
              <w:t>Quantum</w:t>
            </w:r>
            <w:proofErr w:type="spellEnd"/>
            <w:r>
              <w:rPr>
                <w:rFonts w:ascii="Calibri" w:hAnsi="Calibri" w:cs="Calibri"/>
                <w:b/>
                <w:bCs/>
                <w:sz w:val="28"/>
                <w:szCs w:val="28"/>
              </w:rPr>
              <w:t xml:space="preserve"> a.s.</w:t>
            </w:r>
          </w:p>
        </w:tc>
      </w:tr>
    </w:tbl>
    <w:p w14:paraId="68DB88DD" w14:textId="676A10EC"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P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47CFF435" w14:textId="77777777" w:rsidR="00630D3E" w:rsidRPr="00630D3E" w:rsidRDefault="00630D3E" w:rsidP="00630D3E">
      <w:pPr>
        <w:rPr>
          <w:rFonts w:ascii="Calibri" w:hAnsi="Calibri" w:cs="Calibri"/>
          <w:b/>
          <w:sz w:val="24"/>
        </w:rPr>
      </w:pPr>
      <w:r w:rsidRPr="00630D3E">
        <w:rPr>
          <w:rFonts w:ascii="Calibri" w:hAnsi="Calibri" w:cs="Calibri"/>
          <w:b/>
          <w:sz w:val="24"/>
        </w:rPr>
        <w:t>Univerzitní centrum energeticky efektivních budov</w:t>
      </w:r>
    </w:p>
    <w:p w14:paraId="0FD8607C" w14:textId="77777777" w:rsidR="00630D3E" w:rsidRPr="00630D3E" w:rsidRDefault="00630D3E" w:rsidP="00630D3E">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69D90FAD" w14:textId="77777777" w:rsidR="00630D3E" w:rsidRPr="00630D3E" w:rsidRDefault="00630D3E" w:rsidP="00630D3E">
      <w:pPr>
        <w:rPr>
          <w:rFonts w:ascii="Calibri" w:hAnsi="Calibri" w:cs="Calibri"/>
        </w:rPr>
      </w:pPr>
      <w:r w:rsidRPr="00630D3E">
        <w:rPr>
          <w:rFonts w:ascii="Calibri" w:hAnsi="Calibri" w:cs="Calibri"/>
        </w:rPr>
        <w:t>zřízeno dle zák. č. 111/1998 Sb., o vysokých školách, nezapisuje se do OR</w:t>
      </w:r>
    </w:p>
    <w:p w14:paraId="473B5C27" w14:textId="77777777"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4AEDD5E8" w14:textId="77777777" w:rsidR="00630D3E" w:rsidRPr="00630D3E" w:rsidRDefault="00630D3E" w:rsidP="00630D3E">
      <w:pPr>
        <w:rPr>
          <w:rFonts w:ascii="Calibri" w:hAnsi="Calibri" w:cs="Calibri"/>
        </w:rPr>
      </w:pPr>
    </w:p>
    <w:p w14:paraId="2071F6AF" w14:textId="14F4F066" w:rsidR="00DD795E" w:rsidRPr="00DD795E" w:rsidRDefault="000C19D0" w:rsidP="00DD795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proofErr w:type="spellStart"/>
      <w:r>
        <w:rPr>
          <w:rFonts w:ascii="Calibri" w:eastAsia="Times New Roman" w:hAnsi="Calibri" w:cs="Calibri"/>
          <w:b/>
          <w:kern w:val="1"/>
          <w:sz w:val="24"/>
          <w:szCs w:val="24"/>
          <w:lang w:eastAsia="cs-CZ"/>
        </w:rPr>
        <w:t>Quantum</w:t>
      </w:r>
      <w:proofErr w:type="spellEnd"/>
      <w:r>
        <w:rPr>
          <w:rFonts w:ascii="Calibri" w:eastAsia="Times New Roman" w:hAnsi="Calibri" w:cs="Calibri"/>
          <w:b/>
          <w:kern w:val="1"/>
          <w:sz w:val="24"/>
          <w:szCs w:val="24"/>
          <w:lang w:eastAsia="cs-CZ"/>
        </w:rPr>
        <w:t xml:space="preserve"> a.s.</w:t>
      </w:r>
    </w:p>
    <w:p w14:paraId="58C088B3" w14:textId="66E4C27F" w:rsidR="00DD795E" w:rsidRDefault="00DD795E" w:rsidP="00DD795E">
      <w:pPr>
        <w:widowControl w:val="0"/>
        <w:rPr>
          <w:rFonts w:ascii="Calibri" w:eastAsia="Calibri" w:hAnsi="Calibri" w:cs="Calibri"/>
        </w:rPr>
      </w:pPr>
      <w:r>
        <w:rPr>
          <w:rFonts w:ascii="Calibri" w:eastAsia="Calibri" w:hAnsi="Calibri" w:cs="Calibri"/>
        </w:rPr>
        <w:t>s</w:t>
      </w:r>
      <w:r w:rsidR="00F85082">
        <w:rPr>
          <w:rFonts w:ascii="Calibri" w:eastAsia="Calibri" w:hAnsi="Calibri" w:cs="Calibri"/>
        </w:rPr>
        <w:t>ídlo</w:t>
      </w:r>
      <w:r w:rsidR="00F85082" w:rsidRPr="00D005F7">
        <w:rPr>
          <w:rFonts w:ascii="Calibri" w:eastAsia="Calibri" w:hAnsi="Calibri" w:cs="Calibri"/>
        </w:rPr>
        <w:t xml:space="preserve">: </w:t>
      </w:r>
      <w:r>
        <w:rPr>
          <w:rFonts w:ascii="Calibri" w:eastAsia="Calibri" w:hAnsi="Calibri" w:cs="Calibri"/>
        </w:rPr>
        <w:tab/>
      </w:r>
      <w:r w:rsidR="000C19D0" w:rsidRPr="000C19D0">
        <w:rPr>
          <w:rFonts w:ascii="Verdana" w:hAnsi="Verdana"/>
          <w:b/>
          <w:bCs/>
          <w:color w:val="333333"/>
          <w:sz w:val="18"/>
          <w:szCs w:val="18"/>
          <w:shd w:val="clear" w:color="auto" w:fill="FFFFFF"/>
        </w:rPr>
        <w:t xml:space="preserve">Brněnská 122/212, </w:t>
      </w:r>
      <w:proofErr w:type="spellStart"/>
      <w:r w:rsidR="000C19D0" w:rsidRPr="000C19D0">
        <w:rPr>
          <w:rFonts w:ascii="Verdana" w:hAnsi="Verdana"/>
          <w:b/>
          <w:bCs/>
          <w:color w:val="333333"/>
          <w:sz w:val="18"/>
          <w:szCs w:val="18"/>
          <w:shd w:val="clear" w:color="auto" w:fill="FFFFFF"/>
        </w:rPr>
        <w:t>Nouzka</w:t>
      </w:r>
      <w:proofErr w:type="spellEnd"/>
      <w:r w:rsidR="000C19D0" w:rsidRPr="000C19D0">
        <w:rPr>
          <w:rFonts w:ascii="Verdana" w:hAnsi="Verdana"/>
          <w:b/>
          <w:bCs/>
          <w:color w:val="333333"/>
          <w:sz w:val="18"/>
          <w:szCs w:val="18"/>
          <w:shd w:val="clear" w:color="auto" w:fill="FFFFFF"/>
        </w:rPr>
        <w:t>, 682 01 Vyškov</w:t>
      </w:r>
    </w:p>
    <w:p w14:paraId="50A8B9D2" w14:textId="0FBA4785" w:rsidR="00F85082" w:rsidRPr="00DD795E" w:rsidRDefault="00F85082" w:rsidP="00DD795E">
      <w:pPr>
        <w:spacing w:line="240" w:lineRule="auto"/>
      </w:pPr>
      <w:r w:rsidRPr="005079D4">
        <w:rPr>
          <w:rFonts w:ascii="Calibri" w:eastAsia="Calibri" w:hAnsi="Calibri" w:cs="Calibri"/>
        </w:rPr>
        <w:t xml:space="preserve">IČO: </w:t>
      </w:r>
      <w:r w:rsidR="00DD795E">
        <w:rPr>
          <w:rFonts w:ascii="Calibri" w:eastAsia="Calibri" w:hAnsi="Calibri" w:cs="Calibri"/>
        </w:rPr>
        <w:tab/>
      </w:r>
      <w:r w:rsidR="00861ED8">
        <w:rPr>
          <w:rFonts w:ascii="Calibri" w:hAnsi="Calibri" w:cs="Calibri"/>
          <w:b/>
        </w:rPr>
        <w:t>2</w:t>
      </w:r>
      <w:r w:rsidR="000C19D0">
        <w:rPr>
          <w:rFonts w:ascii="Calibri" w:hAnsi="Calibri" w:cs="Calibri"/>
          <w:b/>
        </w:rPr>
        <w:t>5307762</w:t>
      </w:r>
    </w:p>
    <w:p w14:paraId="73ED888D" w14:textId="0DBB264F" w:rsidR="00F85082" w:rsidRPr="00DD795E" w:rsidRDefault="00F85082" w:rsidP="00DD795E">
      <w:pPr>
        <w:spacing w:line="240" w:lineRule="auto"/>
      </w:pPr>
      <w:r w:rsidRPr="005079D4">
        <w:rPr>
          <w:rFonts w:ascii="Calibri" w:eastAsia="Calibri" w:hAnsi="Calibri" w:cs="Calibri"/>
        </w:rPr>
        <w:t xml:space="preserve">DIČ: </w:t>
      </w:r>
      <w:r w:rsidR="00DD795E">
        <w:rPr>
          <w:rFonts w:ascii="Calibri" w:eastAsia="Calibri" w:hAnsi="Calibri" w:cs="Calibri"/>
        </w:rPr>
        <w:tab/>
      </w:r>
      <w:r w:rsidRPr="00DD795E">
        <w:rPr>
          <w:rFonts w:ascii="Calibri" w:hAnsi="Calibri" w:cs="Calibri"/>
          <w:b/>
        </w:rPr>
        <w:t>CZ</w:t>
      </w:r>
      <w:r w:rsidR="000C19D0">
        <w:rPr>
          <w:rFonts w:ascii="Calibri" w:hAnsi="Calibri" w:cs="Calibri"/>
          <w:b/>
        </w:rPr>
        <w:t>25307762</w:t>
      </w:r>
    </w:p>
    <w:p w14:paraId="7A9C6C33" w14:textId="40271C33" w:rsidR="00F85082" w:rsidRPr="00AF1130" w:rsidRDefault="00F85082" w:rsidP="00F85082">
      <w:pPr>
        <w:tabs>
          <w:tab w:val="left" w:pos="567"/>
          <w:tab w:val="left" w:pos="3402"/>
        </w:tabs>
        <w:rPr>
          <w:rFonts w:ascii="Calibri" w:eastAsia="Calibri" w:hAnsi="Calibri" w:cs="Calibri"/>
        </w:rPr>
      </w:pPr>
      <w:r w:rsidRPr="00AA50E4">
        <w:rPr>
          <w:rFonts w:ascii="Calibri" w:eastAsia="Calibri" w:hAnsi="Calibri" w:cs="Calibri"/>
        </w:rPr>
        <w:t>zapsán v</w:t>
      </w:r>
      <w:r>
        <w:rPr>
          <w:rFonts w:ascii="Calibri" w:eastAsia="Calibri" w:hAnsi="Calibri" w:cs="Calibri"/>
        </w:rPr>
        <w:t xml:space="preserve"> obchodním rejstříku vedeném </w:t>
      </w:r>
      <w:r w:rsidR="00861ED8">
        <w:rPr>
          <w:rFonts w:ascii="Calibri" w:eastAsia="Calibri" w:hAnsi="Calibri" w:cs="Calibri"/>
        </w:rPr>
        <w:t xml:space="preserve">Krajského soudu v </w:t>
      </w:r>
      <w:r w:rsidR="00987DD8">
        <w:rPr>
          <w:rFonts w:ascii="Calibri" w:eastAsia="Calibri" w:hAnsi="Calibri" w:cs="Calibri"/>
        </w:rPr>
        <w:t>Brně</w:t>
      </w:r>
      <w:r>
        <w:rPr>
          <w:rFonts w:ascii="Calibri" w:eastAsia="Calibri" w:hAnsi="Calibri" w:cs="Calibri"/>
        </w:rPr>
        <w:t xml:space="preserve">, oddíl </w:t>
      </w:r>
      <w:r w:rsidR="000C19D0">
        <w:rPr>
          <w:rFonts w:ascii="Calibri" w:eastAsia="Calibri" w:hAnsi="Calibri" w:cs="Calibri"/>
        </w:rPr>
        <w:t>B</w:t>
      </w:r>
      <w:r>
        <w:rPr>
          <w:rFonts w:ascii="Calibri" w:eastAsia="Calibri" w:hAnsi="Calibri" w:cs="Calibri"/>
        </w:rPr>
        <w:t xml:space="preserve">, vložka </w:t>
      </w:r>
      <w:r w:rsidR="000C19D0">
        <w:rPr>
          <w:rFonts w:ascii="Calibri" w:eastAsia="Calibri" w:hAnsi="Calibri" w:cs="Calibri"/>
        </w:rPr>
        <w:t>2074</w:t>
      </w:r>
    </w:p>
    <w:p w14:paraId="5DEFDEC8" w14:textId="33DD0BF0" w:rsidR="00F85082" w:rsidRPr="00AF1130" w:rsidRDefault="00F85082" w:rsidP="00F85082">
      <w:pPr>
        <w:tabs>
          <w:tab w:val="left" w:pos="567"/>
          <w:tab w:val="left" w:pos="3402"/>
        </w:tabs>
        <w:rPr>
          <w:rFonts w:ascii="Calibri" w:eastAsia="Calibri" w:hAnsi="Calibri" w:cs="Calibri"/>
        </w:rPr>
      </w:pPr>
      <w:r>
        <w:rPr>
          <w:rFonts w:ascii="Calibri" w:eastAsia="Calibri" w:hAnsi="Calibri" w:cs="Calibri"/>
        </w:rPr>
        <w:t>Zastoupen</w:t>
      </w:r>
      <w:r w:rsidRPr="00AF1130">
        <w:rPr>
          <w:rFonts w:ascii="Calibri" w:eastAsia="Calibri" w:hAnsi="Calibri" w:cs="Calibri"/>
        </w:rPr>
        <w:t xml:space="preserve">: </w:t>
      </w:r>
      <w:r w:rsidR="000C19D0" w:rsidRPr="000C19D0">
        <w:rPr>
          <w:rFonts w:ascii="Calibri" w:eastAsia="Calibri" w:hAnsi="Calibri" w:cs="Calibri"/>
          <w:b/>
          <w:bCs/>
        </w:rPr>
        <w:t xml:space="preserve">Ing. Miladou </w:t>
      </w:r>
      <w:proofErr w:type="spellStart"/>
      <w:r w:rsidR="000C19D0" w:rsidRPr="000C19D0">
        <w:rPr>
          <w:rFonts w:ascii="Calibri" w:eastAsia="Calibri" w:hAnsi="Calibri" w:cs="Calibri"/>
          <w:b/>
          <w:bCs/>
        </w:rPr>
        <w:t>Matiovskou</w:t>
      </w:r>
      <w:proofErr w:type="spellEnd"/>
      <w:r w:rsidR="000C19D0" w:rsidRPr="000C19D0">
        <w:rPr>
          <w:rFonts w:ascii="Calibri" w:eastAsia="Calibri" w:hAnsi="Calibri" w:cs="Calibri"/>
          <w:b/>
          <w:bCs/>
        </w:rPr>
        <w:t>, MBA</w:t>
      </w:r>
      <w:r w:rsidR="000C19D0">
        <w:rPr>
          <w:rFonts w:ascii="Calibri" w:eastAsia="Calibri" w:hAnsi="Calibri" w:cs="Calibri"/>
          <w:b/>
          <w:bCs/>
        </w:rPr>
        <w:t>.</w:t>
      </w:r>
      <w:r w:rsidR="000C19D0" w:rsidRPr="000C19D0">
        <w:rPr>
          <w:rFonts w:ascii="Calibri" w:eastAsia="Calibri" w:hAnsi="Calibri" w:cs="Calibri"/>
          <w:b/>
          <w:bCs/>
        </w:rPr>
        <w:t xml:space="preserve">, </w:t>
      </w:r>
      <w:proofErr w:type="spellStart"/>
      <w:r w:rsidR="000C19D0" w:rsidRPr="000C19D0">
        <w:rPr>
          <w:rFonts w:ascii="Calibri" w:eastAsia="Calibri" w:hAnsi="Calibri" w:cs="Calibri"/>
          <w:b/>
          <w:bCs/>
        </w:rPr>
        <w:t>MSc</w:t>
      </w:r>
      <w:proofErr w:type="spellEnd"/>
      <w:r w:rsidR="000C19D0">
        <w:rPr>
          <w:rFonts w:ascii="Calibri" w:eastAsia="Calibri" w:hAnsi="Calibri" w:cs="Calibri"/>
          <w:b/>
          <w:bCs/>
        </w:rPr>
        <w:t>.</w:t>
      </w:r>
      <w:r w:rsidR="00DD795E" w:rsidRPr="00DD795E">
        <w:rPr>
          <w:rFonts w:ascii="Calibri" w:eastAsia="Calibri" w:hAnsi="Calibri" w:cs="Calibri"/>
          <w:b/>
          <w:bCs/>
        </w:rPr>
        <w:t xml:space="preserve">, </w:t>
      </w:r>
      <w:r w:rsidR="000C19D0">
        <w:rPr>
          <w:rFonts w:ascii="Calibri" w:eastAsia="Calibri" w:hAnsi="Calibri" w:cs="Calibri"/>
          <w:b/>
          <w:bCs/>
        </w:rPr>
        <w:t>místopředsedkyní představenstva</w:t>
      </w:r>
    </w:p>
    <w:p w14:paraId="3F726F57" w14:textId="5C56277A" w:rsidR="00F75AE6" w:rsidRPr="00630D3E" w:rsidRDefault="00F75AE6" w:rsidP="00F75AE6">
      <w:pPr>
        <w:pStyle w:val="Default"/>
        <w:spacing w:line="240" w:lineRule="auto"/>
        <w:rPr>
          <w:rFonts w:ascii="Calibri" w:hAnsi="Calibri" w:cs="Calibri"/>
          <w:b/>
          <w:bCs/>
        </w:rPr>
      </w:pPr>
    </w:p>
    <w:p w14:paraId="4CA67879" w14:textId="547C6A0C" w:rsidR="00630D3E" w:rsidRPr="00630D3E" w:rsidRDefault="00630D3E" w:rsidP="00630D3E">
      <w:pPr>
        <w:ind w:firstLine="360"/>
        <w:rPr>
          <w:rFonts w:ascii="Calibri" w:hAnsi="Calibri" w:cs="Calibri"/>
        </w:rPr>
      </w:pPr>
      <w:r w:rsidRPr="00C11E23">
        <w:rPr>
          <w:rFonts w:ascii="Calibri" w:hAnsi="Calibri" w:cs="Calibri"/>
        </w:rPr>
        <w:t xml:space="preserve">(dále jen </w:t>
      </w:r>
      <w:r w:rsidR="00C0617B" w:rsidRPr="00C11E23">
        <w:rPr>
          <w:rFonts w:ascii="Calibri" w:hAnsi="Calibri" w:cs="Calibri"/>
        </w:rPr>
        <w:t>„</w:t>
      </w:r>
      <w:proofErr w:type="spellStart"/>
      <w:r w:rsidR="000C19D0">
        <w:rPr>
          <w:rFonts w:ascii="Calibri" w:hAnsi="Calibri" w:cs="Calibri"/>
          <w:b/>
        </w:rPr>
        <w:t>Quantum</w:t>
      </w:r>
      <w:proofErr w:type="spellEnd"/>
      <w:r w:rsidR="00C0617B" w:rsidRPr="00C11E23">
        <w:rPr>
          <w:rFonts w:ascii="Calibri" w:hAnsi="Calibri" w:cs="Calibri"/>
        </w:rPr>
        <w:t>“</w:t>
      </w:r>
      <w:r w:rsidRPr="00C11E23">
        <w:rPr>
          <w:rFonts w:ascii="Calibri" w:hAnsi="Calibri" w:cs="Calibri"/>
        </w:rPr>
        <w:t xml:space="preserve"> či </w:t>
      </w:r>
      <w:r w:rsidR="00C0617B" w:rsidRPr="00C11E23">
        <w:rPr>
          <w:rFonts w:ascii="Calibri" w:hAnsi="Calibri" w:cs="Calibri"/>
        </w:rPr>
        <w:t>„</w:t>
      </w:r>
      <w:r w:rsidR="00C0617B" w:rsidRPr="00C11E23">
        <w:rPr>
          <w:rFonts w:ascii="Calibri" w:hAnsi="Calibri" w:cs="Calibri"/>
          <w:b/>
          <w:bCs/>
        </w:rPr>
        <w:t>N</w:t>
      </w:r>
      <w:r w:rsidRPr="00C11E23">
        <w:rPr>
          <w:rFonts w:ascii="Calibri" w:hAnsi="Calibri" w:cs="Calibri"/>
          <w:b/>
          <w:bCs/>
        </w:rPr>
        <w:t>abyvatel</w:t>
      </w:r>
      <w:r w:rsidR="00C0617B" w:rsidRPr="00C11E23">
        <w:rPr>
          <w:rFonts w:ascii="Calibri" w:hAnsi="Calibri" w:cs="Calibri"/>
        </w:rPr>
        <w:t>“</w:t>
      </w:r>
      <w:r w:rsidRPr="00C11E23">
        <w:rPr>
          <w:rFonts w:ascii="Calibri" w:hAnsi="Calibri" w:cs="Calibri"/>
        </w:rPr>
        <w:t>)</w:t>
      </w:r>
    </w:p>
    <w:p w14:paraId="70356D13" w14:textId="77777777" w:rsidR="00630D3E" w:rsidRPr="00630D3E" w:rsidRDefault="00630D3E" w:rsidP="00F75AE6">
      <w:pPr>
        <w:pStyle w:val="Default"/>
        <w:spacing w:line="240" w:lineRule="auto"/>
        <w:rPr>
          <w:rFonts w:ascii="Calibri" w:hAnsi="Calibri" w:cs="Calibri"/>
          <w:b/>
          <w:bCs/>
        </w:rPr>
      </w:pPr>
    </w:p>
    <w:p w14:paraId="24263912" w14:textId="77777777" w:rsidR="00F75AE6" w:rsidRPr="00630D3E" w:rsidRDefault="00F75AE6" w:rsidP="00F75AE6">
      <w:pPr>
        <w:pStyle w:val="Default"/>
        <w:spacing w:line="240" w:lineRule="auto"/>
        <w:rPr>
          <w:rFonts w:ascii="Calibri" w:hAnsi="Calibri" w:cs="Calibri"/>
          <w:b/>
          <w:bCs/>
        </w:rPr>
      </w:pPr>
    </w:p>
    <w:p w14:paraId="6968208F" w14:textId="77777777" w:rsidR="00F75AE6" w:rsidRPr="00630D3E" w:rsidRDefault="00F75AE6" w:rsidP="00F75AE6">
      <w:pPr>
        <w:pStyle w:val="Default"/>
        <w:spacing w:line="240" w:lineRule="auto"/>
        <w:rPr>
          <w:rFonts w:ascii="Calibri" w:hAnsi="Calibri" w:cs="Calibri"/>
          <w:b/>
          <w:bCs/>
        </w:rPr>
      </w:pPr>
    </w:p>
    <w:p w14:paraId="5AB5F08E" w14:textId="77777777" w:rsidR="00F75AE6" w:rsidRPr="00630D3E" w:rsidRDefault="00F75AE6" w:rsidP="00F75AE6">
      <w:pPr>
        <w:pStyle w:val="Default"/>
        <w:spacing w:line="240" w:lineRule="auto"/>
        <w:rPr>
          <w:rFonts w:ascii="Calibri" w:hAnsi="Calibri" w:cs="Calibri"/>
          <w:b/>
          <w:bCs/>
        </w:rPr>
      </w:pP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lastRenderedPageBreak/>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01BBDC23"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či</w:t>
      </w:r>
      <w:r w:rsidRPr="00F23F4E">
        <w:rPr>
          <w:rFonts w:ascii="Calibri" w:hAnsi="Calibri" w:cs="Calibri"/>
          <w:sz w:val="24"/>
        </w:rPr>
        <w:t xml:space="preserve"> </w:t>
      </w:r>
      <w:r w:rsidR="00630D3E" w:rsidRPr="00F23F4E">
        <w:rPr>
          <w:rFonts w:ascii="Calibri" w:hAnsi="Calibri" w:cs="Calibri"/>
          <w:sz w:val="24"/>
        </w:rPr>
        <w:t>bude</w:t>
      </w:r>
      <w:r w:rsidRPr="00F23F4E">
        <w:rPr>
          <w:rFonts w:ascii="Calibri" w:hAnsi="Calibri" w:cs="Calibri"/>
          <w:sz w:val="24"/>
        </w:rPr>
        <w:t xml:space="preserve"> 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 xml:space="preserve">chráněného </w:t>
      </w:r>
      <w:proofErr w:type="spellStart"/>
      <w:r w:rsidR="00630D3E" w:rsidRPr="00F23F4E">
        <w:rPr>
          <w:rFonts w:ascii="Calibri" w:hAnsi="Calibri" w:cs="Calibri"/>
          <w:sz w:val="24"/>
        </w:rPr>
        <w:t>know</w:t>
      </w:r>
      <w:proofErr w:type="spellEnd"/>
      <w:r w:rsidR="00630D3E" w:rsidRPr="00F23F4E">
        <w:rPr>
          <w:rFonts w:ascii="Calibri" w:hAnsi="Calibri" w:cs="Calibri"/>
          <w:sz w:val="24"/>
        </w:rPr>
        <w:t xml:space="preserve"> </w:t>
      </w:r>
      <w:proofErr w:type="spellStart"/>
      <w:r w:rsidR="00630D3E" w:rsidRPr="00F23F4E">
        <w:rPr>
          <w:rFonts w:ascii="Calibri" w:hAnsi="Calibri" w:cs="Calibri"/>
          <w:sz w:val="24"/>
        </w:rPr>
        <w:t>how</w:t>
      </w:r>
      <w:proofErr w:type="spellEnd"/>
      <w:r w:rsidR="00DD795E">
        <w:rPr>
          <w:rFonts w:ascii="Calibri" w:hAnsi="Calibri" w:cs="Calibri"/>
          <w:sz w:val="24"/>
        </w:rPr>
        <w:t xml:space="preserve"> definovaného v příloze č. 1 </w:t>
      </w:r>
      <w:r w:rsidRPr="00F23F4E">
        <w:rPr>
          <w:rFonts w:ascii="Calibri" w:hAnsi="Calibri" w:cs="Calibri"/>
          <w:sz w:val="24"/>
        </w:rPr>
        <w:t>(dále též „</w:t>
      </w:r>
      <w:r w:rsidRPr="003356ED">
        <w:rPr>
          <w:rFonts w:ascii="Calibri" w:hAnsi="Calibri" w:cs="Calibri"/>
          <w:i/>
          <w:iCs/>
          <w:sz w:val="24"/>
        </w:rPr>
        <w:t>Průmyslové vlastnictví</w:t>
      </w:r>
      <w:r w:rsidRPr="00F23F4E">
        <w:rPr>
          <w:rFonts w:ascii="Calibri" w:hAnsi="Calibri" w:cs="Calibri"/>
          <w:sz w:val="24"/>
        </w:rPr>
        <w:t>“), vznikl</w:t>
      </w:r>
      <w:r w:rsidR="00DD795E">
        <w:rPr>
          <w:rFonts w:ascii="Calibri" w:hAnsi="Calibri" w:cs="Calibri"/>
          <w:sz w:val="24"/>
        </w:rPr>
        <w:t>ého</w:t>
      </w:r>
      <w:r w:rsidRPr="00F23F4E">
        <w:rPr>
          <w:rFonts w:ascii="Calibri" w:hAnsi="Calibri" w:cs="Calibri"/>
          <w:sz w:val="24"/>
        </w:rPr>
        <w:t xml:space="preserve"> v rámci </w:t>
      </w:r>
      <w:r w:rsidR="00630D3E" w:rsidRPr="00F23F4E">
        <w:rPr>
          <w:rFonts w:ascii="Calibri" w:hAnsi="Calibri" w:cs="Calibri"/>
          <w:sz w:val="24"/>
        </w:rPr>
        <w:t xml:space="preserve">projektu </w:t>
      </w:r>
      <w:r w:rsidRPr="00F23F4E">
        <w:rPr>
          <w:rFonts w:ascii="Calibri" w:hAnsi="Calibri" w:cs="Calibri"/>
          <w:sz w:val="24"/>
        </w:rPr>
        <w:t xml:space="preserve">s názvem </w:t>
      </w:r>
      <w:r w:rsidRPr="00F85082">
        <w:rPr>
          <w:rFonts w:ascii="Calibri" w:hAnsi="Calibri" w:cs="Calibri"/>
          <w:b/>
          <w:bCs/>
          <w:sz w:val="24"/>
        </w:rPr>
        <w:t>„</w:t>
      </w:r>
      <w:r w:rsidR="000C19D0" w:rsidRPr="000C19D0">
        <w:rPr>
          <w:rFonts w:ascii="Calibri" w:hAnsi="Calibri" w:cs="Calibri"/>
          <w:b/>
          <w:bCs/>
          <w:sz w:val="24"/>
        </w:rPr>
        <w:t>Modulární systém vytápění a přípravy teplé vody</w:t>
      </w:r>
      <w:r w:rsidRPr="00F23F4E">
        <w:rPr>
          <w:rFonts w:ascii="Calibri" w:hAnsi="Calibri" w:cs="Calibri"/>
          <w:sz w:val="24"/>
        </w:rPr>
        <w:t xml:space="preserve">“, identifikační číslo projektu: </w:t>
      </w:r>
      <w:r w:rsidR="000C19D0" w:rsidRPr="000C19D0">
        <w:rPr>
          <w:rFonts w:ascii="Calibri" w:hAnsi="Calibri" w:cs="Calibri"/>
          <w:b/>
          <w:bCs/>
          <w:sz w:val="24"/>
        </w:rPr>
        <w:t>CZ.01.1.02/0.0/0.0/20_321/0024872</w:t>
      </w:r>
      <w:r w:rsidR="00C0617B" w:rsidRPr="00F23F4E">
        <w:rPr>
          <w:rFonts w:ascii="Calibri" w:hAnsi="Calibri" w:cs="Calibri"/>
          <w:sz w:val="24"/>
        </w:rPr>
        <w:t>.</w:t>
      </w:r>
    </w:p>
    <w:p w14:paraId="23B300E3" w14:textId="34094DA9"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3F918027" w:rsidR="00F400A3"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1EA5814C" w:rsidR="00F75AE6" w:rsidRPr="00F23F4E"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tímto poskytuje Nabyvateli licenci v neomezeném rozsahu k </w:t>
      </w:r>
      <w:r w:rsidRPr="003356ED">
        <w:rPr>
          <w:rFonts w:ascii="Calibri" w:hAnsi="Calibri" w:cs="Calibri"/>
          <w:i/>
          <w:iCs/>
          <w:sz w:val="24"/>
        </w:rPr>
        <w:t>Průmyslovému vlastnictví</w:t>
      </w:r>
      <w:r w:rsidRPr="00F23F4E">
        <w:rPr>
          <w:rFonts w:ascii="Calibri" w:hAnsi="Calibri" w:cs="Calibri"/>
          <w:sz w:val="24"/>
        </w:rPr>
        <w:t xml:space="preserve"> v jeho výlučném vlastnictví a k jakémukoliv podílu Poskytovatele </w:t>
      </w:r>
      <w:proofErr w:type="gramStart"/>
      <w:r w:rsidRPr="00F23F4E">
        <w:rPr>
          <w:rFonts w:ascii="Calibri" w:hAnsi="Calibri" w:cs="Calibri"/>
          <w:sz w:val="24"/>
        </w:rPr>
        <w:t>na  </w:t>
      </w:r>
      <w:r w:rsidRPr="003356ED">
        <w:rPr>
          <w:rFonts w:ascii="Calibri" w:hAnsi="Calibri" w:cs="Calibri"/>
          <w:i/>
          <w:iCs/>
          <w:sz w:val="24"/>
        </w:rPr>
        <w:t>Průmyslovému</w:t>
      </w:r>
      <w:proofErr w:type="gramEnd"/>
      <w:r w:rsidRPr="003356ED">
        <w:rPr>
          <w:rFonts w:ascii="Calibri" w:hAnsi="Calibri" w:cs="Calibri"/>
          <w:i/>
          <w:iCs/>
          <w:sz w:val="24"/>
        </w:rPr>
        <w:t xml:space="preserve"> vlastnictví</w:t>
      </w:r>
      <w:r w:rsidRPr="00F23F4E">
        <w:rPr>
          <w:rFonts w:ascii="Calibri" w:hAnsi="Calibri" w:cs="Calibri"/>
          <w:sz w:val="24"/>
        </w:rPr>
        <w:t>, který je v podílovém spoluvlastnictví Poskytovatele a Nabyvatele, a to v rozsahu a za podmínek stanovených touto Smlouvou.</w:t>
      </w:r>
    </w:p>
    <w:p w14:paraId="46C6D5C2" w14:textId="6CBEFB31" w:rsidR="00F75AE6"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F85082">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48498676" w14:textId="199615AC" w:rsidR="00DD795E" w:rsidRPr="00DD795E" w:rsidRDefault="00DD795E" w:rsidP="00DD795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S ohledem na skutečnost, že Nabyvatel je zároveň spoluvlastníkem Průmyslového vlastnictví, dohodly se smluvní strany na tom, že Poskytovatel je oprávněn Průmyslové vlastnictví užít jen v případě, že mu k tomu bude Nabyvatelem jako spoluvlastníkem udělena licence. </w:t>
      </w:r>
    </w:p>
    <w:p w14:paraId="4022FE8F" w14:textId="1E4CA2F2" w:rsidR="00264073" w:rsidRPr="00F23F4E"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 nekomerční výzkumné a výukové činnosti.</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67E28B83" w14:textId="77777777" w:rsidR="00F85082" w:rsidRDefault="00F85082" w:rsidP="00F85082">
      <w:pPr>
        <w:pStyle w:val="Zkladntextodsazen"/>
        <w:suppressAutoHyphens w:val="0"/>
        <w:ind w:left="357"/>
        <w:jc w:val="both"/>
        <w:rPr>
          <w:rFonts w:ascii="Calibri" w:hAnsi="Calibri" w:cs="Calibri"/>
          <w:sz w:val="24"/>
        </w:rPr>
      </w:pPr>
    </w:p>
    <w:p w14:paraId="4AC3BAB1" w14:textId="4014D374" w:rsidR="00DD795E" w:rsidRPr="00F23F4E" w:rsidRDefault="00DD795E" w:rsidP="00DD795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se dohodly na tom, že odměna za poskytnutí licence se skládá ze </w:t>
      </w:r>
      <w:r w:rsidR="0087310B">
        <w:rPr>
          <w:rFonts w:ascii="Calibri" w:hAnsi="Calibri" w:cs="Calibri"/>
          <w:sz w:val="24"/>
        </w:rPr>
        <w:t>dvou</w:t>
      </w:r>
      <w:r w:rsidRPr="00F23F4E">
        <w:rPr>
          <w:rFonts w:ascii="Calibri" w:hAnsi="Calibri" w:cs="Calibri"/>
          <w:sz w:val="24"/>
        </w:rPr>
        <w:t xml:space="preserve"> částí:</w:t>
      </w:r>
    </w:p>
    <w:p w14:paraId="51DE0339" w14:textId="77777777" w:rsidR="00DD795E" w:rsidRDefault="00DD795E" w:rsidP="00DD795E">
      <w:pPr>
        <w:pStyle w:val="Default"/>
        <w:numPr>
          <w:ilvl w:val="1"/>
          <w:numId w:val="22"/>
        </w:numPr>
        <w:spacing w:line="240" w:lineRule="auto"/>
        <w:jc w:val="both"/>
        <w:rPr>
          <w:rFonts w:ascii="Calibri" w:hAnsi="Calibri" w:cs="Calibri"/>
        </w:rPr>
      </w:pPr>
      <w:r w:rsidRPr="00630D3E">
        <w:rPr>
          <w:rFonts w:ascii="Calibri" w:hAnsi="Calibri" w:cs="Calibri"/>
        </w:rPr>
        <w:t>Z</w:t>
      </w:r>
      <w:r>
        <w:rPr>
          <w:rFonts w:ascii="Calibri" w:hAnsi="Calibri" w:cs="Calibri"/>
        </w:rPr>
        <w:t xml:space="preserve">e základního </w:t>
      </w:r>
      <w:r w:rsidRPr="00630D3E">
        <w:rPr>
          <w:rFonts w:ascii="Calibri" w:hAnsi="Calibri" w:cs="Calibri"/>
        </w:rPr>
        <w:t xml:space="preserve">poplatku </w:t>
      </w:r>
    </w:p>
    <w:p w14:paraId="4D2E8343" w14:textId="77777777" w:rsidR="00DD795E" w:rsidRPr="00651044" w:rsidRDefault="00DD795E" w:rsidP="00DD795E">
      <w:pPr>
        <w:pStyle w:val="Default"/>
        <w:numPr>
          <w:ilvl w:val="1"/>
          <w:numId w:val="22"/>
        </w:numPr>
        <w:spacing w:line="240" w:lineRule="auto"/>
        <w:jc w:val="both"/>
        <w:rPr>
          <w:rFonts w:ascii="Calibri" w:hAnsi="Calibri" w:cs="Calibri"/>
        </w:rPr>
      </w:pPr>
      <w:r w:rsidRPr="00651044">
        <w:rPr>
          <w:rFonts w:ascii="Calibri" w:hAnsi="Calibri" w:cs="Calibri"/>
        </w:rPr>
        <w:t xml:space="preserve">Z odměny odvíjející se od skutečné realizace komerční činnosti založené na zavedení do výroby </w:t>
      </w:r>
      <w:r w:rsidRPr="00651044">
        <w:rPr>
          <w:rFonts w:ascii="Calibri" w:hAnsi="Calibri" w:cs="Calibri"/>
          <w:i/>
          <w:iCs/>
        </w:rPr>
        <w:t>Zařízení</w:t>
      </w:r>
      <w:r w:rsidRPr="00651044">
        <w:rPr>
          <w:rFonts w:ascii="Calibri" w:hAnsi="Calibri" w:cs="Calibri"/>
        </w:rPr>
        <w:t xml:space="preserve"> založeném, byť i jen částečně na předmětném </w:t>
      </w:r>
      <w:r w:rsidRPr="00651044">
        <w:rPr>
          <w:rFonts w:ascii="Calibri" w:hAnsi="Calibri" w:cs="Calibri"/>
          <w:i/>
          <w:iCs/>
        </w:rPr>
        <w:t xml:space="preserve">Průmyslovém vlastnictví, </w:t>
      </w:r>
      <w:r w:rsidRPr="00651044">
        <w:rPr>
          <w:rFonts w:ascii="Calibri" w:hAnsi="Calibri" w:cs="Calibri"/>
        </w:rPr>
        <w:t xml:space="preserve">vypočtené dle přílohy č. 2 této smlouvy. </w:t>
      </w:r>
    </w:p>
    <w:p w14:paraId="0C6E8E37" w14:textId="2A879815" w:rsidR="00DD795E" w:rsidRDefault="00DD795E" w:rsidP="00DD795E">
      <w:pPr>
        <w:pStyle w:val="Default"/>
        <w:numPr>
          <w:ilvl w:val="1"/>
          <w:numId w:val="22"/>
        </w:numPr>
        <w:spacing w:line="240" w:lineRule="auto"/>
        <w:jc w:val="both"/>
        <w:rPr>
          <w:rFonts w:ascii="Calibri" w:hAnsi="Calibri" w:cs="Calibri"/>
        </w:rPr>
      </w:pPr>
      <w:r>
        <w:rPr>
          <w:rFonts w:ascii="Calibri" w:hAnsi="Calibri" w:cs="Calibri"/>
        </w:rPr>
        <w:t>Všechny</w:t>
      </w:r>
      <w:r w:rsidRPr="00630D3E">
        <w:rPr>
          <w:rFonts w:ascii="Calibri" w:hAnsi="Calibri" w:cs="Calibri"/>
        </w:rPr>
        <w:t xml:space="preserve"> části</w:t>
      </w:r>
      <w:r>
        <w:rPr>
          <w:rFonts w:ascii="Calibri" w:hAnsi="Calibri" w:cs="Calibri"/>
        </w:rPr>
        <w:t xml:space="preserve"> této odměny za poskytnutí licence se </w:t>
      </w:r>
      <w:r w:rsidRPr="00630D3E">
        <w:rPr>
          <w:rFonts w:ascii="Calibri" w:hAnsi="Calibri" w:cs="Calibri"/>
        </w:rPr>
        <w:t xml:space="preserve">dále v tomto dokumentu nazývají </w:t>
      </w:r>
      <w:r w:rsidRPr="00DD795E">
        <w:rPr>
          <w:rFonts w:ascii="Calibri" w:hAnsi="Calibri" w:cs="Calibri"/>
        </w:rPr>
        <w:t>Odměna</w:t>
      </w:r>
    </w:p>
    <w:p w14:paraId="19A711C1" w14:textId="77777777" w:rsidR="00DD795E" w:rsidRDefault="00DD795E" w:rsidP="00DD795E">
      <w:pPr>
        <w:pStyle w:val="Default"/>
        <w:spacing w:line="240" w:lineRule="auto"/>
        <w:ind w:left="1080"/>
        <w:jc w:val="both"/>
        <w:rPr>
          <w:rFonts w:ascii="Calibri" w:hAnsi="Calibri" w:cs="Calibri"/>
        </w:rPr>
      </w:pPr>
    </w:p>
    <w:p w14:paraId="5CADFC39" w14:textId="0F5EEA76" w:rsidR="00DD795E" w:rsidRPr="00DD795E" w:rsidRDefault="00DD795E" w:rsidP="00DD795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Celková výše Odměny dle </w:t>
      </w:r>
      <w:proofErr w:type="spellStart"/>
      <w:r w:rsidRPr="00F23F4E">
        <w:rPr>
          <w:rFonts w:ascii="Calibri" w:hAnsi="Calibri" w:cs="Calibri"/>
          <w:sz w:val="24"/>
        </w:rPr>
        <w:t>čl</w:t>
      </w:r>
      <w:proofErr w:type="spellEnd"/>
      <w:r w:rsidRPr="00F23F4E">
        <w:rPr>
          <w:rFonts w:ascii="Calibri" w:hAnsi="Calibri" w:cs="Calibri"/>
          <w:sz w:val="24"/>
        </w:rPr>
        <w:t xml:space="preserve"> II. </w:t>
      </w:r>
      <w:proofErr w:type="spellStart"/>
      <w:r w:rsidRPr="00F23F4E">
        <w:rPr>
          <w:rFonts w:ascii="Calibri" w:hAnsi="Calibri" w:cs="Calibri"/>
          <w:sz w:val="24"/>
        </w:rPr>
        <w:t>odst</w:t>
      </w:r>
      <w:proofErr w:type="spellEnd"/>
      <w:r w:rsidRPr="00F23F4E">
        <w:rPr>
          <w:rFonts w:ascii="Calibri" w:hAnsi="Calibri" w:cs="Calibri"/>
          <w:sz w:val="24"/>
        </w:rPr>
        <w:t xml:space="preserve"> 1. a) je </w:t>
      </w:r>
      <w:r w:rsidR="00861ED8">
        <w:rPr>
          <w:rFonts w:ascii="Calibri" w:hAnsi="Calibri" w:cs="Calibri"/>
          <w:sz w:val="24"/>
        </w:rPr>
        <w:t>50</w:t>
      </w:r>
      <w:r>
        <w:rPr>
          <w:rFonts w:ascii="Calibri" w:hAnsi="Calibri" w:cs="Calibri"/>
          <w:sz w:val="24"/>
        </w:rPr>
        <w:t xml:space="preserve"> 000</w:t>
      </w:r>
      <w:r w:rsidRPr="00DD795E">
        <w:rPr>
          <w:rFonts w:ascii="Calibri" w:hAnsi="Calibri" w:cs="Calibri"/>
          <w:sz w:val="24"/>
        </w:rPr>
        <w:t xml:space="preserve"> Kč bez DPH</w:t>
      </w:r>
      <w:r w:rsidRPr="00F23F4E">
        <w:rPr>
          <w:rFonts w:ascii="Calibri" w:hAnsi="Calibri" w:cs="Calibri"/>
          <w:sz w:val="24"/>
        </w:rPr>
        <w:t xml:space="preserve"> (slovy </w:t>
      </w:r>
      <w:r w:rsidR="00861ED8">
        <w:rPr>
          <w:rFonts w:ascii="Calibri" w:hAnsi="Calibri" w:cs="Calibri"/>
          <w:sz w:val="24"/>
        </w:rPr>
        <w:t>padesát</w:t>
      </w:r>
      <w:r>
        <w:rPr>
          <w:rFonts w:ascii="Calibri" w:hAnsi="Calibri" w:cs="Calibri"/>
          <w:sz w:val="24"/>
        </w:rPr>
        <w:t xml:space="preserve"> tisíc korun českých</w:t>
      </w:r>
      <w:r w:rsidRPr="00F23F4E">
        <w:rPr>
          <w:rFonts w:ascii="Calibri" w:hAnsi="Calibri" w:cs="Calibri"/>
          <w:sz w:val="24"/>
        </w:rPr>
        <w:t xml:space="preserve">). </w:t>
      </w:r>
      <w:r>
        <w:rPr>
          <w:rFonts w:ascii="Calibri" w:hAnsi="Calibri" w:cs="Calibri"/>
          <w:sz w:val="24"/>
        </w:rPr>
        <w:t>K částce bude přičteno DPH v zákonné výši</w:t>
      </w:r>
    </w:p>
    <w:p w14:paraId="3D9FFAD2" w14:textId="77777777" w:rsidR="00DD795E" w:rsidRPr="00630D3E" w:rsidRDefault="00DD795E" w:rsidP="00DD795E">
      <w:pPr>
        <w:pStyle w:val="Default"/>
        <w:spacing w:line="240" w:lineRule="auto"/>
        <w:ind w:left="1080"/>
        <w:jc w:val="both"/>
        <w:rPr>
          <w:rFonts w:ascii="Calibri" w:hAnsi="Calibri" w:cs="Calibri"/>
        </w:rPr>
      </w:pPr>
    </w:p>
    <w:p w14:paraId="041B7846" w14:textId="5D70F219" w:rsidR="00F400A3"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00DC4688" w:rsidRPr="003356ED">
        <w:rPr>
          <w:rFonts w:ascii="Calibri" w:hAnsi="Calibri" w:cs="Calibri"/>
          <w:i/>
          <w:iCs/>
          <w:sz w:val="24"/>
        </w:rPr>
        <w:t>Průmyslového vlastnictví</w:t>
      </w:r>
      <w:r w:rsidRPr="00F23F4E">
        <w:rPr>
          <w:rFonts w:ascii="Calibri" w:hAnsi="Calibri" w:cs="Calibri"/>
          <w:sz w:val="24"/>
        </w:rPr>
        <w:t>) či jiná plnění ze strany Nabyvatele.</w:t>
      </w:r>
    </w:p>
    <w:p w14:paraId="48260B5B" w14:textId="77777777" w:rsidR="00DD795E" w:rsidRDefault="00DD795E" w:rsidP="00DD795E">
      <w:pPr>
        <w:pStyle w:val="Zkladntextodsazen"/>
        <w:suppressAutoHyphens w:val="0"/>
        <w:jc w:val="both"/>
        <w:rPr>
          <w:rFonts w:ascii="Calibri" w:hAnsi="Calibri" w:cs="Calibri"/>
          <w:sz w:val="24"/>
        </w:rPr>
      </w:pPr>
    </w:p>
    <w:p w14:paraId="539E5371" w14:textId="77777777" w:rsidR="00DD795E" w:rsidRPr="00F23F4E" w:rsidRDefault="00DD795E" w:rsidP="00DD795E">
      <w:pPr>
        <w:pStyle w:val="Zkladntextodsazen"/>
        <w:suppressAutoHyphens w:val="0"/>
        <w:jc w:val="both"/>
        <w:rPr>
          <w:rFonts w:ascii="Calibri" w:hAnsi="Calibri" w:cs="Calibri"/>
          <w:sz w:val="24"/>
        </w:rPr>
      </w:pPr>
    </w:p>
    <w:p w14:paraId="651F3409" w14:textId="77777777" w:rsidR="00DC4688" w:rsidRPr="00630D3E" w:rsidRDefault="00DC4688"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Předání know-how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52CD9350" w14:textId="116F12AA" w:rsidR="00F75AE6" w:rsidRPr="00C11E23"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C11E23">
        <w:rPr>
          <w:rFonts w:ascii="Calibri" w:hAnsi="Calibri" w:cs="Calibri"/>
          <w:sz w:val="24"/>
        </w:rPr>
        <w:t xml:space="preserve">Smluvní strany prohlašují, že </w:t>
      </w:r>
      <w:r w:rsidRPr="00C11E23">
        <w:rPr>
          <w:rFonts w:ascii="Calibri" w:hAnsi="Calibri" w:cs="Calibri"/>
          <w:i/>
          <w:iCs/>
          <w:sz w:val="24"/>
        </w:rPr>
        <w:t>Průmyslové vlastnictví</w:t>
      </w:r>
      <w:r w:rsidRPr="00C11E23">
        <w:rPr>
          <w:rFonts w:ascii="Calibri" w:hAnsi="Calibri" w:cs="Calibri"/>
          <w:sz w:val="24"/>
        </w:rPr>
        <w:t>, b</w:t>
      </w:r>
      <w:r w:rsidR="00A77B2F" w:rsidRPr="00C11E23">
        <w:rPr>
          <w:rFonts w:ascii="Calibri" w:hAnsi="Calibri" w:cs="Calibri"/>
          <w:sz w:val="24"/>
        </w:rPr>
        <w:t>ude</w:t>
      </w:r>
      <w:r w:rsidRPr="00C11E23">
        <w:rPr>
          <w:rFonts w:ascii="Calibri" w:hAnsi="Calibri" w:cs="Calibri"/>
          <w:sz w:val="24"/>
        </w:rPr>
        <w:t xml:space="preserve"> Poskytovatelem Nabyvateli předán</w:t>
      </w:r>
      <w:r w:rsidR="00DC4688" w:rsidRPr="00C11E23">
        <w:rPr>
          <w:rFonts w:ascii="Calibri" w:hAnsi="Calibri" w:cs="Calibri"/>
          <w:sz w:val="24"/>
        </w:rPr>
        <w:t>o</w:t>
      </w:r>
      <w:r w:rsidRPr="00C11E23">
        <w:rPr>
          <w:rFonts w:ascii="Calibri" w:hAnsi="Calibri" w:cs="Calibri"/>
          <w:sz w:val="24"/>
        </w:rPr>
        <w:t xml:space="preserve"> </w:t>
      </w:r>
      <w:r w:rsidR="00A77B2F" w:rsidRPr="00C11E23">
        <w:rPr>
          <w:rFonts w:ascii="Calibri" w:hAnsi="Calibri" w:cs="Calibri"/>
          <w:sz w:val="24"/>
        </w:rPr>
        <w:t>nejpozději k</w:t>
      </w:r>
      <w:r w:rsidR="00C11E23" w:rsidRPr="00C11E23">
        <w:rPr>
          <w:rFonts w:ascii="Calibri" w:hAnsi="Calibri" w:cs="Calibri"/>
          <w:sz w:val="24"/>
        </w:rPr>
        <w:t> datu podpisu této smlouvy</w:t>
      </w:r>
      <w:r w:rsidR="00A77B2F" w:rsidRPr="00C11E23">
        <w:rPr>
          <w:rFonts w:ascii="Calibri" w:hAnsi="Calibri" w:cs="Calibri"/>
          <w:sz w:val="24"/>
        </w:rPr>
        <w:t>.</w:t>
      </w:r>
      <w:r w:rsidRPr="00C11E23">
        <w:rPr>
          <w:rFonts w:ascii="Calibri" w:hAnsi="Calibri" w:cs="Calibri"/>
          <w:sz w:val="24"/>
        </w:rPr>
        <w:t xml:space="preserve"> </w:t>
      </w:r>
    </w:p>
    <w:p w14:paraId="0EEAA57A" w14:textId="7A529351"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 vlastnictví</w:t>
      </w:r>
      <w:r w:rsidRPr="00F23F4E">
        <w:rPr>
          <w:rFonts w:ascii="Calibri" w:hAnsi="Calibri" w:cs="Calibri"/>
          <w:sz w:val="24"/>
        </w:rPr>
        <w:t xml:space="preserve"> přechází na Nabyvatele v okamžiku podpisu </w:t>
      </w:r>
      <w:r w:rsidR="00A77B2F" w:rsidRPr="00F23F4E">
        <w:rPr>
          <w:rFonts w:ascii="Calibri" w:hAnsi="Calibri" w:cs="Calibri"/>
          <w:sz w:val="24"/>
        </w:rPr>
        <w:t>předávacího protokolu</w:t>
      </w:r>
      <w:r w:rsidRPr="00F23F4E">
        <w:rPr>
          <w:rFonts w:ascii="Calibri" w:hAnsi="Calibri" w:cs="Calibri"/>
          <w:sz w:val="24"/>
        </w:rPr>
        <w:t xml:space="preserve"> </w:t>
      </w:r>
      <w:r w:rsidR="00DC4688" w:rsidRPr="00F23F4E">
        <w:rPr>
          <w:rFonts w:ascii="Calibri" w:hAnsi="Calibri" w:cs="Calibri"/>
          <w:sz w:val="24"/>
        </w:rPr>
        <w:t xml:space="preserve">o předání </w:t>
      </w:r>
      <w:r w:rsidR="00DC4688" w:rsidRPr="00E0797C">
        <w:rPr>
          <w:rFonts w:ascii="Calibri" w:hAnsi="Calibri" w:cs="Calibri"/>
          <w:i/>
          <w:iCs/>
          <w:sz w:val="24"/>
        </w:rPr>
        <w:t>Průmyslového vlastnictví</w:t>
      </w:r>
      <w:r w:rsidR="00DC4688" w:rsidRPr="00F23F4E">
        <w:rPr>
          <w:rFonts w:ascii="Calibri" w:hAnsi="Calibri" w:cs="Calibri"/>
          <w:sz w:val="24"/>
        </w:rPr>
        <w:t xml:space="preserve"> </w:t>
      </w:r>
      <w:r w:rsidRPr="00F23F4E">
        <w:rPr>
          <w:rFonts w:ascii="Calibri" w:hAnsi="Calibri" w:cs="Calibri"/>
          <w:sz w:val="24"/>
        </w:rPr>
        <w:t>oběma smluvními stranami. Vůči třetím osobám je účinná zápisem licence do příslušného veřejného seznamu. Žádost o registraci licence bude Poskytovatelem podán</w:t>
      </w:r>
      <w:r w:rsidR="00A77B2F" w:rsidRPr="00F23F4E">
        <w:rPr>
          <w:rFonts w:ascii="Calibri" w:hAnsi="Calibri" w:cs="Calibri"/>
          <w:sz w:val="24"/>
        </w:rPr>
        <w:t>a</w:t>
      </w:r>
      <w:r w:rsidRPr="00F23F4E">
        <w:rPr>
          <w:rFonts w:ascii="Calibri" w:hAnsi="Calibri" w:cs="Calibri"/>
          <w:sz w:val="24"/>
        </w:rPr>
        <w:t xml:space="preserve"> nejpozději do </w:t>
      </w:r>
      <w:proofErr w:type="gramStart"/>
      <w:r w:rsidRPr="00F23F4E">
        <w:rPr>
          <w:rFonts w:ascii="Calibri" w:hAnsi="Calibri" w:cs="Calibri"/>
          <w:sz w:val="24"/>
        </w:rPr>
        <w:t>14ti</w:t>
      </w:r>
      <w:proofErr w:type="gramEnd"/>
      <w:r w:rsidRPr="00F23F4E">
        <w:rPr>
          <w:rFonts w:ascii="Calibri" w:hAnsi="Calibri" w:cs="Calibri"/>
          <w:sz w:val="24"/>
        </w:rPr>
        <w:t xml:space="preserve"> dnů </w:t>
      </w:r>
      <w:r w:rsidR="00A77B2F" w:rsidRPr="00F23F4E">
        <w:rPr>
          <w:rFonts w:ascii="Calibri" w:hAnsi="Calibri" w:cs="Calibri"/>
          <w:sz w:val="24"/>
        </w:rPr>
        <w:t>po podpisu předávacího protokolu.</w:t>
      </w:r>
    </w:p>
    <w:p w14:paraId="1EB1FDA4" w14:textId="3FDC7915"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sidR="00C11E23">
        <w:rPr>
          <w:rFonts w:ascii="Calibri" w:hAnsi="Calibri" w:cs="Calibri"/>
          <w:sz w:val="24"/>
        </w:rPr>
        <w:t>ne</w:t>
      </w:r>
      <w:r w:rsidRPr="00F23F4E">
        <w:rPr>
          <w:rFonts w:ascii="Calibri" w:hAnsi="Calibri" w:cs="Calibri"/>
          <w:sz w:val="24"/>
        </w:rPr>
        <w:t xml:space="preserve">výhradní, </w:t>
      </w:r>
      <w:r w:rsidR="00F400A3" w:rsidRPr="00F23F4E">
        <w:rPr>
          <w:rFonts w:ascii="Calibri" w:hAnsi="Calibri" w:cs="Calibri"/>
          <w:sz w:val="24"/>
        </w:rPr>
        <w:t>bez územního omezení.</w:t>
      </w:r>
    </w:p>
    <w:p w14:paraId="108473A4" w14:textId="72BA98F4" w:rsidR="00F400A3" w:rsidRPr="00F23F4E" w:rsidRDefault="00C11E23" w:rsidP="00F23F4E">
      <w:pPr>
        <w:pStyle w:val="Zkladntextodsazen"/>
        <w:numPr>
          <w:ilvl w:val="0"/>
          <w:numId w:val="32"/>
        </w:numPr>
        <w:tabs>
          <w:tab w:val="num" w:pos="360"/>
        </w:tabs>
        <w:suppressAutoHyphens w:val="0"/>
        <w:ind w:left="357" w:hanging="357"/>
        <w:jc w:val="both"/>
        <w:rPr>
          <w:rFonts w:ascii="Calibri" w:hAnsi="Calibri" w:cs="Calibri"/>
          <w:sz w:val="24"/>
        </w:rPr>
      </w:pPr>
      <w:r>
        <w:rPr>
          <w:rFonts w:ascii="Calibri" w:hAnsi="Calibri" w:cs="Calibri"/>
          <w:sz w:val="24"/>
        </w:rPr>
        <w:t xml:space="preserve">Pro odstranění jakékoliv pochybnosti se smluvní strany dohodly, že </w:t>
      </w:r>
      <w:r w:rsidRPr="00C11E23">
        <w:rPr>
          <w:rFonts w:ascii="Calibri" w:hAnsi="Calibri" w:cs="Calibri"/>
          <w:sz w:val="24"/>
        </w:rPr>
        <w:t>Poskytovatel je oprávněn po dobu účinnosti této Smlouvy poskytnout třetí osobě jakékoliv oprávnění či licenci k </w:t>
      </w:r>
      <w:r w:rsidRPr="00C11E23">
        <w:rPr>
          <w:rFonts w:ascii="Calibri" w:hAnsi="Calibri" w:cs="Calibri"/>
          <w:i/>
          <w:iCs/>
          <w:sz w:val="24"/>
        </w:rPr>
        <w:t>Průmyslovému vlastnictví</w:t>
      </w:r>
      <w:r w:rsidRPr="00C11E23">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57B3CEA9" w14:textId="6EB1B193" w:rsidR="00F75AE6" w:rsidRPr="00C11E23" w:rsidRDefault="00C11E23" w:rsidP="00C11E23">
      <w:pPr>
        <w:pStyle w:val="Zkladntextodsazen"/>
        <w:numPr>
          <w:ilvl w:val="0"/>
          <w:numId w:val="32"/>
        </w:numPr>
        <w:tabs>
          <w:tab w:val="num" w:pos="360"/>
        </w:tabs>
        <w:suppressAutoHyphens w:val="0"/>
        <w:ind w:left="357" w:hanging="357"/>
        <w:jc w:val="both"/>
        <w:rPr>
          <w:rFonts w:ascii="Calibri" w:hAnsi="Calibri" w:cs="Calibri"/>
          <w:sz w:val="24"/>
        </w:rPr>
      </w:pPr>
      <w:r w:rsidRPr="00C11E23">
        <w:rPr>
          <w:rFonts w:ascii="Calibri" w:hAnsi="Calibri" w:cs="Calibri"/>
          <w:sz w:val="24"/>
        </w:rPr>
        <w:t>Smluvní strany se dohodly, že Nabyvatel není oprávněn poskytnout podlicenci třetí osobě.</w:t>
      </w:r>
    </w:p>
    <w:p w14:paraId="03A0F608" w14:textId="77777777" w:rsidR="00C11E23" w:rsidRPr="00630D3E" w:rsidRDefault="00C11E23" w:rsidP="00F75AE6">
      <w:pPr>
        <w:pStyle w:val="Default"/>
        <w:spacing w:line="240" w:lineRule="auto"/>
        <w:jc w:val="center"/>
        <w:rPr>
          <w:rFonts w:ascii="Calibri" w:hAnsi="Calibri" w:cs="Calibri"/>
          <w:b/>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Smluvní strany se zavazují, že veškeré skutečnosti spadající do oblasti obchodního tajemství a důvěrné informace nebudou dále rozšiřovat nebo reprodukovat a nezpřístupní je třetí straně. Současně se zavazují, že </w:t>
      </w:r>
      <w:proofErr w:type="gramStart"/>
      <w:r w:rsidRPr="00630D3E">
        <w:rPr>
          <w:rFonts w:ascii="Calibri" w:hAnsi="Calibri" w:cs="Calibri"/>
          <w:sz w:val="24"/>
        </w:rPr>
        <w:t>zabezpečí</w:t>
      </w:r>
      <w:proofErr w:type="gramEnd"/>
      <w:r w:rsidRPr="00630D3E">
        <w:rPr>
          <w:rFonts w:ascii="Calibri" w:hAnsi="Calibri" w:cs="Calibri"/>
          <w:sz w:val="24"/>
        </w:rPr>
        <w:t>,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lastRenderedPageBreak/>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týkajícího se předmětu licence.</w:t>
      </w:r>
    </w:p>
    <w:p w14:paraId="64410C55" w14:textId="77777777"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Obchodní tajemství a důvěrné informace ve smyslu příslušných ustanovení zákona č. 89/2012 Sb., občanský zákoník touto smlouvou chráněné </w:t>
      </w:r>
      <w:proofErr w:type="gramStart"/>
      <w:r w:rsidRPr="00630D3E">
        <w:rPr>
          <w:rFonts w:ascii="Calibri" w:hAnsi="Calibri" w:cs="Calibri"/>
          <w:sz w:val="24"/>
        </w:rPr>
        <w:t>tvoří</w:t>
      </w:r>
      <w:proofErr w:type="gramEnd"/>
      <w:r w:rsidRPr="00630D3E">
        <w:rPr>
          <w:rFonts w:ascii="Calibri" w:hAnsi="Calibri" w:cs="Calibri"/>
          <w:sz w:val="24"/>
        </w:rPr>
        <w:t xml:space="preserve">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69436B1C" w14:textId="77777777" w:rsidR="00C11E23" w:rsidRDefault="00C11E23" w:rsidP="00F23F4E">
      <w:pPr>
        <w:pStyle w:val="Zkladntextodsazen"/>
        <w:numPr>
          <w:ilvl w:val="0"/>
          <w:numId w:val="30"/>
        </w:numPr>
        <w:suppressAutoHyphens w:val="0"/>
        <w:ind w:left="357" w:hanging="357"/>
        <w:jc w:val="both"/>
        <w:rPr>
          <w:rFonts w:ascii="Calibri" w:hAnsi="Calibri" w:cs="Calibri"/>
          <w:sz w:val="24"/>
        </w:rPr>
      </w:pPr>
      <w:r w:rsidRPr="00C11E23">
        <w:rPr>
          <w:rFonts w:ascii="Calibri" w:hAnsi="Calibri" w:cs="Calibri"/>
          <w:sz w:val="24"/>
        </w:rPr>
        <w:t xml:space="preserve">V případě, že Nabyvatel potřebuje poskytnout dokumentaci licencovaného </w:t>
      </w:r>
      <w:r w:rsidRPr="00C11E23">
        <w:rPr>
          <w:rFonts w:ascii="Calibri" w:hAnsi="Calibri" w:cs="Calibri"/>
          <w:i/>
          <w:iCs/>
          <w:sz w:val="24"/>
        </w:rPr>
        <w:t>Průmyslového vlastnictví</w:t>
      </w:r>
      <w:r w:rsidRPr="00C11E23">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Zároveň musí ještě před poskytnutím dokumentace oznámit takovéto poskytnutí dokumentace nebo její části subdodavatelům či obchodním partnerům Poskytovateli. Dále je Nabyvatel povinen předložit Poskytovateli smlouvu zavazující subdodavatele nebo obchodního partnera k mlčenlivosti a tuto smlouvu se subdodavatelem či obchodním partnerem uzavřít. V této smlouvě musí být mimo povinnosti mlčenlivosti i odstavec zmiňující původ předávaného duševního vlastnictví. </w:t>
      </w:r>
    </w:p>
    <w:p w14:paraId="29CFEED7" w14:textId="68C85A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Porušení povinností Nabyvatele dle předchozího odstavce je smluvními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lastRenderedPageBreak/>
        <w:t>mohou být zveřejněny bez porušení této smlouvy;</w:t>
      </w:r>
    </w:p>
    <w:p w14:paraId="2B31B77D"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D59139F" w14:textId="77777777"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D52931A"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02253B44"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Pr>
          <w:rFonts w:ascii="Calibri" w:hAnsi="Calibri" w:cs="Calibri"/>
          <w:sz w:val="24"/>
        </w:rPr>
        <w:t xml:space="preserve">Tento článek neplatí pro vlastní </w:t>
      </w:r>
      <w:r w:rsidR="00F23F4E" w:rsidRPr="00F23F4E">
        <w:rPr>
          <w:rFonts w:ascii="Calibri" w:hAnsi="Calibri" w:cs="Calibri"/>
          <w:i/>
          <w:iCs/>
          <w:sz w:val="24"/>
        </w:rPr>
        <w:t>Průmyslové vlastnictví</w:t>
      </w:r>
      <w:r w:rsidR="00F23F4E" w:rsidRPr="00F23F4E">
        <w:rPr>
          <w:rFonts w:ascii="Calibri" w:hAnsi="Calibri" w:cs="Calibri"/>
          <w:sz w:val="24"/>
        </w:rPr>
        <w:t xml:space="preserve"> uvedené </w:t>
      </w:r>
      <w:r w:rsidR="00C11E23">
        <w:rPr>
          <w:rFonts w:ascii="Calibri" w:hAnsi="Calibri" w:cs="Calibri"/>
          <w:sz w:val="24"/>
        </w:rPr>
        <w:t>v článku I této smlouvy.</w:t>
      </w:r>
    </w:p>
    <w:p w14:paraId="463BA2EA" w14:textId="1FE9987A" w:rsidR="00F75AE6" w:rsidRPr="00C11E23" w:rsidRDefault="00F75AE6" w:rsidP="00F23F4E">
      <w:pPr>
        <w:pStyle w:val="Zkladntextodsazen"/>
        <w:numPr>
          <w:ilvl w:val="0"/>
          <w:numId w:val="30"/>
        </w:numPr>
        <w:suppressAutoHyphens w:val="0"/>
        <w:ind w:left="357" w:hanging="357"/>
        <w:jc w:val="both"/>
        <w:rPr>
          <w:rFonts w:ascii="Calibri" w:hAnsi="Calibri" w:cs="Calibri"/>
          <w:sz w:val="24"/>
        </w:rPr>
      </w:pPr>
      <w:r w:rsidRPr="00C11E23">
        <w:rPr>
          <w:rFonts w:ascii="Calibri" w:hAnsi="Calibri" w:cs="Calibri"/>
          <w:sz w:val="24"/>
        </w:rPr>
        <w:t xml:space="preserve">V případě porušení mlčenlivosti si smluvní strany sjednávají výši pokuty </w:t>
      </w:r>
      <w:r w:rsidR="00A77B2F" w:rsidRPr="00C11E23">
        <w:rPr>
          <w:rFonts w:ascii="Calibri" w:hAnsi="Calibri" w:cs="Calibri"/>
          <w:sz w:val="24"/>
        </w:rPr>
        <w:t>50 000</w:t>
      </w:r>
      <w:r w:rsidRPr="00C11E23">
        <w:rPr>
          <w:rFonts w:ascii="Calibri" w:hAnsi="Calibri" w:cs="Calibri"/>
          <w:sz w:val="24"/>
        </w:rPr>
        <w:t xml:space="preserve"> Kč (slovy </w:t>
      </w:r>
      <w:r w:rsidR="00A77B2F" w:rsidRPr="00C11E23">
        <w:rPr>
          <w:rFonts w:ascii="Calibri" w:hAnsi="Calibri" w:cs="Calibri"/>
          <w:sz w:val="24"/>
        </w:rPr>
        <w:t xml:space="preserve">padesát tisíc </w:t>
      </w:r>
      <w:r w:rsidRPr="00C11E23">
        <w:rPr>
          <w:rFonts w:ascii="Calibri" w:hAnsi="Calibri" w:cs="Calibri"/>
          <w:sz w:val="24"/>
        </w:rPr>
        <w:t xml:space="preserve">korun českých) za každé jednotlivé porušení. Zaplacením smluvní pokuty nezaniká právo </w:t>
      </w:r>
      <w:r w:rsidR="00F23F4E" w:rsidRPr="00C11E23">
        <w:rPr>
          <w:rFonts w:ascii="Calibri" w:hAnsi="Calibri" w:cs="Calibri"/>
          <w:sz w:val="24"/>
        </w:rPr>
        <w:t>druhé smluvní strany</w:t>
      </w:r>
      <w:r w:rsidRPr="00C11E23">
        <w:rPr>
          <w:rFonts w:ascii="Calibri" w:hAnsi="Calibri" w:cs="Calibri"/>
          <w:sz w:val="24"/>
        </w:rPr>
        <w:t xml:space="preserve"> na náhradu škody.</w:t>
      </w:r>
    </w:p>
    <w:p w14:paraId="5CAAF7D4" w14:textId="77777777" w:rsidR="00A77B2F" w:rsidRPr="00630D3E" w:rsidRDefault="00A77B2F"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w:t>
      </w:r>
    </w:p>
    <w:p w14:paraId="4DF93918"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Platnost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223FEE4D" w14:textId="0E33800A"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Tato smlouva je uzavřena na dobu </w:t>
      </w:r>
      <w:r w:rsidR="00A77B2F" w:rsidRPr="00F23F4E">
        <w:rPr>
          <w:rFonts w:ascii="Calibri" w:hAnsi="Calibri" w:cs="Calibri"/>
          <w:sz w:val="24"/>
        </w:rPr>
        <w:t>určitou</w:t>
      </w:r>
      <w:r w:rsidR="00C11E23">
        <w:rPr>
          <w:rFonts w:ascii="Calibri" w:hAnsi="Calibri" w:cs="Calibri"/>
          <w:sz w:val="24"/>
        </w:rPr>
        <w:t>, a to do 31.12.20</w:t>
      </w:r>
      <w:r w:rsidR="00E23F22">
        <w:rPr>
          <w:rFonts w:ascii="Calibri" w:hAnsi="Calibri" w:cs="Calibri"/>
          <w:sz w:val="24"/>
        </w:rPr>
        <w:t>29</w:t>
      </w:r>
      <w:r w:rsidRPr="00F23F4E">
        <w:rPr>
          <w:rFonts w:ascii="Calibri" w:hAnsi="Calibri" w:cs="Calibri"/>
          <w:sz w:val="24"/>
        </w:rPr>
        <w:t>.</w:t>
      </w:r>
    </w:p>
    <w:p w14:paraId="65ADCB25" w14:textId="422D1F4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Smlouvu lze dále ukončit vzájemnou dohodou obou smluvních stran, nebo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75C7BE33" w14:textId="2C7638DC"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28113811" w:rsidR="00F75AE6"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5238A064" w14:textId="77777777" w:rsidR="00DD795E" w:rsidRDefault="00DD795E" w:rsidP="00DD795E">
      <w:pPr>
        <w:pStyle w:val="Zkladntextodsazen"/>
        <w:suppressAutoHyphens w:val="0"/>
        <w:ind w:left="357"/>
        <w:jc w:val="both"/>
        <w:rPr>
          <w:rFonts w:ascii="Calibri" w:hAnsi="Calibri" w:cs="Calibri"/>
          <w:sz w:val="24"/>
        </w:rPr>
      </w:pPr>
    </w:p>
    <w:p w14:paraId="54A608FB" w14:textId="77777777" w:rsidR="00DD795E" w:rsidRPr="00F23F4E" w:rsidRDefault="00DD795E" w:rsidP="00DD795E">
      <w:pPr>
        <w:pStyle w:val="Zkladntextodsazen"/>
        <w:suppressAutoHyphens w:val="0"/>
        <w:ind w:left="357"/>
        <w:jc w:val="both"/>
        <w:rPr>
          <w:rFonts w:ascii="Calibri" w:hAnsi="Calibri" w:cs="Calibri"/>
          <w:sz w:val="24"/>
        </w:rPr>
      </w:pP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lastRenderedPageBreak/>
        <w:t>Podstatným porušením smlouvy ze strany Nabyvatele je zejména:</w:t>
      </w:r>
    </w:p>
    <w:p w14:paraId="4A1C0CDA" w14:textId="13D9A682"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Odměny delší než 2 měsíce;</w:t>
      </w:r>
    </w:p>
    <w:p w14:paraId="5724D52B" w14:textId="77777777" w:rsidR="00F75AE6"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porušení povinnosti mlčenlivosti dle čl. IV této smlouvy;</w:t>
      </w:r>
    </w:p>
    <w:p w14:paraId="5BA7FC5D" w14:textId="77777777" w:rsidR="00C11E23" w:rsidRPr="00630D3E" w:rsidRDefault="00C11E23" w:rsidP="00C11E23">
      <w:pPr>
        <w:pStyle w:val="Stednmka1zvraznn21"/>
        <w:spacing w:after="0" w:line="240" w:lineRule="auto"/>
        <w:ind w:left="1080"/>
        <w:jc w:val="both"/>
        <w:rPr>
          <w:rFonts w:cs="Calibri"/>
          <w:sz w:val="24"/>
          <w:szCs w:val="24"/>
        </w:rPr>
      </w:pPr>
    </w:p>
    <w:p w14:paraId="5965DA6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283B7F70" w14:textId="6724F50A" w:rsidR="00F75AE6" w:rsidRPr="00630D3E" w:rsidRDefault="00F75AE6" w:rsidP="003356ED">
      <w:pPr>
        <w:pStyle w:val="Stednmka1zvraznn21"/>
        <w:numPr>
          <w:ilvl w:val="1"/>
          <w:numId w:val="36"/>
        </w:numPr>
        <w:spacing w:after="0" w:line="240" w:lineRule="auto"/>
        <w:jc w:val="both"/>
        <w:rPr>
          <w:rFonts w:cs="Calibri"/>
          <w:sz w:val="24"/>
          <w:szCs w:val="24"/>
        </w:rPr>
      </w:pPr>
      <w:r w:rsidRPr="00630D3E">
        <w:rPr>
          <w:rFonts w:cs="Calibri"/>
          <w:sz w:val="24"/>
          <w:szCs w:val="24"/>
        </w:rPr>
        <w:t>porušení povinnosti mlčenlivosti dle čl. IV této smlouvy.</w:t>
      </w:r>
    </w:p>
    <w:p w14:paraId="0D94AE74" w14:textId="5919033F" w:rsidR="00F75AE6" w:rsidRDefault="003356ED" w:rsidP="003356ED">
      <w:pPr>
        <w:pStyle w:val="Stednmka1zvraznn21"/>
        <w:numPr>
          <w:ilvl w:val="1"/>
          <w:numId w:val="36"/>
        </w:numPr>
        <w:spacing w:after="0" w:line="240" w:lineRule="auto"/>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7EDB10C8" w14:textId="77777777" w:rsidR="00F75AE6" w:rsidRPr="00630D3E" w:rsidRDefault="00F75AE6" w:rsidP="00F75AE6">
      <w:pPr>
        <w:pStyle w:val="Stednmka1zvraznn21"/>
        <w:spacing w:after="0" w:line="240" w:lineRule="auto"/>
        <w:ind w:left="360"/>
        <w:jc w:val="both"/>
        <w:rPr>
          <w:rFonts w:cs="Calibri"/>
          <w:sz w:val="24"/>
          <w:szCs w:val="24"/>
        </w:rPr>
      </w:pP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52D5B8E8"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w:t>
      </w:r>
      <w:proofErr w:type="gramStart"/>
      <w:r w:rsidRPr="00F23F4E">
        <w:rPr>
          <w:rFonts w:ascii="Calibri" w:hAnsi="Calibri" w:cs="Calibri"/>
          <w:sz w:val="24"/>
        </w:rPr>
        <w:t>0,05%</w:t>
      </w:r>
      <w:proofErr w:type="gramEnd"/>
      <w:r w:rsidRPr="00F23F4E">
        <w:rPr>
          <w:rFonts w:ascii="Calibri" w:hAnsi="Calibri" w:cs="Calibri"/>
          <w:sz w:val="24"/>
        </w:rPr>
        <w:t xml:space="preserve"> z dlužné částky za každý den prodlení až do úplného zaplacení dlužné částky. </w:t>
      </w:r>
    </w:p>
    <w:p w14:paraId="1A7E2498" w14:textId="77777777"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pokuta je splatná do 10 /slovy: deseti/ dnů ode dne, kdy bude druhé straně doručena písemná výzva na doručovací adresu k její úhradě. V případě, že se písemnou výzvu k úhradě smluvní pokuty </w:t>
      </w:r>
      <w:proofErr w:type="gramStart"/>
      <w:r w:rsidRPr="00F23F4E">
        <w:rPr>
          <w:rFonts w:ascii="Calibri" w:hAnsi="Calibri" w:cs="Calibri"/>
          <w:sz w:val="24"/>
        </w:rPr>
        <w:t>nepodaří</w:t>
      </w:r>
      <w:proofErr w:type="gramEnd"/>
      <w:r w:rsidRPr="00F23F4E">
        <w:rPr>
          <w:rFonts w:ascii="Calibri" w:hAnsi="Calibri" w:cs="Calibri"/>
          <w:sz w:val="24"/>
        </w:rPr>
        <w:t xml:space="preserve"> doručit druhé smluvní straně, má se za to, že byla doručena třetím dnem po odeslání druhé smluvní straně. Vedle nároku na smluvní pokutu zůstává zachován nárok na náhradu škody v plném rozsahu.</w:t>
      </w: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45F71508" w:rsidR="00F400A3"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F400A3">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uveřejnění v registru smluv Poskytovatel.</w:t>
      </w:r>
    </w:p>
    <w:p w14:paraId="33EB37DE" w14:textId="4B3EA1A9"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047306B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lastRenderedPageBreak/>
        <w:t xml:space="preserve">Smlouva byla vyhotovena ve dvou stejnopisech, z nichž každá Smluvní strana </w:t>
      </w:r>
      <w:proofErr w:type="gramStart"/>
      <w:r w:rsidRPr="00630D3E">
        <w:rPr>
          <w:rFonts w:ascii="Calibri" w:hAnsi="Calibri" w:cs="Calibri"/>
          <w:sz w:val="24"/>
        </w:rPr>
        <w:t>obdrží</w:t>
      </w:r>
      <w:proofErr w:type="gramEnd"/>
      <w:r w:rsidRPr="00630D3E">
        <w:rPr>
          <w:rFonts w:ascii="Calibri" w:hAnsi="Calibri" w:cs="Calibri"/>
          <w:sz w:val="24"/>
        </w:rPr>
        <w:t xml:space="preserve"> po jednom vyhotovení.</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10749E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301AC9B2" w14:textId="77777777" w:rsidR="00DD795E" w:rsidRDefault="00DD795E" w:rsidP="00DD795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1</w:t>
      </w:r>
      <w:r w:rsidRPr="00630D3E">
        <w:rPr>
          <w:rFonts w:ascii="Calibri" w:hAnsi="Calibri" w:cs="Calibri"/>
          <w:sz w:val="24"/>
        </w:rPr>
        <w:t xml:space="preserve"> - Vymezení Výsledků</w:t>
      </w:r>
    </w:p>
    <w:p w14:paraId="0EB87E05" w14:textId="77777777" w:rsidR="00DD795E" w:rsidRPr="00630D3E" w:rsidRDefault="00DD795E" w:rsidP="00DD795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2</w:t>
      </w:r>
      <w:r w:rsidRPr="00630D3E">
        <w:rPr>
          <w:rFonts w:ascii="Calibri" w:hAnsi="Calibri" w:cs="Calibri"/>
          <w:sz w:val="24"/>
        </w:rPr>
        <w:t xml:space="preserve"> – </w:t>
      </w:r>
      <w:r>
        <w:rPr>
          <w:rFonts w:ascii="Calibri" w:hAnsi="Calibri" w:cs="Calibri"/>
          <w:sz w:val="24"/>
        </w:rPr>
        <w:t>K</w:t>
      </w:r>
      <w:r w:rsidRPr="00630D3E">
        <w:rPr>
          <w:rFonts w:ascii="Calibri" w:hAnsi="Calibri" w:cs="Calibri"/>
          <w:sz w:val="24"/>
        </w:rPr>
        <w:t>alkulace licenční odměny</w:t>
      </w:r>
    </w:p>
    <w:p w14:paraId="4890F929" w14:textId="77777777" w:rsidR="00E50319" w:rsidRPr="00E50319" w:rsidRDefault="00E50319" w:rsidP="00E50319">
      <w:pPr>
        <w:pStyle w:val="Odstavecseseznamem"/>
        <w:spacing w:after="0" w:line="240" w:lineRule="auto"/>
        <w:outlineLvl w:val="0"/>
        <w:rPr>
          <w:rFonts w:ascii="Calibri" w:hAnsi="Calibri" w:cs="Calibri"/>
          <w:sz w:val="24"/>
          <w:szCs w:val="24"/>
        </w:rPr>
      </w:pPr>
    </w:p>
    <w:p w14:paraId="4E3AEEA0" w14:textId="77777777" w:rsidR="00F75AE6" w:rsidRPr="00630D3E" w:rsidRDefault="00F75AE6" w:rsidP="00F75AE6">
      <w:pPr>
        <w:spacing w:after="0" w:line="240" w:lineRule="auto"/>
        <w:ind w:left="720"/>
        <w:outlineLvl w:val="0"/>
        <w:rPr>
          <w:rFonts w:ascii="Calibri" w:hAnsi="Calibri" w:cs="Calibri"/>
          <w:sz w:val="24"/>
          <w:szCs w:val="24"/>
        </w:rPr>
      </w:pPr>
    </w:p>
    <w:p w14:paraId="45E15BA6" w14:textId="77777777" w:rsidR="00F75AE6" w:rsidRPr="00630D3E" w:rsidRDefault="00F75AE6" w:rsidP="00F75AE6">
      <w:pPr>
        <w:spacing w:after="0" w:line="240" w:lineRule="auto"/>
        <w:ind w:left="720"/>
        <w:outlineLvl w:val="0"/>
        <w:rPr>
          <w:rFonts w:ascii="Calibri" w:hAnsi="Calibri" w:cs="Calibri"/>
          <w:sz w:val="24"/>
          <w:szCs w:val="24"/>
        </w:rPr>
      </w:pPr>
    </w:p>
    <w:p w14:paraId="7185BBE1" w14:textId="12538212" w:rsidR="00F75AE6" w:rsidRPr="00630D3E" w:rsidRDefault="00F75AE6" w:rsidP="00F75AE6">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sidR="00503EA5">
        <w:rPr>
          <w:rFonts w:ascii="Calibri" w:hAnsi="Calibri" w:cs="Calibri"/>
          <w:sz w:val="24"/>
          <w:szCs w:val="24"/>
        </w:rPr>
        <w:t>e Vyškově</w:t>
      </w:r>
      <w:r w:rsidR="005A7091">
        <w:rPr>
          <w:rFonts w:ascii="Calibri" w:hAnsi="Calibri" w:cs="Calibri"/>
          <w:sz w:val="24"/>
          <w:szCs w:val="24"/>
        </w:rPr>
        <w:t xml:space="preserve"> </w:t>
      </w:r>
      <w:r w:rsidRPr="00630D3E">
        <w:rPr>
          <w:rFonts w:ascii="Calibri" w:hAnsi="Calibri" w:cs="Calibri"/>
          <w:sz w:val="24"/>
          <w:szCs w:val="24"/>
        </w:rPr>
        <w:t>dne …………</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50AD7D4E" w14:textId="77777777" w:rsidR="00F75AE6" w:rsidRPr="00630D3E" w:rsidRDefault="00F75AE6"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550BCBF5" w14:textId="554D71CE" w:rsidR="00F75AE6" w:rsidRPr="003356ED" w:rsidRDefault="00F75AE6" w:rsidP="00F75AE6">
      <w:pPr>
        <w:pStyle w:val="normlnn"/>
        <w:spacing w:before="0"/>
        <w:rPr>
          <w:rFonts w:ascii="Calibri" w:hAnsi="Calibri" w:cs="Calibri"/>
          <w:bCs/>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sidR="00F23F4E">
        <w:rPr>
          <w:rFonts w:ascii="Calibri" w:hAnsi="Calibri" w:cs="Calibri"/>
          <w:sz w:val="24"/>
          <w:szCs w:val="24"/>
        </w:rPr>
        <w:tab/>
      </w:r>
      <w:r w:rsidR="00A560E7">
        <w:rPr>
          <w:rFonts w:ascii="Calibri" w:eastAsia="Calibri" w:hAnsi="Calibri" w:cs="Calibri"/>
        </w:rPr>
        <w:t xml:space="preserve">Ing. Milada </w:t>
      </w:r>
      <w:proofErr w:type="spellStart"/>
      <w:r w:rsidR="00A560E7">
        <w:rPr>
          <w:rFonts w:ascii="Calibri" w:eastAsia="Calibri" w:hAnsi="Calibri" w:cs="Calibri"/>
        </w:rPr>
        <w:t>Matiovská</w:t>
      </w:r>
      <w:proofErr w:type="spellEnd"/>
      <w:r w:rsidR="00A560E7">
        <w:rPr>
          <w:rFonts w:ascii="Calibri" w:eastAsia="Calibri" w:hAnsi="Calibri" w:cs="Calibri"/>
        </w:rPr>
        <w:t xml:space="preserve">, MBA. </w:t>
      </w:r>
      <w:proofErr w:type="spellStart"/>
      <w:r w:rsidR="00A560E7">
        <w:rPr>
          <w:rFonts w:ascii="Calibri" w:eastAsia="Calibri" w:hAnsi="Calibri" w:cs="Calibri"/>
        </w:rPr>
        <w:t>MSc</w:t>
      </w:r>
      <w:proofErr w:type="spellEnd"/>
      <w:r w:rsidR="00A560E7">
        <w:rPr>
          <w:rFonts w:ascii="Calibri" w:eastAsia="Calibri" w:hAnsi="Calibri" w:cs="Calibri"/>
        </w:rPr>
        <w:t>.</w:t>
      </w:r>
    </w:p>
    <w:p w14:paraId="25927436" w14:textId="3DFD4DE5" w:rsidR="00C11E23" w:rsidRPr="003356ED" w:rsidRDefault="00F75AE6" w:rsidP="00C11E23">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r w:rsidR="00A560E7">
        <w:rPr>
          <w:rFonts w:ascii="Calibri" w:eastAsia="Calibri" w:hAnsi="Calibri" w:cs="Calibri"/>
        </w:rPr>
        <w:t>místopředseda představenstva</w:t>
      </w:r>
    </w:p>
    <w:p w14:paraId="494DD084" w14:textId="79AF0DD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r w:rsidR="00C11E23">
        <w:rPr>
          <w:rFonts w:ascii="Calibri" w:hAnsi="Calibri" w:cs="Calibri"/>
          <w:sz w:val="24"/>
          <w:szCs w:val="24"/>
        </w:rPr>
        <w:tab/>
      </w:r>
      <w:proofErr w:type="spellStart"/>
      <w:r w:rsidR="00A560E7">
        <w:rPr>
          <w:rFonts w:ascii="Calibri" w:hAnsi="Calibri" w:cs="Calibri"/>
          <w:sz w:val="24"/>
          <w:szCs w:val="24"/>
        </w:rPr>
        <w:t>Quantum</w:t>
      </w:r>
      <w:proofErr w:type="spellEnd"/>
      <w:r w:rsidR="00A560E7">
        <w:rPr>
          <w:rFonts w:ascii="Calibri" w:hAnsi="Calibri" w:cs="Calibri"/>
          <w:sz w:val="24"/>
          <w:szCs w:val="24"/>
        </w:rPr>
        <w:t xml:space="preserve"> a.s.</w:t>
      </w:r>
    </w:p>
    <w:p w14:paraId="494545B9"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0190A805" w14:textId="58C336C5" w:rsidR="00F75AE6" w:rsidRPr="00630D3E" w:rsidRDefault="00F75AE6" w:rsidP="00F75AE6">
      <w:pPr>
        <w:spacing w:after="200" w:line="276" w:lineRule="auto"/>
        <w:jc w:val="left"/>
        <w:rPr>
          <w:rFonts w:ascii="Calibri" w:hAnsi="Calibri" w:cs="Calibri"/>
          <w:b/>
          <w:sz w:val="24"/>
          <w:szCs w:val="24"/>
        </w:rPr>
      </w:pPr>
      <w:r w:rsidRPr="00630D3E">
        <w:rPr>
          <w:rFonts w:ascii="Calibri" w:hAnsi="Calibri" w:cs="Calibri"/>
          <w:b/>
          <w:szCs w:val="28"/>
        </w:rPr>
        <w:br w:type="page"/>
      </w:r>
      <w:r w:rsidRPr="00630D3E">
        <w:rPr>
          <w:rFonts w:ascii="Calibri" w:hAnsi="Calibri" w:cs="Calibri"/>
          <w:b/>
          <w:sz w:val="24"/>
          <w:szCs w:val="24"/>
        </w:rPr>
        <w:lastRenderedPageBreak/>
        <w:t>Příloha č. 1</w:t>
      </w:r>
      <w:r w:rsidR="00C11E23">
        <w:rPr>
          <w:rFonts w:ascii="Calibri" w:hAnsi="Calibri" w:cs="Calibri"/>
          <w:b/>
          <w:sz w:val="24"/>
          <w:szCs w:val="24"/>
        </w:rPr>
        <w:t xml:space="preserve"> – vymezení duševního vlastnictví a jeho původců</w:t>
      </w:r>
    </w:p>
    <w:p w14:paraId="4F0A2280" w14:textId="4FA0AA37" w:rsidR="00F75AE6" w:rsidRDefault="000B178D" w:rsidP="00F75AE6">
      <w:pPr>
        <w:rPr>
          <w:rFonts w:ascii="Calibri" w:hAnsi="Calibri" w:cs="Calibri"/>
          <w:b/>
          <w:sz w:val="24"/>
          <w:szCs w:val="24"/>
        </w:rPr>
      </w:pPr>
      <w:r>
        <w:rPr>
          <w:rFonts w:ascii="Calibri" w:hAnsi="Calibri" w:cs="Calibri"/>
          <w:b/>
          <w:sz w:val="24"/>
          <w:szCs w:val="24"/>
        </w:rPr>
        <w:t>xxxxxxxxxxxxxxxxxxxxxxxxxxxxxxxxxxxxxxxxxxxxxxxxxxxxxxxxxxxxxxxxxxxxxxxxxxxxxxx</w:t>
      </w:r>
    </w:p>
    <w:p w14:paraId="74D78382" w14:textId="77777777" w:rsidR="00C305BE" w:rsidRDefault="00C305BE" w:rsidP="00F75AE6">
      <w:pPr>
        <w:rPr>
          <w:rFonts w:ascii="Calibri" w:hAnsi="Calibri" w:cs="Calibri"/>
          <w:b/>
          <w:sz w:val="24"/>
          <w:szCs w:val="24"/>
        </w:rPr>
      </w:pPr>
    </w:p>
    <w:p w14:paraId="5A056694" w14:textId="77777777" w:rsidR="00C305BE" w:rsidRDefault="00C305BE" w:rsidP="00F75AE6">
      <w:pPr>
        <w:rPr>
          <w:rFonts w:ascii="Calibri" w:hAnsi="Calibri" w:cs="Calibri"/>
          <w:b/>
          <w:sz w:val="24"/>
          <w:szCs w:val="24"/>
        </w:rPr>
      </w:pPr>
    </w:p>
    <w:p w14:paraId="6E58CE24" w14:textId="77777777" w:rsidR="00C305BE" w:rsidRDefault="00C305BE" w:rsidP="00F75AE6">
      <w:pPr>
        <w:rPr>
          <w:rFonts w:ascii="Calibri" w:hAnsi="Calibri" w:cs="Calibri"/>
          <w:b/>
          <w:sz w:val="24"/>
          <w:szCs w:val="24"/>
        </w:rPr>
      </w:pPr>
    </w:p>
    <w:p w14:paraId="1151EDCE" w14:textId="77777777" w:rsidR="00C305BE" w:rsidRDefault="00C305BE" w:rsidP="00F75AE6">
      <w:pPr>
        <w:rPr>
          <w:rFonts w:ascii="Calibri" w:hAnsi="Calibri" w:cs="Calibri"/>
          <w:b/>
          <w:sz w:val="24"/>
          <w:szCs w:val="24"/>
        </w:rPr>
      </w:pPr>
    </w:p>
    <w:p w14:paraId="5C886F57" w14:textId="77777777" w:rsidR="00C305BE" w:rsidRDefault="00C305BE" w:rsidP="00F75AE6">
      <w:pPr>
        <w:rPr>
          <w:rFonts w:ascii="Calibri" w:hAnsi="Calibri" w:cs="Calibri"/>
          <w:b/>
          <w:sz w:val="24"/>
          <w:szCs w:val="24"/>
        </w:rPr>
      </w:pPr>
    </w:p>
    <w:p w14:paraId="0190B3D1" w14:textId="77777777" w:rsidR="00C305BE" w:rsidRDefault="00C305BE" w:rsidP="00F75AE6">
      <w:pPr>
        <w:rPr>
          <w:rFonts w:ascii="Calibri" w:hAnsi="Calibri" w:cs="Calibri"/>
          <w:b/>
          <w:sz w:val="24"/>
          <w:szCs w:val="24"/>
        </w:rPr>
      </w:pPr>
    </w:p>
    <w:p w14:paraId="1EF798F4" w14:textId="77777777" w:rsidR="00C305BE" w:rsidRDefault="00C305BE" w:rsidP="00F75AE6">
      <w:pPr>
        <w:rPr>
          <w:rFonts w:ascii="Calibri" w:hAnsi="Calibri" w:cs="Calibri"/>
          <w:b/>
          <w:sz w:val="24"/>
          <w:szCs w:val="24"/>
        </w:rPr>
      </w:pPr>
    </w:p>
    <w:p w14:paraId="5491343F" w14:textId="77777777" w:rsidR="00C305BE" w:rsidRDefault="00C305BE" w:rsidP="00F75AE6">
      <w:pPr>
        <w:rPr>
          <w:rFonts w:ascii="Calibri" w:hAnsi="Calibri" w:cs="Calibri"/>
          <w:b/>
          <w:sz w:val="24"/>
          <w:szCs w:val="24"/>
        </w:rPr>
      </w:pPr>
    </w:p>
    <w:p w14:paraId="50926D0A" w14:textId="77777777" w:rsidR="000B178D" w:rsidRDefault="000B178D" w:rsidP="00F75AE6">
      <w:pPr>
        <w:rPr>
          <w:rFonts w:ascii="Calibri" w:hAnsi="Calibri" w:cs="Calibri"/>
          <w:b/>
          <w:sz w:val="24"/>
          <w:szCs w:val="24"/>
        </w:rPr>
      </w:pPr>
    </w:p>
    <w:p w14:paraId="3FE50A2C" w14:textId="77777777" w:rsidR="000B178D" w:rsidRDefault="000B178D" w:rsidP="00F75AE6">
      <w:pPr>
        <w:rPr>
          <w:rFonts w:ascii="Calibri" w:hAnsi="Calibri" w:cs="Calibri"/>
          <w:b/>
          <w:sz w:val="24"/>
          <w:szCs w:val="24"/>
        </w:rPr>
      </w:pPr>
    </w:p>
    <w:p w14:paraId="0F921C4C" w14:textId="77777777" w:rsidR="000B178D" w:rsidRDefault="000B178D" w:rsidP="00F75AE6">
      <w:pPr>
        <w:rPr>
          <w:rFonts w:ascii="Calibri" w:hAnsi="Calibri" w:cs="Calibri"/>
          <w:b/>
          <w:sz w:val="24"/>
          <w:szCs w:val="24"/>
        </w:rPr>
      </w:pPr>
    </w:p>
    <w:p w14:paraId="05B4F11A" w14:textId="77777777" w:rsidR="000B178D" w:rsidRDefault="000B178D" w:rsidP="00F75AE6">
      <w:pPr>
        <w:rPr>
          <w:rFonts w:ascii="Calibri" w:hAnsi="Calibri" w:cs="Calibri"/>
          <w:b/>
          <w:sz w:val="24"/>
          <w:szCs w:val="24"/>
        </w:rPr>
      </w:pPr>
    </w:p>
    <w:p w14:paraId="495AC2A9" w14:textId="77777777" w:rsidR="000B178D" w:rsidRDefault="000B178D" w:rsidP="00F75AE6">
      <w:pPr>
        <w:rPr>
          <w:rFonts w:ascii="Calibri" w:hAnsi="Calibri" w:cs="Calibri"/>
          <w:b/>
          <w:sz w:val="24"/>
          <w:szCs w:val="24"/>
        </w:rPr>
      </w:pPr>
    </w:p>
    <w:p w14:paraId="7BBC67D8" w14:textId="77777777" w:rsidR="000B178D" w:rsidRDefault="000B178D" w:rsidP="00F75AE6">
      <w:pPr>
        <w:rPr>
          <w:rFonts w:ascii="Calibri" w:hAnsi="Calibri" w:cs="Calibri"/>
          <w:b/>
          <w:sz w:val="24"/>
          <w:szCs w:val="24"/>
        </w:rPr>
      </w:pPr>
    </w:p>
    <w:p w14:paraId="4BCA7D0B" w14:textId="77777777" w:rsidR="000B178D" w:rsidRDefault="000B178D" w:rsidP="00F75AE6">
      <w:pPr>
        <w:rPr>
          <w:rFonts w:ascii="Calibri" w:hAnsi="Calibri" w:cs="Calibri"/>
          <w:b/>
          <w:sz w:val="24"/>
          <w:szCs w:val="24"/>
        </w:rPr>
      </w:pPr>
    </w:p>
    <w:p w14:paraId="5CFCE3F8" w14:textId="77777777" w:rsidR="000B178D" w:rsidRDefault="000B178D" w:rsidP="00F75AE6">
      <w:pPr>
        <w:rPr>
          <w:rFonts w:ascii="Calibri" w:hAnsi="Calibri" w:cs="Calibri"/>
          <w:b/>
          <w:sz w:val="24"/>
          <w:szCs w:val="24"/>
        </w:rPr>
      </w:pPr>
    </w:p>
    <w:p w14:paraId="7D3D859F" w14:textId="77777777" w:rsidR="000B178D" w:rsidRDefault="000B178D" w:rsidP="00F75AE6">
      <w:pPr>
        <w:rPr>
          <w:rFonts w:ascii="Calibri" w:hAnsi="Calibri" w:cs="Calibri"/>
          <w:b/>
          <w:sz w:val="24"/>
          <w:szCs w:val="24"/>
        </w:rPr>
      </w:pPr>
    </w:p>
    <w:p w14:paraId="684C4188" w14:textId="77777777" w:rsidR="000B178D" w:rsidRDefault="000B178D" w:rsidP="00F75AE6">
      <w:pPr>
        <w:rPr>
          <w:rFonts w:ascii="Calibri" w:hAnsi="Calibri" w:cs="Calibri"/>
          <w:b/>
          <w:sz w:val="24"/>
          <w:szCs w:val="24"/>
        </w:rPr>
      </w:pPr>
    </w:p>
    <w:p w14:paraId="14A4109A" w14:textId="77777777" w:rsidR="000B178D" w:rsidRDefault="000B178D" w:rsidP="00F75AE6">
      <w:pPr>
        <w:rPr>
          <w:rFonts w:ascii="Calibri" w:hAnsi="Calibri" w:cs="Calibri"/>
          <w:b/>
          <w:sz w:val="24"/>
          <w:szCs w:val="24"/>
        </w:rPr>
      </w:pPr>
    </w:p>
    <w:p w14:paraId="0F65CC72" w14:textId="77777777" w:rsidR="000B178D" w:rsidRDefault="000B178D" w:rsidP="00F75AE6">
      <w:pPr>
        <w:rPr>
          <w:rFonts w:ascii="Calibri" w:hAnsi="Calibri" w:cs="Calibri"/>
          <w:b/>
          <w:sz w:val="24"/>
          <w:szCs w:val="24"/>
        </w:rPr>
      </w:pPr>
    </w:p>
    <w:p w14:paraId="567B6AFF" w14:textId="77777777" w:rsidR="000B178D" w:rsidRDefault="000B178D" w:rsidP="00F75AE6">
      <w:pPr>
        <w:rPr>
          <w:rFonts w:ascii="Calibri" w:hAnsi="Calibri" w:cs="Calibri"/>
          <w:b/>
          <w:sz w:val="24"/>
          <w:szCs w:val="24"/>
        </w:rPr>
      </w:pPr>
    </w:p>
    <w:p w14:paraId="2A42AEDB" w14:textId="77777777" w:rsidR="000B178D" w:rsidRDefault="000B178D" w:rsidP="00F75AE6">
      <w:pPr>
        <w:rPr>
          <w:rFonts w:ascii="Calibri" w:hAnsi="Calibri" w:cs="Calibri"/>
          <w:b/>
          <w:sz w:val="24"/>
          <w:szCs w:val="24"/>
        </w:rPr>
      </w:pPr>
    </w:p>
    <w:p w14:paraId="7CF716F2" w14:textId="77777777" w:rsidR="000B178D" w:rsidRDefault="000B178D" w:rsidP="00F75AE6">
      <w:pPr>
        <w:rPr>
          <w:rFonts w:ascii="Calibri" w:hAnsi="Calibri" w:cs="Calibri"/>
          <w:b/>
          <w:sz w:val="24"/>
          <w:szCs w:val="24"/>
        </w:rPr>
      </w:pPr>
    </w:p>
    <w:p w14:paraId="414733E2" w14:textId="77777777" w:rsidR="000B178D" w:rsidRDefault="000B178D" w:rsidP="00F75AE6">
      <w:pPr>
        <w:rPr>
          <w:rFonts w:ascii="Calibri" w:hAnsi="Calibri" w:cs="Calibri"/>
          <w:b/>
          <w:sz w:val="24"/>
          <w:szCs w:val="24"/>
        </w:rPr>
      </w:pPr>
    </w:p>
    <w:p w14:paraId="4A6583C3" w14:textId="77777777" w:rsidR="000B178D" w:rsidRDefault="000B178D" w:rsidP="00F75AE6">
      <w:pPr>
        <w:rPr>
          <w:rFonts w:ascii="Calibri" w:hAnsi="Calibri" w:cs="Calibri"/>
          <w:b/>
          <w:sz w:val="24"/>
          <w:szCs w:val="24"/>
        </w:rPr>
      </w:pPr>
    </w:p>
    <w:p w14:paraId="535209AE" w14:textId="77777777" w:rsidR="000B178D" w:rsidRDefault="000B178D" w:rsidP="00F75AE6">
      <w:pPr>
        <w:rPr>
          <w:rFonts w:ascii="Calibri" w:hAnsi="Calibri" w:cs="Calibri"/>
          <w:b/>
          <w:sz w:val="24"/>
          <w:szCs w:val="24"/>
        </w:rPr>
      </w:pPr>
    </w:p>
    <w:p w14:paraId="73D07E7C" w14:textId="77777777" w:rsidR="000B178D" w:rsidRDefault="000B178D" w:rsidP="00F75AE6">
      <w:pPr>
        <w:rPr>
          <w:rFonts w:ascii="Calibri" w:hAnsi="Calibri" w:cs="Calibri"/>
          <w:b/>
          <w:sz w:val="24"/>
          <w:szCs w:val="24"/>
        </w:rPr>
      </w:pPr>
    </w:p>
    <w:p w14:paraId="596CF99D" w14:textId="77777777" w:rsidR="00DD795E" w:rsidRPr="00724EEF" w:rsidRDefault="00DD795E" w:rsidP="00DD795E">
      <w:pPr>
        <w:spacing w:after="200" w:line="276" w:lineRule="auto"/>
        <w:jc w:val="left"/>
        <w:rPr>
          <w:rFonts w:ascii="Calibri" w:hAnsi="Calibri" w:cs="Calibri"/>
          <w:b/>
          <w:sz w:val="24"/>
          <w:szCs w:val="24"/>
        </w:rPr>
      </w:pPr>
      <w:r w:rsidRPr="00724EEF">
        <w:rPr>
          <w:rFonts w:ascii="Calibri" w:hAnsi="Calibri" w:cs="Calibri"/>
          <w:b/>
          <w:sz w:val="24"/>
          <w:szCs w:val="24"/>
        </w:rPr>
        <w:lastRenderedPageBreak/>
        <w:t>Příloha č. 2 – Kalkulace licenční odměny</w:t>
      </w:r>
    </w:p>
    <w:p w14:paraId="58A68788" w14:textId="77777777" w:rsidR="000B178D" w:rsidRDefault="000B178D" w:rsidP="000B178D">
      <w:pPr>
        <w:rPr>
          <w:rFonts w:ascii="Calibri" w:hAnsi="Calibri" w:cs="Calibri"/>
          <w:b/>
          <w:sz w:val="24"/>
          <w:szCs w:val="24"/>
        </w:rPr>
      </w:pPr>
      <w:r>
        <w:rPr>
          <w:rFonts w:ascii="Calibri" w:hAnsi="Calibri" w:cs="Calibri"/>
          <w:b/>
          <w:sz w:val="24"/>
          <w:szCs w:val="24"/>
        </w:rPr>
        <w:t>xxxxxxxxxxxxxxxxxxxxxxxxxxxxxxxxxxxxxxxxxxxxxxxxxxxxxxxxxxxxxxxxxxxxxxxxxxxxxxx</w:t>
      </w:r>
    </w:p>
    <w:p w14:paraId="52DA7615" w14:textId="4922D732" w:rsidR="00F75AE6" w:rsidRPr="00630D3E" w:rsidRDefault="00F75AE6" w:rsidP="000B178D">
      <w:pPr>
        <w:rPr>
          <w:rFonts w:ascii="Calibri" w:hAnsi="Calibri" w:cs="Calibri"/>
          <w:b/>
          <w:sz w:val="24"/>
          <w:szCs w:val="24"/>
        </w:rPr>
      </w:pPr>
    </w:p>
    <w:sectPr w:rsidR="00F75AE6" w:rsidRPr="00630D3E" w:rsidSect="00C0617B">
      <w:headerReference w:type="default" r:id="rId7"/>
      <w:footerReference w:type="default" r:id="rId8"/>
      <w:headerReference w:type="first" r:id="rId9"/>
      <w:footerReference w:type="first" r:id="rId10"/>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1508" w14:textId="77777777" w:rsidR="003E7C22" w:rsidRDefault="003E7C22" w:rsidP="004010A7">
      <w:pPr>
        <w:spacing w:line="240" w:lineRule="auto"/>
      </w:pPr>
      <w:r>
        <w:separator/>
      </w:r>
    </w:p>
  </w:endnote>
  <w:endnote w:type="continuationSeparator" w:id="0">
    <w:p w14:paraId="1129A759" w14:textId="77777777" w:rsidR="003E7C22" w:rsidRDefault="003E7C22"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100D" w14:textId="77777777" w:rsidR="003E7C22" w:rsidRDefault="003E7C22" w:rsidP="004010A7">
      <w:pPr>
        <w:spacing w:line="240" w:lineRule="auto"/>
      </w:pPr>
      <w:r>
        <w:separator/>
      </w:r>
    </w:p>
  </w:footnote>
  <w:footnote w:type="continuationSeparator" w:id="0">
    <w:p w14:paraId="7DBF8B42" w14:textId="77777777" w:rsidR="003E7C22" w:rsidRDefault="003E7C22"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544026676">
    <w:abstractNumId w:val="0"/>
  </w:num>
  <w:num w:numId="2" w16cid:durableId="837841006">
    <w:abstractNumId w:val="1"/>
  </w:num>
  <w:num w:numId="3" w16cid:durableId="1050305174">
    <w:abstractNumId w:val="14"/>
  </w:num>
  <w:num w:numId="4" w16cid:durableId="2028675650">
    <w:abstractNumId w:val="21"/>
  </w:num>
  <w:num w:numId="5" w16cid:durableId="1891840903">
    <w:abstractNumId w:val="2"/>
  </w:num>
  <w:num w:numId="6" w16cid:durableId="1564441262">
    <w:abstractNumId w:val="24"/>
  </w:num>
  <w:num w:numId="7" w16cid:durableId="1389498269">
    <w:abstractNumId w:val="19"/>
  </w:num>
  <w:num w:numId="8" w16cid:durableId="352806069">
    <w:abstractNumId w:val="34"/>
  </w:num>
  <w:num w:numId="9" w16cid:durableId="156700283">
    <w:abstractNumId w:val="32"/>
  </w:num>
  <w:num w:numId="10" w16cid:durableId="402457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729919">
    <w:abstractNumId w:val="31"/>
  </w:num>
  <w:num w:numId="12" w16cid:durableId="1891794790">
    <w:abstractNumId w:val="22"/>
  </w:num>
  <w:num w:numId="13" w16cid:durableId="674186942">
    <w:abstractNumId w:val="12"/>
  </w:num>
  <w:num w:numId="14" w16cid:durableId="483006089">
    <w:abstractNumId w:val="10"/>
  </w:num>
  <w:num w:numId="15" w16cid:durableId="667637668">
    <w:abstractNumId w:val="30"/>
  </w:num>
  <w:num w:numId="16" w16cid:durableId="647200508">
    <w:abstractNumId w:val="5"/>
  </w:num>
  <w:num w:numId="17" w16cid:durableId="1604920140">
    <w:abstractNumId w:val="15"/>
  </w:num>
  <w:num w:numId="18" w16cid:durableId="551771719">
    <w:abstractNumId w:val="26"/>
  </w:num>
  <w:num w:numId="19" w16cid:durableId="792332484">
    <w:abstractNumId w:val="7"/>
  </w:num>
  <w:num w:numId="20" w16cid:durableId="559637498">
    <w:abstractNumId w:val="8"/>
  </w:num>
  <w:num w:numId="21" w16cid:durableId="985355627">
    <w:abstractNumId w:val="27"/>
  </w:num>
  <w:num w:numId="22" w16cid:durableId="1223566444">
    <w:abstractNumId w:val="6"/>
  </w:num>
  <w:num w:numId="23" w16cid:durableId="651714909">
    <w:abstractNumId w:val="20"/>
  </w:num>
  <w:num w:numId="24" w16cid:durableId="1210920393">
    <w:abstractNumId w:val="28"/>
  </w:num>
  <w:num w:numId="25" w16cid:durableId="2122646499">
    <w:abstractNumId w:val="13"/>
  </w:num>
  <w:num w:numId="26" w16cid:durableId="640227717">
    <w:abstractNumId w:val="25"/>
  </w:num>
  <w:num w:numId="27" w16cid:durableId="2141025997">
    <w:abstractNumId w:val="3"/>
  </w:num>
  <w:num w:numId="28" w16cid:durableId="190537188">
    <w:abstractNumId w:val="33"/>
  </w:num>
  <w:num w:numId="29" w16cid:durableId="398485146">
    <w:abstractNumId w:val="29"/>
  </w:num>
  <w:num w:numId="30" w16cid:durableId="280652288">
    <w:abstractNumId w:val="4"/>
  </w:num>
  <w:num w:numId="31" w16cid:durableId="884297677">
    <w:abstractNumId w:val="17"/>
  </w:num>
  <w:num w:numId="32" w16cid:durableId="1527013420">
    <w:abstractNumId w:val="23"/>
  </w:num>
  <w:num w:numId="33" w16cid:durableId="1306663785">
    <w:abstractNumId w:val="16"/>
  </w:num>
  <w:num w:numId="34" w16cid:durableId="861362354">
    <w:abstractNumId w:val="18"/>
  </w:num>
  <w:num w:numId="35" w16cid:durableId="172110644">
    <w:abstractNumId w:val="11"/>
  </w:num>
  <w:num w:numId="36" w16cid:durableId="2109497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550D5"/>
    <w:rsid w:val="00060B77"/>
    <w:rsid w:val="00066B3C"/>
    <w:rsid w:val="0007051F"/>
    <w:rsid w:val="000762DD"/>
    <w:rsid w:val="000B178D"/>
    <w:rsid w:val="000B7BC0"/>
    <w:rsid w:val="000C19D0"/>
    <w:rsid w:val="000C4DFB"/>
    <w:rsid w:val="000C5559"/>
    <w:rsid w:val="000E26C5"/>
    <w:rsid w:val="000F0C68"/>
    <w:rsid w:val="00103A68"/>
    <w:rsid w:val="001134EB"/>
    <w:rsid w:val="00114211"/>
    <w:rsid w:val="001407B8"/>
    <w:rsid w:val="00152FDC"/>
    <w:rsid w:val="00166AE1"/>
    <w:rsid w:val="001707BB"/>
    <w:rsid w:val="001A4FE6"/>
    <w:rsid w:val="001A51A2"/>
    <w:rsid w:val="001A60B5"/>
    <w:rsid w:val="001A65A3"/>
    <w:rsid w:val="001C274E"/>
    <w:rsid w:val="001C2EE2"/>
    <w:rsid w:val="001D4182"/>
    <w:rsid w:val="001D6326"/>
    <w:rsid w:val="001F7CAE"/>
    <w:rsid w:val="00213898"/>
    <w:rsid w:val="00226059"/>
    <w:rsid w:val="00230E37"/>
    <w:rsid w:val="0023470A"/>
    <w:rsid w:val="00242A5C"/>
    <w:rsid w:val="00264073"/>
    <w:rsid w:val="002C06B0"/>
    <w:rsid w:val="002C0FE4"/>
    <w:rsid w:val="002D4758"/>
    <w:rsid w:val="002E070B"/>
    <w:rsid w:val="002F4C99"/>
    <w:rsid w:val="002F607F"/>
    <w:rsid w:val="002F7935"/>
    <w:rsid w:val="00333AE8"/>
    <w:rsid w:val="00333C14"/>
    <w:rsid w:val="003356ED"/>
    <w:rsid w:val="0033654D"/>
    <w:rsid w:val="00347324"/>
    <w:rsid w:val="00350402"/>
    <w:rsid w:val="003770BC"/>
    <w:rsid w:val="003815E8"/>
    <w:rsid w:val="00382D47"/>
    <w:rsid w:val="00383072"/>
    <w:rsid w:val="003831B5"/>
    <w:rsid w:val="00383D41"/>
    <w:rsid w:val="003A31D5"/>
    <w:rsid w:val="003A56CF"/>
    <w:rsid w:val="003C7672"/>
    <w:rsid w:val="003D27B5"/>
    <w:rsid w:val="003D2E57"/>
    <w:rsid w:val="003E7C22"/>
    <w:rsid w:val="0040069A"/>
    <w:rsid w:val="004010A7"/>
    <w:rsid w:val="00415A88"/>
    <w:rsid w:val="00432321"/>
    <w:rsid w:val="00442706"/>
    <w:rsid w:val="00451539"/>
    <w:rsid w:val="0047113A"/>
    <w:rsid w:val="00485C5E"/>
    <w:rsid w:val="00487B77"/>
    <w:rsid w:val="00497EF6"/>
    <w:rsid w:val="004A00AD"/>
    <w:rsid w:val="004A2BDC"/>
    <w:rsid w:val="004A5B59"/>
    <w:rsid w:val="004C64CA"/>
    <w:rsid w:val="004D0F0A"/>
    <w:rsid w:val="004E4329"/>
    <w:rsid w:val="004E556B"/>
    <w:rsid w:val="004F2D73"/>
    <w:rsid w:val="004F787D"/>
    <w:rsid w:val="00503544"/>
    <w:rsid w:val="00503EA5"/>
    <w:rsid w:val="00504330"/>
    <w:rsid w:val="005068EB"/>
    <w:rsid w:val="00507DA8"/>
    <w:rsid w:val="005224B1"/>
    <w:rsid w:val="00542302"/>
    <w:rsid w:val="0055423B"/>
    <w:rsid w:val="0055793C"/>
    <w:rsid w:val="00562109"/>
    <w:rsid w:val="00563241"/>
    <w:rsid w:val="00564C9D"/>
    <w:rsid w:val="005A6706"/>
    <w:rsid w:val="005A7091"/>
    <w:rsid w:val="005A744D"/>
    <w:rsid w:val="005C5FA4"/>
    <w:rsid w:val="00607A9F"/>
    <w:rsid w:val="00623675"/>
    <w:rsid w:val="00630784"/>
    <w:rsid w:val="00630D3E"/>
    <w:rsid w:val="006322CE"/>
    <w:rsid w:val="0063586E"/>
    <w:rsid w:val="00660F40"/>
    <w:rsid w:val="00666488"/>
    <w:rsid w:val="00667C0C"/>
    <w:rsid w:val="00673DD5"/>
    <w:rsid w:val="00674FF1"/>
    <w:rsid w:val="00677466"/>
    <w:rsid w:val="00686C3E"/>
    <w:rsid w:val="00697691"/>
    <w:rsid w:val="006C2022"/>
    <w:rsid w:val="006C4FF1"/>
    <w:rsid w:val="006E083E"/>
    <w:rsid w:val="006E30A4"/>
    <w:rsid w:val="006E6177"/>
    <w:rsid w:val="006E788D"/>
    <w:rsid w:val="00711F31"/>
    <w:rsid w:val="007146F4"/>
    <w:rsid w:val="0072006E"/>
    <w:rsid w:val="00723EAD"/>
    <w:rsid w:val="00757C55"/>
    <w:rsid w:val="00766E50"/>
    <w:rsid w:val="00770BE2"/>
    <w:rsid w:val="00773F09"/>
    <w:rsid w:val="007856C6"/>
    <w:rsid w:val="00787207"/>
    <w:rsid w:val="00792E9E"/>
    <w:rsid w:val="007D60C7"/>
    <w:rsid w:val="0080339B"/>
    <w:rsid w:val="008224D6"/>
    <w:rsid w:val="00823FF3"/>
    <w:rsid w:val="008276F4"/>
    <w:rsid w:val="00833ABF"/>
    <w:rsid w:val="008368F1"/>
    <w:rsid w:val="00842F1B"/>
    <w:rsid w:val="008445A1"/>
    <w:rsid w:val="00861ED8"/>
    <w:rsid w:val="008626C6"/>
    <w:rsid w:val="00870FE3"/>
    <w:rsid w:val="0087310B"/>
    <w:rsid w:val="0087399B"/>
    <w:rsid w:val="0089231C"/>
    <w:rsid w:val="008A75A8"/>
    <w:rsid w:val="008B2B9A"/>
    <w:rsid w:val="008D6ECB"/>
    <w:rsid w:val="00901C5E"/>
    <w:rsid w:val="009129F4"/>
    <w:rsid w:val="0092707D"/>
    <w:rsid w:val="00940F67"/>
    <w:rsid w:val="009621A9"/>
    <w:rsid w:val="009650A0"/>
    <w:rsid w:val="00973DB2"/>
    <w:rsid w:val="00980766"/>
    <w:rsid w:val="00987DD8"/>
    <w:rsid w:val="009A4B64"/>
    <w:rsid w:val="009B2A47"/>
    <w:rsid w:val="009B7C14"/>
    <w:rsid w:val="009C5AA8"/>
    <w:rsid w:val="00A01739"/>
    <w:rsid w:val="00A07944"/>
    <w:rsid w:val="00A132F9"/>
    <w:rsid w:val="00A25BBB"/>
    <w:rsid w:val="00A26235"/>
    <w:rsid w:val="00A40C58"/>
    <w:rsid w:val="00A559FD"/>
    <w:rsid w:val="00A560E7"/>
    <w:rsid w:val="00A77B2F"/>
    <w:rsid w:val="00AC0E6F"/>
    <w:rsid w:val="00AC4674"/>
    <w:rsid w:val="00AE0509"/>
    <w:rsid w:val="00AE6164"/>
    <w:rsid w:val="00B01461"/>
    <w:rsid w:val="00B26E8E"/>
    <w:rsid w:val="00B54DE0"/>
    <w:rsid w:val="00B63060"/>
    <w:rsid w:val="00B64223"/>
    <w:rsid w:val="00B67FB8"/>
    <w:rsid w:val="00B73C81"/>
    <w:rsid w:val="00B76D6B"/>
    <w:rsid w:val="00B85697"/>
    <w:rsid w:val="00BA5025"/>
    <w:rsid w:val="00BB0493"/>
    <w:rsid w:val="00BB2FBD"/>
    <w:rsid w:val="00BD0426"/>
    <w:rsid w:val="00BF6F63"/>
    <w:rsid w:val="00C0617B"/>
    <w:rsid w:val="00C11E23"/>
    <w:rsid w:val="00C22ADE"/>
    <w:rsid w:val="00C305BE"/>
    <w:rsid w:val="00C40B3C"/>
    <w:rsid w:val="00C42999"/>
    <w:rsid w:val="00C55D02"/>
    <w:rsid w:val="00C56ADD"/>
    <w:rsid w:val="00C61E09"/>
    <w:rsid w:val="00C621E2"/>
    <w:rsid w:val="00C7182E"/>
    <w:rsid w:val="00C84DC1"/>
    <w:rsid w:val="00C86641"/>
    <w:rsid w:val="00CA2C25"/>
    <w:rsid w:val="00CB6AF1"/>
    <w:rsid w:val="00CC27F6"/>
    <w:rsid w:val="00D05FF6"/>
    <w:rsid w:val="00D117E6"/>
    <w:rsid w:val="00D12333"/>
    <w:rsid w:val="00D16E0C"/>
    <w:rsid w:val="00D20B4A"/>
    <w:rsid w:val="00D2764A"/>
    <w:rsid w:val="00D54EBA"/>
    <w:rsid w:val="00D551C2"/>
    <w:rsid w:val="00D87ACC"/>
    <w:rsid w:val="00DA7072"/>
    <w:rsid w:val="00DB3C7F"/>
    <w:rsid w:val="00DB417A"/>
    <w:rsid w:val="00DC4688"/>
    <w:rsid w:val="00DD795E"/>
    <w:rsid w:val="00DF3E80"/>
    <w:rsid w:val="00DF491C"/>
    <w:rsid w:val="00E01426"/>
    <w:rsid w:val="00E01898"/>
    <w:rsid w:val="00E03263"/>
    <w:rsid w:val="00E0797C"/>
    <w:rsid w:val="00E217C8"/>
    <w:rsid w:val="00E23F22"/>
    <w:rsid w:val="00E2668D"/>
    <w:rsid w:val="00E27712"/>
    <w:rsid w:val="00E354DA"/>
    <w:rsid w:val="00E43615"/>
    <w:rsid w:val="00E45584"/>
    <w:rsid w:val="00E50319"/>
    <w:rsid w:val="00E56F67"/>
    <w:rsid w:val="00E65D41"/>
    <w:rsid w:val="00E7035C"/>
    <w:rsid w:val="00E81487"/>
    <w:rsid w:val="00E93946"/>
    <w:rsid w:val="00EA3140"/>
    <w:rsid w:val="00ED42A1"/>
    <w:rsid w:val="00ED57BC"/>
    <w:rsid w:val="00EE061A"/>
    <w:rsid w:val="00EE11D4"/>
    <w:rsid w:val="00EE5214"/>
    <w:rsid w:val="00F03350"/>
    <w:rsid w:val="00F04942"/>
    <w:rsid w:val="00F16777"/>
    <w:rsid w:val="00F23646"/>
    <w:rsid w:val="00F23A3A"/>
    <w:rsid w:val="00F23F4E"/>
    <w:rsid w:val="00F25B6A"/>
    <w:rsid w:val="00F3630B"/>
    <w:rsid w:val="00F367CB"/>
    <w:rsid w:val="00F400A3"/>
    <w:rsid w:val="00F40C66"/>
    <w:rsid w:val="00F41BBC"/>
    <w:rsid w:val="00F55AA0"/>
    <w:rsid w:val="00F75AE6"/>
    <w:rsid w:val="00F82FED"/>
    <w:rsid w:val="00F85082"/>
    <w:rsid w:val="00FA2F8D"/>
    <w:rsid w:val="00FB3A05"/>
    <w:rsid w:val="00FB5DF7"/>
    <w:rsid w:val="00FC3A34"/>
    <w:rsid w:val="00FC3DA6"/>
    <w:rsid w:val="00FC5BA7"/>
    <w:rsid w:val="00FC7384"/>
    <w:rsid w:val="00FC7FF9"/>
    <w:rsid w:val="00FE492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78D"/>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character" w:customStyle="1" w:styleId="cf01">
    <w:name w:val="cf01"/>
    <w:basedOn w:val="Standardnpsmoodstavce"/>
    <w:rsid w:val="00C11E23"/>
    <w:rPr>
      <w:rFonts w:ascii="Segoe UI" w:hAnsi="Segoe UI" w:cs="Segoe UI" w:hint="default"/>
      <w:sz w:val="18"/>
      <w:szCs w:val="18"/>
    </w:rPr>
  </w:style>
  <w:style w:type="character" w:customStyle="1" w:styleId="cf11">
    <w:name w:val="cf11"/>
    <w:basedOn w:val="Standardnpsmoodstavce"/>
    <w:rsid w:val="00C11E23"/>
    <w:rPr>
      <w:rFonts w:ascii="Segoe UI" w:hAnsi="Segoe UI" w:cs="Segoe UI" w:hint="default"/>
      <w:i/>
      <w:iCs/>
      <w:sz w:val="18"/>
      <w:szCs w:val="18"/>
    </w:rPr>
  </w:style>
  <w:style w:type="character" w:customStyle="1" w:styleId="form-field">
    <w:name w:val="form-field"/>
    <w:basedOn w:val="Standardnpsmoodstavce"/>
    <w:rsid w:val="0089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2070</Words>
  <Characters>12218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2023-07-10T11:31:00Z</dcterms:created>
  <dcterms:modified xsi:type="dcterms:W3CDTF">2023-07-12T09:09:00Z</dcterms:modified>
</cp:coreProperties>
</file>