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6DB" w:rsidRDefault="006164B6">
      <w:pPr>
        <w:pStyle w:val="Zkladntext20"/>
        <w:shd w:val="clear" w:color="auto" w:fill="auto"/>
        <w:spacing w:after="0"/>
        <w:ind w:left="0"/>
      </w:pPr>
      <w:r>
        <w:t>KAPLANOVA 1931/1</w:t>
      </w:r>
    </w:p>
    <w:p w:rsidR="009156DB" w:rsidRDefault="006164B6">
      <w:pPr>
        <w:pStyle w:val="Zkladntext20"/>
        <w:shd w:val="clear" w:color="auto" w:fill="auto"/>
        <w:ind w:left="0"/>
      </w:pPr>
      <w:r>
        <w:t>148 00 PRAHA 11 - CHODOV</w:t>
      </w:r>
    </w:p>
    <w:p w:rsidR="009156DB" w:rsidRDefault="006164B6">
      <w:pPr>
        <w:pStyle w:val="Zkladntext20"/>
        <w:shd w:val="clear" w:color="auto" w:fill="auto"/>
        <w:spacing w:after="0"/>
        <w:ind w:left="8040"/>
        <w:jc w:val="left"/>
      </w:pPr>
      <w:r>
        <w:t>TEL: 951 421 242</w:t>
      </w:r>
    </w:p>
    <w:p w:rsidR="009156DB" w:rsidRDefault="006164B6">
      <w:pPr>
        <w:pStyle w:val="Zkladntext20"/>
        <w:shd w:val="clear" w:color="auto" w:fill="auto"/>
        <w:ind w:left="612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504825</wp:posOffset>
                </wp:positionH>
                <wp:positionV relativeFrom="paragraph">
                  <wp:posOffset>38100</wp:posOffset>
                </wp:positionV>
                <wp:extent cx="1432560" cy="5118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432560" cy="511810"/>
                        </a:xfrm>
                        <a:prstGeom prst="rect">
                          <a:avLst/>
                        </a:prstGeom>
                        <a:noFill/>
                      </wps:spPr>
                      <wps:txbx>
                        <w:txbxContent>
                          <w:p w:rsidR="009156DB" w:rsidRDefault="006164B6">
                            <w:pPr>
                              <w:pStyle w:val="Zkladntext30"/>
                              <w:shd w:val="clear" w:color="auto" w:fill="auto"/>
                            </w:pPr>
                            <w:r>
                              <w:t>TAGENTURA OCHRANY PŘÍRODY A KRAJINY — ČESKÉ REPUBLIKY</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75pt;margin-top:3.pt;width:112.8pt;height:40.299999999999997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after="0"/>
                        <w:ind w:left="0" w:right="0"/>
                        <w:jc w:val="left"/>
                      </w:pPr>
                      <w:r>
                        <w:rPr>
                          <w:spacing w:val="0"/>
                          <w:w w:val="100"/>
                          <w:position w:val="0"/>
                          <w:shd w:val="clear" w:color="auto" w:fill="auto"/>
                          <w:lang w:val="cs-CZ" w:eastAsia="cs-CZ" w:bidi="cs-CZ"/>
                        </w:rPr>
                        <w:t>TAGENTURA OCHRANY PŘÍRODY A KRAJINY — ČESKÉ REPUBLIKY</w:t>
                      </w:r>
                    </w:p>
                  </w:txbxContent>
                </v:textbox>
                <w10:wrap type="square" anchorx="page"/>
              </v:shape>
            </w:pict>
          </mc:Fallback>
        </mc:AlternateContent>
      </w:r>
      <w:r>
        <w:t>FAX: 951 421 241</w:t>
      </w:r>
    </w:p>
    <w:p w:rsidR="009156DB" w:rsidRDefault="006164B6">
      <w:pPr>
        <w:pStyle w:val="Zkladntext20"/>
        <w:pBdr>
          <w:bottom w:val="single" w:sz="4" w:space="0" w:color="auto"/>
        </w:pBdr>
        <w:shd w:val="clear" w:color="auto" w:fill="auto"/>
        <w:spacing w:after="260"/>
      </w:pPr>
      <w:r>
        <w:t xml:space="preserve">ID DS: DKKDKDJ </w:t>
      </w:r>
      <w:hyperlink r:id="rId7" w:history="1">
        <w:r>
          <w:rPr>
            <w:lang w:val="en-US" w:eastAsia="en-US" w:bidi="en-US"/>
          </w:rPr>
          <w:t>aopkcr@nature.cz</w:t>
        </w:r>
      </w:hyperlink>
    </w:p>
    <w:p w:rsidR="009156DB" w:rsidRDefault="006164B6">
      <w:pPr>
        <w:pStyle w:val="Zkladntext1"/>
        <w:shd w:val="clear" w:color="auto" w:fill="auto"/>
        <w:spacing w:after="300" w:line="240" w:lineRule="auto"/>
        <w:jc w:val="right"/>
      </w:pPr>
      <w:r>
        <w:t>Číslo smlouvy: 08751/SVSL/23</w:t>
      </w:r>
    </w:p>
    <w:p w:rsidR="009156DB" w:rsidRDefault="006164B6">
      <w:pPr>
        <w:pStyle w:val="Nadpis10"/>
        <w:keepNext/>
        <w:keepLines/>
        <w:shd w:val="clear" w:color="auto" w:fill="auto"/>
      </w:pPr>
      <w:bookmarkStart w:id="0" w:name="bookmark0"/>
      <w:bookmarkStart w:id="1" w:name="bookmark1"/>
      <w:r>
        <w:t xml:space="preserve">SMLOUVA O DODÁVCE </w:t>
      </w:r>
      <w:r>
        <w:t>SOFTWARE</w:t>
      </w:r>
      <w:bookmarkEnd w:id="0"/>
      <w:bookmarkEnd w:id="1"/>
    </w:p>
    <w:p w:rsidR="009156DB" w:rsidRDefault="006164B6">
      <w:pPr>
        <w:pStyle w:val="Nadpis20"/>
        <w:keepNext/>
        <w:keepLines/>
        <w:shd w:val="clear" w:color="auto" w:fill="auto"/>
        <w:spacing w:after="500" w:line="240" w:lineRule="auto"/>
        <w:jc w:val="both"/>
      </w:pPr>
      <w:bookmarkStart w:id="2" w:name="bookmark2"/>
      <w:bookmarkStart w:id="3" w:name="bookmark3"/>
      <w:r>
        <w:t>UZAVŘENÁ DLE USTANOVENÍ § 1746 ODST. 2 ZÁK. Č. 89/2012 SB., OBČANSKÉHO ZÁKONÍKU</w:t>
      </w:r>
      <w:bookmarkEnd w:id="2"/>
      <w:bookmarkEnd w:id="3"/>
    </w:p>
    <w:tbl>
      <w:tblPr>
        <w:tblOverlap w:val="never"/>
        <w:tblW w:w="0" w:type="auto"/>
        <w:tblLayout w:type="fixed"/>
        <w:tblCellMar>
          <w:left w:w="10" w:type="dxa"/>
          <w:right w:w="10" w:type="dxa"/>
        </w:tblCellMar>
        <w:tblLook w:val="0000" w:firstRow="0" w:lastRow="0" w:firstColumn="0" w:lastColumn="0" w:noHBand="0" w:noVBand="0"/>
      </w:tblPr>
      <w:tblGrid>
        <w:gridCol w:w="2050"/>
        <w:gridCol w:w="6058"/>
      </w:tblGrid>
      <w:tr w:rsidR="009156DB">
        <w:tblPrEx>
          <w:tblCellMar>
            <w:top w:w="0" w:type="dxa"/>
            <w:bottom w:w="0" w:type="dxa"/>
          </w:tblCellMar>
        </w:tblPrEx>
        <w:trPr>
          <w:trHeight w:hRule="exact" w:val="418"/>
        </w:trPr>
        <w:tc>
          <w:tcPr>
            <w:tcW w:w="2050" w:type="dxa"/>
            <w:shd w:val="clear" w:color="auto" w:fill="FFFFFF"/>
          </w:tcPr>
          <w:p w:rsidR="009156DB" w:rsidRDefault="009156DB">
            <w:pPr>
              <w:rPr>
                <w:sz w:val="10"/>
                <w:szCs w:val="10"/>
              </w:rPr>
            </w:pPr>
          </w:p>
        </w:tc>
        <w:tc>
          <w:tcPr>
            <w:tcW w:w="6058" w:type="dxa"/>
            <w:shd w:val="clear" w:color="auto" w:fill="FFFFFF"/>
          </w:tcPr>
          <w:p w:rsidR="009156DB" w:rsidRDefault="006164B6">
            <w:pPr>
              <w:pStyle w:val="Jin0"/>
              <w:shd w:val="clear" w:color="auto" w:fill="auto"/>
              <w:spacing w:after="0" w:line="240" w:lineRule="auto"/>
              <w:ind w:left="1480"/>
            </w:pPr>
            <w:r>
              <w:rPr>
                <w:b/>
                <w:bCs/>
              </w:rPr>
              <w:t>1. Smluvní strany</w:t>
            </w:r>
          </w:p>
        </w:tc>
      </w:tr>
      <w:tr w:rsidR="009156DB">
        <w:tblPrEx>
          <w:tblCellMar>
            <w:top w:w="0" w:type="dxa"/>
            <w:bottom w:w="0" w:type="dxa"/>
          </w:tblCellMar>
        </w:tblPrEx>
        <w:trPr>
          <w:trHeight w:hRule="exact" w:val="893"/>
        </w:trPr>
        <w:tc>
          <w:tcPr>
            <w:tcW w:w="2050" w:type="dxa"/>
            <w:shd w:val="clear" w:color="auto" w:fill="FFFFFF"/>
            <w:vAlign w:val="bottom"/>
          </w:tcPr>
          <w:p w:rsidR="009156DB" w:rsidRDefault="006164B6">
            <w:pPr>
              <w:pStyle w:val="Jin0"/>
              <w:shd w:val="clear" w:color="auto" w:fill="auto"/>
              <w:spacing w:after="140" w:line="240" w:lineRule="auto"/>
              <w:ind w:firstLine="360"/>
            </w:pPr>
            <w:r>
              <w:t xml:space="preserve">1.1. </w:t>
            </w:r>
            <w:r>
              <w:rPr>
                <w:b/>
                <w:bCs/>
              </w:rPr>
              <w:t>Objednatel</w:t>
            </w:r>
          </w:p>
          <w:p w:rsidR="009156DB" w:rsidRDefault="006164B6">
            <w:pPr>
              <w:pStyle w:val="Jin0"/>
              <w:shd w:val="clear" w:color="auto" w:fill="auto"/>
              <w:spacing w:after="0" w:line="240" w:lineRule="auto"/>
            </w:pPr>
            <w:r>
              <w:rPr>
                <w:b/>
                <w:bCs/>
              </w:rPr>
              <w:t>Česká republika -</w:t>
            </w:r>
          </w:p>
        </w:tc>
        <w:tc>
          <w:tcPr>
            <w:tcW w:w="6058" w:type="dxa"/>
            <w:shd w:val="clear" w:color="auto" w:fill="FFFFFF"/>
            <w:vAlign w:val="bottom"/>
          </w:tcPr>
          <w:p w:rsidR="009156DB" w:rsidRDefault="006164B6">
            <w:pPr>
              <w:pStyle w:val="Jin0"/>
              <w:shd w:val="clear" w:color="auto" w:fill="auto"/>
              <w:spacing w:after="0" w:line="240" w:lineRule="auto"/>
              <w:jc w:val="both"/>
            </w:pPr>
            <w:r>
              <w:rPr>
                <w:b/>
                <w:bCs/>
              </w:rPr>
              <w:t>Agentura ochrany přírody a krajiny České republiky</w:t>
            </w:r>
          </w:p>
        </w:tc>
      </w:tr>
      <w:tr w:rsidR="009156DB">
        <w:tblPrEx>
          <w:tblCellMar>
            <w:top w:w="0" w:type="dxa"/>
            <w:bottom w:w="0" w:type="dxa"/>
          </w:tblCellMar>
        </w:tblPrEx>
        <w:trPr>
          <w:trHeight w:hRule="exact" w:val="307"/>
        </w:trPr>
        <w:tc>
          <w:tcPr>
            <w:tcW w:w="2050" w:type="dxa"/>
            <w:shd w:val="clear" w:color="auto" w:fill="FFFFFF"/>
            <w:vAlign w:val="bottom"/>
          </w:tcPr>
          <w:p w:rsidR="009156DB" w:rsidRDefault="006164B6">
            <w:pPr>
              <w:pStyle w:val="Jin0"/>
              <w:shd w:val="clear" w:color="auto" w:fill="auto"/>
              <w:spacing w:after="0" w:line="240" w:lineRule="auto"/>
            </w:pPr>
            <w:r>
              <w:t>Sídlo:</w:t>
            </w:r>
          </w:p>
        </w:tc>
        <w:tc>
          <w:tcPr>
            <w:tcW w:w="6058" w:type="dxa"/>
            <w:shd w:val="clear" w:color="auto" w:fill="FFFFFF"/>
            <w:vAlign w:val="bottom"/>
          </w:tcPr>
          <w:p w:rsidR="009156DB" w:rsidRDefault="006164B6">
            <w:pPr>
              <w:pStyle w:val="Jin0"/>
              <w:shd w:val="clear" w:color="auto" w:fill="auto"/>
              <w:spacing w:after="0" w:line="240" w:lineRule="auto"/>
              <w:jc w:val="both"/>
            </w:pPr>
            <w:r>
              <w:t>Kaplanova 1931/1, 148 00 Praha 11 - Chodov</w:t>
            </w:r>
          </w:p>
        </w:tc>
      </w:tr>
      <w:tr w:rsidR="009156DB">
        <w:tblPrEx>
          <w:tblCellMar>
            <w:top w:w="0" w:type="dxa"/>
            <w:bottom w:w="0" w:type="dxa"/>
          </w:tblCellMar>
        </w:tblPrEx>
        <w:trPr>
          <w:trHeight w:hRule="exact" w:val="259"/>
        </w:trPr>
        <w:tc>
          <w:tcPr>
            <w:tcW w:w="2050" w:type="dxa"/>
            <w:shd w:val="clear" w:color="auto" w:fill="FFFFFF"/>
            <w:vAlign w:val="bottom"/>
          </w:tcPr>
          <w:p w:rsidR="009156DB" w:rsidRDefault="006164B6">
            <w:pPr>
              <w:pStyle w:val="Jin0"/>
              <w:shd w:val="clear" w:color="auto" w:fill="auto"/>
              <w:spacing w:after="0" w:line="240" w:lineRule="auto"/>
            </w:pPr>
            <w:r>
              <w:t>Jednající:</w:t>
            </w:r>
          </w:p>
        </w:tc>
        <w:tc>
          <w:tcPr>
            <w:tcW w:w="6058" w:type="dxa"/>
            <w:shd w:val="clear" w:color="auto" w:fill="FFFFFF"/>
            <w:vAlign w:val="bottom"/>
          </w:tcPr>
          <w:p w:rsidR="009156DB" w:rsidRDefault="006164B6">
            <w:pPr>
              <w:pStyle w:val="Jin0"/>
              <w:shd w:val="clear" w:color="auto" w:fill="auto"/>
              <w:spacing w:after="0" w:line="240" w:lineRule="auto"/>
              <w:jc w:val="both"/>
            </w:pPr>
            <w:r>
              <w:t>RNDr. František Pelc, ředitel</w:t>
            </w:r>
          </w:p>
        </w:tc>
      </w:tr>
      <w:tr w:rsidR="009156DB">
        <w:tblPrEx>
          <w:tblCellMar>
            <w:top w:w="0" w:type="dxa"/>
            <w:bottom w:w="0" w:type="dxa"/>
          </w:tblCellMar>
        </w:tblPrEx>
        <w:trPr>
          <w:trHeight w:hRule="exact" w:val="254"/>
        </w:trPr>
        <w:tc>
          <w:tcPr>
            <w:tcW w:w="2050" w:type="dxa"/>
            <w:shd w:val="clear" w:color="auto" w:fill="FFFFFF"/>
            <w:vAlign w:val="bottom"/>
          </w:tcPr>
          <w:p w:rsidR="009156DB" w:rsidRDefault="006164B6">
            <w:pPr>
              <w:pStyle w:val="Jin0"/>
              <w:shd w:val="clear" w:color="auto" w:fill="auto"/>
              <w:spacing w:after="0" w:line="240" w:lineRule="auto"/>
            </w:pPr>
            <w:r>
              <w:t>IČO:</w:t>
            </w:r>
          </w:p>
        </w:tc>
        <w:tc>
          <w:tcPr>
            <w:tcW w:w="6058" w:type="dxa"/>
            <w:shd w:val="clear" w:color="auto" w:fill="FFFFFF"/>
            <w:vAlign w:val="bottom"/>
          </w:tcPr>
          <w:p w:rsidR="009156DB" w:rsidRDefault="006164B6">
            <w:pPr>
              <w:pStyle w:val="Jin0"/>
              <w:shd w:val="clear" w:color="auto" w:fill="auto"/>
              <w:spacing w:after="0" w:line="240" w:lineRule="auto"/>
              <w:jc w:val="both"/>
            </w:pPr>
            <w:r>
              <w:t>629 335 91</w:t>
            </w:r>
          </w:p>
        </w:tc>
      </w:tr>
      <w:tr w:rsidR="009156DB">
        <w:tblPrEx>
          <w:tblCellMar>
            <w:top w:w="0" w:type="dxa"/>
            <w:bottom w:w="0" w:type="dxa"/>
          </w:tblCellMar>
        </w:tblPrEx>
        <w:trPr>
          <w:trHeight w:hRule="exact" w:val="274"/>
        </w:trPr>
        <w:tc>
          <w:tcPr>
            <w:tcW w:w="2050" w:type="dxa"/>
            <w:shd w:val="clear" w:color="auto" w:fill="FFFFFF"/>
            <w:vAlign w:val="bottom"/>
          </w:tcPr>
          <w:p w:rsidR="009156DB" w:rsidRDefault="006164B6">
            <w:pPr>
              <w:pStyle w:val="Jin0"/>
              <w:shd w:val="clear" w:color="auto" w:fill="auto"/>
              <w:spacing w:after="0" w:line="240" w:lineRule="auto"/>
            </w:pPr>
            <w:r>
              <w:t>Bankovní spojení:</w:t>
            </w:r>
          </w:p>
        </w:tc>
        <w:tc>
          <w:tcPr>
            <w:tcW w:w="6058" w:type="dxa"/>
            <w:tcBorders>
              <w:bottom w:val="single" w:sz="4" w:space="0" w:color="auto"/>
            </w:tcBorders>
            <w:shd w:val="clear" w:color="auto" w:fill="FFFFFF"/>
            <w:vAlign w:val="bottom"/>
          </w:tcPr>
          <w:p w:rsidR="009156DB" w:rsidRDefault="006164B6">
            <w:pPr>
              <w:pStyle w:val="Jin0"/>
              <w:shd w:val="clear" w:color="auto" w:fill="auto"/>
              <w:spacing w:after="0" w:line="240" w:lineRule="auto"/>
            </w:pPr>
            <w:r>
              <w:t>ČNB Praha, Číslo účtu: 18228011/0710</w:t>
            </w:r>
          </w:p>
        </w:tc>
      </w:tr>
    </w:tbl>
    <w:p w:rsidR="009156DB" w:rsidRDefault="006164B6">
      <w:pPr>
        <w:pStyle w:val="Titulektabulky0"/>
        <w:shd w:val="clear" w:color="auto" w:fill="auto"/>
        <w:spacing w:line="240" w:lineRule="auto"/>
      </w:pPr>
      <w:r>
        <w:t>Kontaktní osoba pro věci technické:</w:t>
      </w:r>
    </w:p>
    <w:p w:rsidR="009156DB" w:rsidRDefault="009156DB">
      <w:pPr>
        <w:spacing w:after="299" w:line="1" w:lineRule="exact"/>
      </w:pPr>
    </w:p>
    <w:p w:rsidR="009156DB" w:rsidRDefault="006164B6">
      <w:pPr>
        <w:pStyle w:val="Zkladntext1"/>
        <w:shd w:val="clear" w:color="auto" w:fill="auto"/>
        <w:spacing w:after="760" w:line="240" w:lineRule="auto"/>
        <w:jc w:val="both"/>
      </w:pPr>
      <w:r>
        <w:t xml:space="preserve">(dále jen </w:t>
      </w:r>
      <w:r>
        <w:rPr>
          <w:u w:val="single"/>
        </w:rPr>
        <w:t>„objednatel</w:t>
      </w:r>
      <w:r>
        <w:t>“)</w:t>
      </w:r>
    </w:p>
    <w:p w:rsidR="009156DB" w:rsidRDefault="006164B6">
      <w:pPr>
        <w:pStyle w:val="Zkladntext1"/>
        <w:shd w:val="clear" w:color="auto" w:fill="auto"/>
        <w:spacing w:after="400" w:line="240" w:lineRule="auto"/>
        <w:ind w:firstLine="380"/>
        <w:jc w:val="both"/>
      </w:pPr>
      <w:r>
        <w:t xml:space="preserve">1.2. </w:t>
      </w:r>
      <w:r>
        <w:rPr>
          <w:b/>
          <w:bCs/>
        </w:rPr>
        <w:t>Dodavatel</w:t>
      </w:r>
    </w:p>
    <w:tbl>
      <w:tblPr>
        <w:tblOverlap w:val="never"/>
        <w:tblW w:w="0" w:type="auto"/>
        <w:tblLayout w:type="fixed"/>
        <w:tblCellMar>
          <w:left w:w="10" w:type="dxa"/>
          <w:right w:w="10" w:type="dxa"/>
        </w:tblCellMar>
        <w:tblLook w:val="0000" w:firstRow="0" w:lastRow="0" w:firstColumn="0" w:lastColumn="0" w:noHBand="0" w:noVBand="0"/>
      </w:tblPr>
      <w:tblGrid>
        <w:gridCol w:w="1282"/>
        <w:gridCol w:w="6902"/>
      </w:tblGrid>
      <w:tr w:rsidR="009156DB">
        <w:tblPrEx>
          <w:tblCellMar>
            <w:top w:w="0" w:type="dxa"/>
            <w:bottom w:w="0" w:type="dxa"/>
          </w:tblCellMar>
        </w:tblPrEx>
        <w:trPr>
          <w:trHeight w:hRule="exact" w:val="490"/>
        </w:trPr>
        <w:tc>
          <w:tcPr>
            <w:tcW w:w="1282" w:type="dxa"/>
            <w:shd w:val="clear" w:color="auto" w:fill="FFFFFF"/>
            <w:vAlign w:val="bottom"/>
          </w:tcPr>
          <w:p w:rsidR="009156DB" w:rsidRDefault="006164B6">
            <w:pPr>
              <w:pStyle w:val="Jin0"/>
              <w:shd w:val="clear" w:color="auto" w:fill="auto"/>
              <w:spacing w:after="0" w:line="240" w:lineRule="auto"/>
            </w:pPr>
            <w:r>
              <w:rPr>
                <w:b/>
                <w:bCs/>
              </w:rPr>
              <w:t>Caleum a.s.</w:t>
            </w:r>
          </w:p>
          <w:p w:rsidR="009156DB" w:rsidRDefault="006164B6">
            <w:pPr>
              <w:pStyle w:val="Jin0"/>
              <w:shd w:val="clear" w:color="auto" w:fill="auto"/>
              <w:spacing w:after="0" w:line="240" w:lineRule="auto"/>
            </w:pPr>
            <w:r>
              <w:t>Sídlo:</w:t>
            </w:r>
          </w:p>
        </w:tc>
        <w:tc>
          <w:tcPr>
            <w:tcW w:w="6902" w:type="dxa"/>
            <w:shd w:val="clear" w:color="auto" w:fill="FFFFFF"/>
            <w:vAlign w:val="bottom"/>
          </w:tcPr>
          <w:p w:rsidR="009156DB" w:rsidRDefault="006164B6">
            <w:pPr>
              <w:pStyle w:val="Jin0"/>
              <w:shd w:val="clear" w:color="auto" w:fill="auto"/>
              <w:spacing w:after="0" w:line="240" w:lineRule="auto"/>
              <w:ind w:firstLine="140"/>
            </w:pPr>
            <w:r>
              <w:t>Italská 438/36, Žižkov, 130 00 Praha 3</w:t>
            </w:r>
          </w:p>
        </w:tc>
      </w:tr>
      <w:tr w:rsidR="009156DB">
        <w:tblPrEx>
          <w:tblCellMar>
            <w:top w:w="0" w:type="dxa"/>
            <w:bottom w:w="0" w:type="dxa"/>
          </w:tblCellMar>
        </w:tblPrEx>
        <w:trPr>
          <w:trHeight w:hRule="exact" w:val="274"/>
        </w:trPr>
        <w:tc>
          <w:tcPr>
            <w:tcW w:w="1282" w:type="dxa"/>
            <w:shd w:val="clear" w:color="auto" w:fill="FFFFFF"/>
            <w:vAlign w:val="bottom"/>
          </w:tcPr>
          <w:p w:rsidR="009156DB" w:rsidRDefault="006164B6">
            <w:pPr>
              <w:pStyle w:val="Jin0"/>
              <w:shd w:val="clear" w:color="auto" w:fill="auto"/>
              <w:spacing w:after="0" w:line="240" w:lineRule="auto"/>
            </w:pPr>
            <w:r>
              <w:t>Jednající:</w:t>
            </w:r>
          </w:p>
        </w:tc>
        <w:tc>
          <w:tcPr>
            <w:tcW w:w="6902" w:type="dxa"/>
            <w:shd w:val="clear" w:color="auto" w:fill="FFFFFF"/>
            <w:vAlign w:val="bottom"/>
          </w:tcPr>
          <w:p w:rsidR="009156DB" w:rsidRDefault="006164B6">
            <w:pPr>
              <w:pStyle w:val="Jin0"/>
              <w:shd w:val="clear" w:color="auto" w:fill="auto"/>
              <w:spacing w:after="0" w:line="240" w:lineRule="auto"/>
              <w:ind w:firstLine="140"/>
            </w:pPr>
            <w:r>
              <w:t>Josef</w:t>
            </w:r>
            <w:r>
              <w:t xml:space="preserve"> Ladra, předseda představenstva</w:t>
            </w:r>
          </w:p>
        </w:tc>
      </w:tr>
      <w:tr w:rsidR="009156DB">
        <w:tblPrEx>
          <w:tblCellMar>
            <w:top w:w="0" w:type="dxa"/>
            <w:bottom w:w="0" w:type="dxa"/>
          </w:tblCellMar>
        </w:tblPrEx>
        <w:trPr>
          <w:trHeight w:hRule="exact" w:val="245"/>
        </w:trPr>
        <w:tc>
          <w:tcPr>
            <w:tcW w:w="1282" w:type="dxa"/>
            <w:shd w:val="clear" w:color="auto" w:fill="FFFFFF"/>
            <w:vAlign w:val="bottom"/>
          </w:tcPr>
          <w:p w:rsidR="009156DB" w:rsidRDefault="006164B6">
            <w:pPr>
              <w:pStyle w:val="Jin0"/>
              <w:shd w:val="clear" w:color="auto" w:fill="auto"/>
              <w:spacing w:after="0" w:line="240" w:lineRule="auto"/>
            </w:pPr>
            <w:r>
              <w:t>IČO:</w:t>
            </w:r>
          </w:p>
        </w:tc>
        <w:tc>
          <w:tcPr>
            <w:tcW w:w="6902" w:type="dxa"/>
            <w:shd w:val="clear" w:color="auto" w:fill="FFFFFF"/>
            <w:vAlign w:val="bottom"/>
          </w:tcPr>
          <w:p w:rsidR="009156DB" w:rsidRDefault="006164B6">
            <w:pPr>
              <w:pStyle w:val="Jin0"/>
              <w:shd w:val="clear" w:color="auto" w:fill="auto"/>
              <w:spacing w:after="0" w:line="240" w:lineRule="auto"/>
              <w:ind w:firstLine="140"/>
            </w:pPr>
            <w:r>
              <w:t>28351363</w:t>
            </w:r>
          </w:p>
        </w:tc>
      </w:tr>
      <w:tr w:rsidR="009156DB">
        <w:tblPrEx>
          <w:tblCellMar>
            <w:top w:w="0" w:type="dxa"/>
            <w:bottom w:w="0" w:type="dxa"/>
          </w:tblCellMar>
        </w:tblPrEx>
        <w:trPr>
          <w:trHeight w:hRule="exact" w:val="230"/>
        </w:trPr>
        <w:tc>
          <w:tcPr>
            <w:tcW w:w="1282" w:type="dxa"/>
            <w:shd w:val="clear" w:color="auto" w:fill="FFFFFF"/>
            <w:vAlign w:val="bottom"/>
          </w:tcPr>
          <w:p w:rsidR="009156DB" w:rsidRDefault="006164B6">
            <w:pPr>
              <w:pStyle w:val="Jin0"/>
              <w:shd w:val="clear" w:color="auto" w:fill="auto"/>
              <w:spacing w:after="0" w:line="240" w:lineRule="auto"/>
            </w:pPr>
            <w:r>
              <w:t>DIČ:</w:t>
            </w:r>
          </w:p>
        </w:tc>
        <w:tc>
          <w:tcPr>
            <w:tcW w:w="6902" w:type="dxa"/>
            <w:shd w:val="clear" w:color="auto" w:fill="FFFFFF"/>
            <w:vAlign w:val="bottom"/>
          </w:tcPr>
          <w:p w:rsidR="009156DB" w:rsidRDefault="006164B6">
            <w:pPr>
              <w:pStyle w:val="Jin0"/>
              <w:shd w:val="clear" w:color="auto" w:fill="auto"/>
              <w:spacing w:after="0" w:line="240" w:lineRule="auto"/>
              <w:ind w:firstLine="140"/>
            </w:pPr>
            <w:r>
              <w:t>CZ28351363</w:t>
            </w:r>
          </w:p>
        </w:tc>
      </w:tr>
    </w:tbl>
    <w:p w:rsidR="009156DB" w:rsidRDefault="006164B6">
      <w:pPr>
        <w:pStyle w:val="Titulektabulky0"/>
        <w:shd w:val="clear" w:color="auto" w:fill="auto"/>
      </w:pPr>
      <w:r>
        <w:t>Bankovní spojení: Komerční banka, Číslo účtu: 107-2149840277/0100</w:t>
      </w:r>
    </w:p>
    <w:p w:rsidR="00BD6153" w:rsidRDefault="006164B6">
      <w:pPr>
        <w:pStyle w:val="Titulektabulky0"/>
        <w:shd w:val="clear" w:color="auto" w:fill="auto"/>
      </w:pPr>
      <w:r>
        <w:t xml:space="preserve">zapsaná v obchodním rejstříku vedeném Městským soudem v Praze, sp. zn. B 18559 </w:t>
      </w:r>
    </w:p>
    <w:p w:rsidR="00BD6153" w:rsidRDefault="006164B6">
      <w:pPr>
        <w:pStyle w:val="Titulektabulky0"/>
        <w:shd w:val="clear" w:color="auto" w:fill="auto"/>
      </w:pPr>
      <w:r>
        <w:t xml:space="preserve">E-mail: </w:t>
      </w:r>
    </w:p>
    <w:p w:rsidR="009156DB" w:rsidRDefault="006164B6">
      <w:pPr>
        <w:pStyle w:val="Titulektabulky0"/>
        <w:shd w:val="clear" w:color="auto" w:fill="auto"/>
      </w:pPr>
      <w:r>
        <w:t xml:space="preserve">Telefon: </w:t>
      </w:r>
      <w:r w:rsidR="00BD6153">
        <w:t>xxx xxx xxx</w:t>
      </w:r>
    </w:p>
    <w:p w:rsidR="009156DB" w:rsidRDefault="006164B6">
      <w:pPr>
        <w:pStyle w:val="Titulektabulky0"/>
        <w:shd w:val="clear" w:color="auto" w:fill="auto"/>
      </w:pPr>
      <w:r>
        <w:t>Kontaktní osoba pro věci technické:</w:t>
      </w:r>
    </w:p>
    <w:p w:rsidR="009156DB" w:rsidRDefault="009156DB">
      <w:pPr>
        <w:spacing w:after="499" w:line="1" w:lineRule="exact"/>
      </w:pPr>
    </w:p>
    <w:p w:rsidR="009156DB" w:rsidRDefault="006164B6">
      <w:pPr>
        <w:pStyle w:val="Zkladntext1"/>
        <w:shd w:val="clear" w:color="auto" w:fill="auto"/>
        <w:spacing w:after="500" w:line="240" w:lineRule="auto"/>
        <w:jc w:val="both"/>
      </w:pPr>
      <w:r>
        <w:t xml:space="preserve">(dále jen </w:t>
      </w:r>
      <w:r>
        <w:rPr>
          <w:u w:val="single"/>
        </w:rPr>
        <w:t>„dodavatel</w:t>
      </w:r>
      <w:r>
        <w:t>“)</w:t>
      </w:r>
    </w:p>
    <w:p w:rsidR="009156DB" w:rsidRDefault="006164B6">
      <w:pPr>
        <w:pStyle w:val="Nadpis20"/>
        <w:keepNext/>
        <w:keepLines/>
        <w:numPr>
          <w:ilvl w:val="0"/>
          <w:numId w:val="1"/>
        </w:numPr>
        <w:shd w:val="clear" w:color="auto" w:fill="auto"/>
        <w:tabs>
          <w:tab w:val="left" w:pos="364"/>
        </w:tabs>
      </w:pPr>
      <w:bookmarkStart w:id="4" w:name="bookmark4"/>
      <w:bookmarkStart w:id="5" w:name="bookmark5"/>
      <w:r>
        <w:t>Předmět smlouvy</w:t>
      </w:r>
      <w:bookmarkEnd w:id="4"/>
      <w:bookmarkEnd w:id="5"/>
    </w:p>
    <w:p w:rsidR="009156DB" w:rsidRDefault="006164B6">
      <w:pPr>
        <w:pStyle w:val="Zkladntext1"/>
        <w:numPr>
          <w:ilvl w:val="1"/>
          <w:numId w:val="1"/>
        </w:numPr>
        <w:shd w:val="clear" w:color="auto" w:fill="auto"/>
        <w:tabs>
          <w:tab w:val="left" w:pos="893"/>
        </w:tabs>
        <w:ind w:left="800" w:hanging="420"/>
        <w:jc w:val="both"/>
      </w:pPr>
      <w:r>
        <w:t xml:space="preserve">Předmětem této smlouvy je závazek dodavatele dodat objednateli věc, která je předmětem dodávky a je specifikována v čl. 3 </w:t>
      </w:r>
      <w:proofErr w:type="gramStart"/>
      <w:r>
        <w:t>této</w:t>
      </w:r>
      <w:proofErr w:type="gramEnd"/>
      <w:r>
        <w:t xml:space="preserve"> smlouvy, a </w:t>
      </w:r>
      <w:r>
        <w:t>umožnit objednateli nabýt právo k užívání předmětu dodávky (licenci), a to bez územního omezení, pro účel zajištění vzdáleného přístupu do sítě AOPK ČR a závazek objednatele, že zaplatí dodavateli cenu sjednanou v čl.</w:t>
      </w:r>
      <w:hyperlink w:anchor="bookmark8" w:tooltip="Current Document">
        <w:r>
          <w:t xml:space="preserve"> 4.</w:t>
        </w:r>
      </w:hyperlink>
      <w:r>
        <w:t xml:space="preserve"> této smlouvy.</w:t>
      </w:r>
    </w:p>
    <w:p w:rsidR="009156DB" w:rsidRDefault="006164B6">
      <w:pPr>
        <w:pStyle w:val="Zkladntext1"/>
        <w:numPr>
          <w:ilvl w:val="1"/>
          <w:numId w:val="1"/>
        </w:numPr>
        <w:shd w:val="clear" w:color="auto" w:fill="auto"/>
        <w:tabs>
          <w:tab w:val="left" w:pos="893"/>
        </w:tabs>
        <w:spacing w:after="320"/>
        <w:ind w:left="800" w:hanging="420"/>
        <w:jc w:val="both"/>
      </w:pPr>
      <w:r>
        <w:t xml:space="preserve">Tato smlouva je uzavírána na základě nabídky poskytovatele ze dne </w:t>
      </w:r>
      <w:proofErr w:type="gramStart"/>
      <w:r>
        <w:t>28.5.2023</w:t>
      </w:r>
      <w:proofErr w:type="gramEnd"/>
      <w:r>
        <w:t xml:space="preserve"> na plnění zakázky „Prodloužení podpory VPN Forti a nákup nových licencí“. Uzavření této smlouvy předcházelo zadávací řízení dle interních předpisů </w:t>
      </w:r>
      <w:r>
        <w:t>objednatele.</w:t>
      </w:r>
    </w:p>
    <w:p w:rsidR="009156DB" w:rsidRDefault="006164B6">
      <w:pPr>
        <w:pStyle w:val="Nadpis20"/>
        <w:keepNext/>
        <w:keepLines/>
        <w:numPr>
          <w:ilvl w:val="0"/>
          <w:numId w:val="1"/>
        </w:numPr>
        <w:shd w:val="clear" w:color="auto" w:fill="auto"/>
        <w:tabs>
          <w:tab w:val="left" w:pos="360"/>
        </w:tabs>
        <w:spacing w:line="240" w:lineRule="auto"/>
      </w:pPr>
      <w:bookmarkStart w:id="6" w:name="bookmark6"/>
      <w:bookmarkStart w:id="7" w:name="bookmark7"/>
      <w:r>
        <w:lastRenderedPageBreak/>
        <w:t>Předmět dodávky</w:t>
      </w:r>
      <w:bookmarkEnd w:id="6"/>
      <w:bookmarkEnd w:id="7"/>
    </w:p>
    <w:p w:rsidR="009156DB" w:rsidRDefault="006164B6">
      <w:pPr>
        <w:pStyle w:val="Zkladntext1"/>
        <w:numPr>
          <w:ilvl w:val="1"/>
          <w:numId w:val="1"/>
        </w:numPr>
        <w:shd w:val="clear" w:color="auto" w:fill="auto"/>
        <w:tabs>
          <w:tab w:val="left" w:pos="855"/>
        </w:tabs>
        <w:ind w:firstLine="380"/>
        <w:jc w:val="both"/>
      </w:pPr>
      <w:r>
        <w:t>Předmětem dodávky dle této smlouvy jsou následující věci:</w:t>
      </w:r>
    </w:p>
    <w:p w:rsidR="009156DB" w:rsidRDefault="006164B6">
      <w:pPr>
        <w:pStyle w:val="Zkladntext1"/>
        <w:shd w:val="clear" w:color="auto" w:fill="auto"/>
        <w:ind w:left="1140"/>
        <w:jc w:val="both"/>
      </w:pPr>
      <w:r>
        <w:t xml:space="preserve">Prodloužení podpory VPN Forti a nákup nových licencí dle specifikace uvedené v příloze </w:t>
      </w:r>
      <w:proofErr w:type="gramStart"/>
      <w:r>
        <w:t>č.1 této</w:t>
      </w:r>
      <w:proofErr w:type="gramEnd"/>
      <w:r>
        <w:t xml:space="preserve"> smlouvy.</w:t>
      </w:r>
    </w:p>
    <w:p w:rsidR="009156DB" w:rsidRDefault="006164B6">
      <w:pPr>
        <w:pStyle w:val="Zkladntext1"/>
        <w:numPr>
          <w:ilvl w:val="1"/>
          <w:numId w:val="1"/>
        </w:numPr>
        <w:shd w:val="clear" w:color="auto" w:fill="auto"/>
        <w:tabs>
          <w:tab w:val="left" w:pos="855"/>
        </w:tabs>
        <w:ind w:left="800" w:hanging="420"/>
        <w:jc w:val="both"/>
      </w:pPr>
      <w:r>
        <w:t xml:space="preserve">Smluvní strany se dohodly, že součástí dodávky bude softwarová </w:t>
      </w:r>
      <w:r>
        <w:t>podpora do 16. 2. 2027. Tato podpora zahrnuje veškeré dostupné aktualizace softwaru, a to bez zbytečného odkladu po jejich vydání (maintenance) a technickou podporu poskytovanou Dodavatelem v českém jazyce a dle podmínek výrobce software (support). Cena za</w:t>
      </w:r>
      <w:r>
        <w:t xml:space="preserve"> softwarovou podporu je zahrnuta v ceně předmětu dodávky, stanovené v čl. 4.1 této smlouvy.</w:t>
      </w:r>
    </w:p>
    <w:p w:rsidR="009156DB" w:rsidRDefault="006164B6">
      <w:pPr>
        <w:pStyle w:val="Zkladntext1"/>
        <w:numPr>
          <w:ilvl w:val="1"/>
          <w:numId w:val="1"/>
        </w:numPr>
        <w:shd w:val="clear" w:color="auto" w:fill="auto"/>
        <w:tabs>
          <w:tab w:val="left" w:pos="855"/>
        </w:tabs>
        <w:spacing w:line="276" w:lineRule="auto"/>
        <w:ind w:left="800" w:hanging="420"/>
        <w:jc w:val="both"/>
      </w:pPr>
      <w:r>
        <w:t xml:space="preserve">Součástí předmětu dodávky je i korektní nastavení počtu licencí a doby softwarové podpory na licenčním portále výrobce, které zajistí dodavatel do 3 pracovních dnů </w:t>
      </w:r>
      <w:r>
        <w:t>po poskytnutí licencí (dále jen „Registrace na licenčním portále výrobce).</w:t>
      </w:r>
    </w:p>
    <w:p w:rsidR="009156DB" w:rsidRDefault="006164B6">
      <w:pPr>
        <w:pStyle w:val="Zkladntext1"/>
        <w:shd w:val="clear" w:color="auto" w:fill="auto"/>
        <w:spacing w:after="480"/>
        <w:ind w:firstLine="800"/>
        <w:jc w:val="both"/>
      </w:pPr>
      <w:bookmarkStart w:id="8" w:name="bookmark8"/>
      <w:r>
        <w:t>(dále jako „Předmět dodávky“)</w:t>
      </w:r>
      <w:bookmarkEnd w:id="8"/>
    </w:p>
    <w:p w:rsidR="009156DB" w:rsidRDefault="006164B6">
      <w:pPr>
        <w:pStyle w:val="Nadpis20"/>
        <w:keepNext/>
        <w:keepLines/>
        <w:numPr>
          <w:ilvl w:val="0"/>
          <w:numId w:val="1"/>
        </w:numPr>
        <w:shd w:val="clear" w:color="auto" w:fill="auto"/>
        <w:tabs>
          <w:tab w:val="left" w:pos="360"/>
        </w:tabs>
      </w:pPr>
      <w:bookmarkStart w:id="9" w:name="bookmark10"/>
      <w:bookmarkStart w:id="10" w:name="bookmark9"/>
      <w:r>
        <w:t>Cena a její splatnost</w:t>
      </w:r>
      <w:bookmarkEnd w:id="9"/>
      <w:bookmarkEnd w:id="10"/>
    </w:p>
    <w:p w:rsidR="009156DB" w:rsidRDefault="006164B6">
      <w:pPr>
        <w:pStyle w:val="Zkladntext1"/>
        <w:numPr>
          <w:ilvl w:val="1"/>
          <w:numId w:val="1"/>
        </w:numPr>
        <w:shd w:val="clear" w:color="auto" w:fill="auto"/>
        <w:tabs>
          <w:tab w:val="left" w:pos="840"/>
        </w:tabs>
        <w:spacing w:after="480"/>
        <w:ind w:firstLine="380"/>
        <w:jc w:val="both"/>
      </w:pPr>
      <w:bookmarkStart w:id="11" w:name="bookmark11"/>
      <w:r>
        <w:t xml:space="preserve">Cena za předmět dodávky (dále jen </w:t>
      </w:r>
      <w:r>
        <w:rPr>
          <w:u w:val="single"/>
        </w:rPr>
        <w:t>„cena</w:t>
      </w:r>
      <w:r>
        <w:t>“) je stanovena dohodou smluvních stran a činí</w:t>
      </w:r>
      <w:bookmarkEnd w:id="11"/>
    </w:p>
    <w:p w:rsidR="009156DB" w:rsidRDefault="006164B6">
      <w:pPr>
        <w:pStyle w:val="Zkladntext1"/>
        <w:shd w:val="clear" w:color="auto" w:fill="auto"/>
        <w:tabs>
          <w:tab w:val="left" w:pos="2804"/>
        </w:tabs>
        <w:spacing w:after="0"/>
        <w:ind w:firstLine="860"/>
        <w:jc w:val="both"/>
      </w:pPr>
      <w:r>
        <w:t>Cena bez DPH:</w:t>
      </w:r>
      <w:r>
        <w:tab/>
        <w:t>254 700,- Kč</w:t>
      </w:r>
    </w:p>
    <w:p w:rsidR="009156DB" w:rsidRDefault="006164B6">
      <w:pPr>
        <w:pStyle w:val="Zkladntext1"/>
        <w:shd w:val="clear" w:color="auto" w:fill="auto"/>
        <w:tabs>
          <w:tab w:val="left" w:pos="2804"/>
        </w:tabs>
        <w:spacing w:after="0"/>
        <w:ind w:firstLine="860"/>
        <w:jc w:val="both"/>
      </w:pPr>
      <w:r>
        <w:t>DPH</w:t>
      </w:r>
      <w:r>
        <w:tab/>
        <w:t>53 487,- Kč</w:t>
      </w:r>
    </w:p>
    <w:p w:rsidR="009156DB" w:rsidRDefault="006164B6">
      <w:pPr>
        <w:pStyle w:val="Zkladntext1"/>
        <w:shd w:val="clear" w:color="auto" w:fill="auto"/>
        <w:ind w:firstLine="860"/>
        <w:jc w:val="both"/>
      </w:pPr>
      <w:r>
        <w:t>Cena včetně DPH: 308 187,- Kč (slovy: třistaosmtisícstoosmdesátsedm)</w:t>
      </w:r>
    </w:p>
    <w:p w:rsidR="009156DB" w:rsidRDefault="006164B6">
      <w:pPr>
        <w:pStyle w:val="Zkladntext1"/>
        <w:shd w:val="clear" w:color="auto" w:fill="auto"/>
        <w:ind w:firstLine="860"/>
        <w:jc w:val="both"/>
      </w:pPr>
      <w:r>
        <w:t>Dodavatel je plátcem DPH</w:t>
      </w:r>
    </w:p>
    <w:p w:rsidR="009156DB" w:rsidRDefault="006164B6">
      <w:pPr>
        <w:pStyle w:val="Zkladntext1"/>
        <w:shd w:val="clear" w:color="auto" w:fill="auto"/>
        <w:spacing w:after="480"/>
        <w:ind w:firstLine="860"/>
        <w:jc w:val="both"/>
      </w:pPr>
      <w:r>
        <w:t>Položková specifikace ceny je uvedena v příloze č. 1 této smlouvy.</w:t>
      </w:r>
    </w:p>
    <w:p w:rsidR="009156DB" w:rsidRDefault="006164B6">
      <w:pPr>
        <w:pStyle w:val="Zkladntext1"/>
        <w:numPr>
          <w:ilvl w:val="1"/>
          <w:numId w:val="1"/>
        </w:numPr>
        <w:shd w:val="clear" w:color="auto" w:fill="auto"/>
        <w:tabs>
          <w:tab w:val="left" w:pos="840"/>
        </w:tabs>
        <w:ind w:firstLine="380"/>
        <w:jc w:val="both"/>
      </w:pPr>
      <w:r>
        <w:t>Cena zahrnuje rovněž veškeré náklady dodavatele související s dodávkou objednateli.</w:t>
      </w:r>
    </w:p>
    <w:p w:rsidR="009156DB" w:rsidRDefault="006164B6">
      <w:pPr>
        <w:pStyle w:val="Zkladntext1"/>
        <w:numPr>
          <w:ilvl w:val="1"/>
          <w:numId w:val="1"/>
        </w:numPr>
        <w:shd w:val="clear" w:color="auto" w:fill="auto"/>
        <w:tabs>
          <w:tab w:val="left" w:pos="840"/>
        </w:tabs>
        <w:ind w:left="800" w:hanging="420"/>
        <w:jc w:val="both"/>
      </w:pPr>
      <w:r>
        <w:t xml:space="preserve">Ke změně </w:t>
      </w:r>
      <w:r>
        <w:t>může dojít pouze při změně zákonných sazeb DPH, ale pouze za předpokladu, že dodavatel je plátcem DPH. U neplátce DPH, který do ceny DPH nepromítne, nebude cena měněna ani v případě, že by se v průběhu plnění plátcem DPH stal, tj. veškeré s tím související</w:t>
      </w:r>
      <w:r>
        <w:t xml:space="preserve"> náklady jdou k tíži dodavatele.</w:t>
      </w:r>
    </w:p>
    <w:p w:rsidR="009156DB" w:rsidRDefault="006164B6">
      <w:pPr>
        <w:pStyle w:val="Zkladntext1"/>
        <w:numPr>
          <w:ilvl w:val="1"/>
          <w:numId w:val="1"/>
        </w:numPr>
        <w:shd w:val="clear" w:color="auto" w:fill="auto"/>
        <w:tabs>
          <w:tab w:val="left" w:pos="840"/>
        </w:tabs>
        <w:ind w:left="800" w:hanging="420"/>
        <w:jc w:val="both"/>
      </w:pPr>
      <w:r>
        <w:t>Cena je splatná ve lhůtě třiceti (30) kalendářních dnů ode dne, kdy byla objednateli doručena faktura (daňový doklad) dodavatele obsahující (i) náležitosti daňového resp. účetního dokladu podle platných obecně závazných prá</w:t>
      </w:r>
      <w:r>
        <w:t xml:space="preserve">vních předpisů, a (ii) odkaz na číslo této smlouvy. Faktura (daňový doklad) musí být zaslána na adresu sídla objednatele uvedenou v záhlaví této smlouvy, nebo elektronicky na </w:t>
      </w:r>
      <w:proofErr w:type="gramStart"/>
      <w:r>
        <w:t>adresu</w:t>
      </w:r>
      <w:r w:rsidR="00BD6153">
        <w:t xml:space="preserve">                    </w:t>
      </w:r>
      <w:bookmarkStart w:id="12" w:name="_GoBack"/>
      <w:bookmarkEnd w:id="12"/>
      <w:r>
        <w:t>.</w:t>
      </w:r>
      <w:proofErr w:type="gramEnd"/>
    </w:p>
    <w:p w:rsidR="009156DB" w:rsidRDefault="006164B6">
      <w:pPr>
        <w:pStyle w:val="Zkladntext1"/>
        <w:numPr>
          <w:ilvl w:val="1"/>
          <w:numId w:val="1"/>
        </w:numPr>
        <w:shd w:val="clear" w:color="auto" w:fill="auto"/>
        <w:tabs>
          <w:tab w:val="left" w:pos="840"/>
        </w:tabs>
        <w:ind w:left="800" w:hanging="420"/>
        <w:jc w:val="both"/>
      </w:pPr>
      <w:r>
        <w:t>Právo dodavatele</w:t>
      </w:r>
      <w:r>
        <w:t xml:space="preserve"> vystavit fakturu (daňový doklad) vzniká ke dni provedení registrace nových licencí a prodloužení podpory stávajících na licenčním portále výrobce dle čl. </w:t>
      </w:r>
      <w:proofErr w:type="gramStart"/>
      <w:r>
        <w:t>3.3..</w:t>
      </w:r>
      <w:proofErr w:type="gramEnd"/>
    </w:p>
    <w:p w:rsidR="009156DB" w:rsidRDefault="006164B6">
      <w:pPr>
        <w:pStyle w:val="Zkladntext1"/>
        <w:numPr>
          <w:ilvl w:val="1"/>
          <w:numId w:val="1"/>
        </w:numPr>
        <w:shd w:val="clear" w:color="auto" w:fill="auto"/>
        <w:tabs>
          <w:tab w:val="left" w:pos="840"/>
        </w:tabs>
        <w:ind w:left="800" w:hanging="420"/>
        <w:jc w:val="both"/>
      </w:pPr>
      <w:r>
        <w:t xml:space="preserve">Objednatel má právo fakturu (daňový doklad) dodavateli před uplynutím lhůty splatnosti vrátit, </w:t>
      </w:r>
      <w:r>
        <w:t>aniž by došlo k prodlení s jeho úhradou, (i) obsahuje-li nesprávné údaje nebo (ii) chybí-li na faktuře (daňovém dokladu) odkaz na číslo této smlouvy. Nová lhůta splatnosti v délce třiceti (30) kalendářních dnů počne plynout ode dne doručení opravené faktur</w:t>
      </w:r>
      <w:r>
        <w:t>y (daňového dokladu) objednateli.</w:t>
      </w:r>
    </w:p>
    <w:p w:rsidR="009156DB" w:rsidRDefault="006164B6">
      <w:pPr>
        <w:pStyle w:val="Nadpis20"/>
        <w:keepNext/>
        <w:keepLines/>
        <w:numPr>
          <w:ilvl w:val="0"/>
          <w:numId w:val="1"/>
        </w:numPr>
        <w:shd w:val="clear" w:color="auto" w:fill="auto"/>
        <w:tabs>
          <w:tab w:val="left" w:pos="359"/>
        </w:tabs>
        <w:spacing w:line="240" w:lineRule="auto"/>
      </w:pPr>
      <w:bookmarkStart w:id="13" w:name="bookmark12"/>
      <w:bookmarkStart w:id="14" w:name="bookmark13"/>
      <w:r>
        <w:t>Čas a místo plnění</w:t>
      </w:r>
      <w:bookmarkEnd w:id="13"/>
      <w:bookmarkEnd w:id="14"/>
    </w:p>
    <w:p w:rsidR="009156DB" w:rsidRDefault="006164B6">
      <w:pPr>
        <w:pStyle w:val="Zkladntext1"/>
        <w:numPr>
          <w:ilvl w:val="1"/>
          <w:numId w:val="1"/>
        </w:numPr>
        <w:shd w:val="clear" w:color="auto" w:fill="auto"/>
        <w:tabs>
          <w:tab w:val="left" w:pos="851"/>
        </w:tabs>
        <w:spacing w:after="100"/>
        <w:ind w:left="800" w:hanging="420"/>
        <w:jc w:val="both"/>
      </w:pPr>
      <w:bookmarkStart w:id="15" w:name="bookmark14"/>
      <w:r>
        <w:t>Smluvní strany si sjednaly, že dodavatel poskytne objednateli 50 ks nových licencí FortiToken Mobile dálkovým přístupem prostřednictvím sítě internet anebo jej dodá na adresu sídla objednatele, a to nejp</w:t>
      </w:r>
      <w:r>
        <w:t xml:space="preserve">ozději do pěti (5) pracovních dnů ode dne uzavření této smlouvy. O poskytnutí těchto licencí bude dodavatel informovat e-mailem kontaktní osobu pro věci technické </w:t>
      </w:r>
      <w:r>
        <w:lastRenderedPageBreak/>
        <w:t>na straně objednatele uvedenou v záhlaví této smlouvy.</w:t>
      </w:r>
      <w:bookmarkEnd w:id="15"/>
    </w:p>
    <w:p w:rsidR="009156DB" w:rsidRDefault="006164B6">
      <w:pPr>
        <w:pStyle w:val="Zkladntext1"/>
        <w:numPr>
          <w:ilvl w:val="1"/>
          <w:numId w:val="1"/>
        </w:numPr>
        <w:shd w:val="clear" w:color="auto" w:fill="auto"/>
        <w:tabs>
          <w:tab w:val="left" w:pos="851"/>
        </w:tabs>
        <w:spacing w:after="480"/>
        <w:ind w:firstLine="380"/>
        <w:jc w:val="both"/>
      </w:pPr>
      <w:r>
        <w:t>Smluvní strany si sjednaly, že podpora</w:t>
      </w:r>
      <w:r>
        <w:t xml:space="preserve"> celého softwarového řešení bude platná do 16. 2. 2027.</w:t>
      </w:r>
    </w:p>
    <w:p w:rsidR="009156DB" w:rsidRDefault="006164B6">
      <w:pPr>
        <w:pStyle w:val="Nadpis20"/>
        <w:keepNext/>
        <w:keepLines/>
        <w:numPr>
          <w:ilvl w:val="0"/>
          <w:numId w:val="1"/>
        </w:numPr>
        <w:shd w:val="clear" w:color="auto" w:fill="auto"/>
        <w:tabs>
          <w:tab w:val="left" w:pos="359"/>
        </w:tabs>
      </w:pPr>
      <w:bookmarkStart w:id="16" w:name="bookmark15"/>
      <w:bookmarkStart w:id="17" w:name="bookmark16"/>
      <w:r>
        <w:t>Nebezpečí škody</w:t>
      </w:r>
      <w:bookmarkEnd w:id="16"/>
      <w:bookmarkEnd w:id="17"/>
    </w:p>
    <w:p w:rsidR="009156DB" w:rsidRDefault="006164B6">
      <w:pPr>
        <w:pStyle w:val="Zkladntext1"/>
        <w:numPr>
          <w:ilvl w:val="1"/>
          <w:numId w:val="1"/>
        </w:numPr>
        <w:shd w:val="clear" w:color="auto" w:fill="auto"/>
        <w:tabs>
          <w:tab w:val="left" w:pos="851"/>
        </w:tabs>
        <w:spacing w:after="100" w:line="276" w:lineRule="auto"/>
        <w:ind w:left="800" w:hanging="420"/>
        <w:jc w:val="both"/>
      </w:pPr>
      <w:r>
        <w:t xml:space="preserve">Dodavatel prohlašuje a odpovídá objednateli za právní bezvadnost předmětu dodání a za skutečnost, že uzavřením této smlouvy není porušena žádná povinnost dodavatele nebo práva či </w:t>
      </w:r>
      <w:r>
        <w:t>oprávněné zájmy jiných osob.</w:t>
      </w:r>
    </w:p>
    <w:p w:rsidR="009156DB" w:rsidRDefault="006164B6">
      <w:pPr>
        <w:pStyle w:val="Zkladntext1"/>
        <w:numPr>
          <w:ilvl w:val="1"/>
          <w:numId w:val="1"/>
        </w:numPr>
        <w:shd w:val="clear" w:color="auto" w:fill="auto"/>
        <w:tabs>
          <w:tab w:val="left" w:pos="851"/>
        </w:tabs>
        <w:spacing w:after="480"/>
        <w:ind w:left="800" w:hanging="420"/>
        <w:jc w:val="both"/>
      </w:pPr>
      <w:r>
        <w:t>Dodavatel prohlašuje, že je přímo nebo na základě platných smluvních vztahů se třetími osobami oprávněn poskytnout objednateli licence uvedené v čl. 3, a to alespoň v rozsahu stanoveném touto smlouvou, a že užíváním dle této Sm</w:t>
      </w:r>
      <w:r>
        <w:t>louvy nebudou porušena osobnostní ani majetková autorská práva třetích osob. Licencí se rozumí licence programového produktu ve smyslu autorského zákona, tj. nevýhradní oprávnění k výkonu práva programový produkt užít.</w:t>
      </w:r>
    </w:p>
    <w:p w:rsidR="009156DB" w:rsidRDefault="006164B6">
      <w:pPr>
        <w:pStyle w:val="Nadpis20"/>
        <w:keepNext/>
        <w:keepLines/>
        <w:numPr>
          <w:ilvl w:val="0"/>
          <w:numId w:val="1"/>
        </w:numPr>
        <w:shd w:val="clear" w:color="auto" w:fill="auto"/>
        <w:tabs>
          <w:tab w:val="left" w:pos="359"/>
        </w:tabs>
      </w:pPr>
      <w:bookmarkStart w:id="18" w:name="bookmark17"/>
      <w:bookmarkStart w:id="19" w:name="bookmark18"/>
      <w:r>
        <w:t>Odpovědnost za vady</w:t>
      </w:r>
      <w:bookmarkEnd w:id="18"/>
      <w:bookmarkEnd w:id="19"/>
    </w:p>
    <w:p w:rsidR="009156DB" w:rsidRDefault="006164B6">
      <w:pPr>
        <w:pStyle w:val="Zkladntext1"/>
        <w:numPr>
          <w:ilvl w:val="1"/>
          <w:numId w:val="1"/>
        </w:numPr>
        <w:shd w:val="clear" w:color="auto" w:fill="auto"/>
        <w:tabs>
          <w:tab w:val="left" w:pos="851"/>
        </w:tabs>
        <w:spacing w:after="100"/>
        <w:ind w:left="800" w:hanging="420"/>
        <w:jc w:val="both"/>
      </w:pPr>
      <w:r>
        <w:t>Dodavatel odpovíd</w:t>
      </w:r>
      <w:r>
        <w:t>á za vady, jež má dílo v době jeho předání objednateli, byť se vady projeví až později.</w:t>
      </w:r>
    </w:p>
    <w:p w:rsidR="009156DB" w:rsidRDefault="006164B6">
      <w:pPr>
        <w:pStyle w:val="Zkladntext1"/>
        <w:numPr>
          <w:ilvl w:val="1"/>
          <w:numId w:val="1"/>
        </w:numPr>
        <w:shd w:val="clear" w:color="auto" w:fill="auto"/>
        <w:tabs>
          <w:tab w:val="left" w:pos="851"/>
        </w:tabs>
        <w:spacing w:after="100" w:line="276" w:lineRule="auto"/>
        <w:ind w:left="800" w:hanging="420"/>
        <w:jc w:val="both"/>
      </w:pPr>
      <w:r>
        <w:t>Objednatel je povinen případné vady písemně reklamovat u dodavatele bez zbytečného odkladu po jejich zjištění. V reklamaci musí být vady popsány a uvedeno, jak se proje</w:t>
      </w:r>
      <w:r>
        <w:t>vují. Dále v reklamaci objednatel uvede, v jaké lhůtě požaduje odstranění vad.</w:t>
      </w:r>
    </w:p>
    <w:p w:rsidR="009156DB" w:rsidRDefault="006164B6">
      <w:pPr>
        <w:pStyle w:val="Zkladntext1"/>
        <w:numPr>
          <w:ilvl w:val="1"/>
          <w:numId w:val="1"/>
        </w:numPr>
        <w:shd w:val="clear" w:color="auto" w:fill="auto"/>
        <w:tabs>
          <w:tab w:val="left" w:pos="851"/>
        </w:tabs>
        <w:spacing w:after="100"/>
        <w:ind w:left="800" w:hanging="420"/>
        <w:jc w:val="both"/>
      </w:pPr>
      <w:r>
        <w:t>Objednatel je oprávněn požadovat odstranění vady opravou, poskytnutím náhradního plnění nebo slevu ze sjednané ceny. Výběr způsobu nápravy náleží objednateli.</w:t>
      </w:r>
    </w:p>
    <w:p w:rsidR="009156DB" w:rsidRDefault="006164B6">
      <w:pPr>
        <w:pStyle w:val="Zkladntext1"/>
        <w:numPr>
          <w:ilvl w:val="1"/>
          <w:numId w:val="1"/>
        </w:numPr>
        <w:shd w:val="clear" w:color="auto" w:fill="auto"/>
        <w:tabs>
          <w:tab w:val="left" w:pos="851"/>
        </w:tabs>
        <w:spacing w:after="480"/>
        <w:ind w:left="800" w:hanging="420"/>
        <w:jc w:val="both"/>
      </w:pPr>
      <w:r>
        <w:t>Neodstraní-li doda</w:t>
      </w:r>
      <w:r>
        <w:t xml:space="preserve">vatel reklamované vady ve lhůtě 3 pracovních dní ode dne doručení reklamace či v jiné, smluvními stranami dohodnuté, lhůtě, je objednatel oprávněn pověřit odstraněním reklamované vady jinou odborně způsobilou právnickou, nebo fyzickou osobu. Veškeré takto </w:t>
      </w:r>
      <w:r>
        <w:t>vzniklé náklady uhradí dodavatel do 14 dnů ode dne, kdy obdržel písemnou výzvu objednatele k uhrazení těchto nákladů. Uhrazením nákladů na odstranění vad jinou odborně způsobilou osobou podle tohoto odstavce není dotčeno právo objednatele požadovat na doda</w:t>
      </w:r>
      <w:r>
        <w:t>vatele zaplacení smluvní pokuty dle této smlouvy.</w:t>
      </w:r>
    </w:p>
    <w:p w:rsidR="009156DB" w:rsidRDefault="006164B6">
      <w:pPr>
        <w:pStyle w:val="Nadpis20"/>
        <w:keepNext/>
        <w:keepLines/>
        <w:numPr>
          <w:ilvl w:val="0"/>
          <w:numId w:val="1"/>
        </w:numPr>
        <w:shd w:val="clear" w:color="auto" w:fill="auto"/>
        <w:tabs>
          <w:tab w:val="left" w:pos="359"/>
        </w:tabs>
      </w:pPr>
      <w:bookmarkStart w:id="20" w:name="bookmark19"/>
      <w:bookmarkStart w:id="21" w:name="bookmark20"/>
      <w:r>
        <w:t>Smluvní pokuty a úroky z prodlení</w:t>
      </w:r>
      <w:bookmarkEnd w:id="20"/>
      <w:bookmarkEnd w:id="21"/>
    </w:p>
    <w:p w:rsidR="009156DB" w:rsidRDefault="006164B6">
      <w:pPr>
        <w:pStyle w:val="Zkladntext1"/>
        <w:numPr>
          <w:ilvl w:val="1"/>
          <w:numId w:val="1"/>
        </w:numPr>
        <w:shd w:val="clear" w:color="auto" w:fill="auto"/>
        <w:tabs>
          <w:tab w:val="left" w:pos="851"/>
        </w:tabs>
        <w:spacing w:after="100" w:line="276" w:lineRule="auto"/>
        <w:ind w:left="800" w:hanging="420"/>
        <w:jc w:val="both"/>
      </w:pPr>
      <w:r>
        <w:t>V případě, že dodavatel nedodrží termín plnění sjednaný v bodu</w:t>
      </w:r>
      <w:hyperlink w:anchor="bookmark14" w:tooltip="Current Document">
        <w:r>
          <w:t xml:space="preserve"> 5.1 </w:t>
        </w:r>
      </w:hyperlink>
      <w:r>
        <w:t>této smlouvy, je povinen zaplatit objednateli smlu</w:t>
      </w:r>
      <w:r>
        <w:t>vní pokutu ve výši 0,1 % z celkové ceny bez DPH uvedené v bodu</w:t>
      </w:r>
      <w:hyperlink w:anchor="bookmark11" w:tooltip="Current Document">
        <w:r>
          <w:t xml:space="preserve"> 4.1</w:t>
        </w:r>
      </w:hyperlink>
      <w:r>
        <w:t xml:space="preserve"> této smlouvy za každý započatý den prodlení.</w:t>
      </w:r>
    </w:p>
    <w:p w:rsidR="009156DB" w:rsidRDefault="006164B6">
      <w:pPr>
        <w:pStyle w:val="Zkladntext1"/>
        <w:numPr>
          <w:ilvl w:val="1"/>
          <w:numId w:val="1"/>
        </w:numPr>
        <w:shd w:val="clear" w:color="auto" w:fill="auto"/>
        <w:tabs>
          <w:tab w:val="left" w:pos="851"/>
        </w:tabs>
        <w:spacing w:after="360"/>
        <w:ind w:left="800" w:hanging="420"/>
        <w:jc w:val="both"/>
      </w:pPr>
      <w:r>
        <w:t xml:space="preserve">V případě prodlení objednatele s placením řádně vystavené faktury, je objednatel povinen </w:t>
      </w:r>
      <w:r>
        <w:t>zaplatit dodavateli úrok z prodlení ve výši stanovené příslušnými právními předpisy z nezaplacené částky.</w:t>
      </w:r>
    </w:p>
    <w:p w:rsidR="009156DB" w:rsidRDefault="006164B6">
      <w:pPr>
        <w:pStyle w:val="Zkladntext1"/>
        <w:numPr>
          <w:ilvl w:val="1"/>
          <w:numId w:val="1"/>
        </w:numPr>
        <w:shd w:val="clear" w:color="auto" w:fill="auto"/>
        <w:tabs>
          <w:tab w:val="left" w:pos="611"/>
        </w:tabs>
        <w:ind w:left="580" w:hanging="440"/>
        <w:jc w:val="both"/>
      </w:pPr>
      <w:r>
        <w:t xml:space="preserve">Všechny smluvní sankce uplatněné dle této smlouvy jsou splatné do čtrnácti (14) kalendářních dnů ode dne doručení písemného oznámení o jejich </w:t>
      </w:r>
      <w:r>
        <w:t>uplatnění stranou oprávněnou straně povinné. Ujednání o úroku z prodlení a smluvních pokutách zůstávají případným odstoupením od této smlouvy nedotčena a trvají i po skončení účinnosti této smlouvy.</w:t>
      </w:r>
    </w:p>
    <w:p w:rsidR="009156DB" w:rsidRDefault="006164B6">
      <w:pPr>
        <w:pStyle w:val="Zkladntext1"/>
        <w:numPr>
          <w:ilvl w:val="1"/>
          <w:numId w:val="1"/>
        </w:numPr>
        <w:shd w:val="clear" w:color="auto" w:fill="auto"/>
        <w:tabs>
          <w:tab w:val="left" w:pos="611"/>
        </w:tabs>
        <w:ind w:left="580" w:hanging="440"/>
        <w:jc w:val="both"/>
      </w:pPr>
      <w:r>
        <w:t>Ustanoveními o smluvní pokutě není dotčen nárok oprávněné</w:t>
      </w:r>
      <w:r>
        <w:t xml:space="preserve"> smluvní strany žádat náhradu škody v plné výši.</w:t>
      </w:r>
    </w:p>
    <w:p w:rsidR="009156DB" w:rsidRDefault="006164B6">
      <w:pPr>
        <w:pStyle w:val="Zkladntext1"/>
        <w:numPr>
          <w:ilvl w:val="1"/>
          <w:numId w:val="1"/>
        </w:numPr>
        <w:shd w:val="clear" w:color="auto" w:fill="auto"/>
        <w:tabs>
          <w:tab w:val="left" w:pos="611"/>
        </w:tabs>
        <w:spacing w:after="480"/>
        <w:ind w:left="580" w:hanging="440"/>
        <w:jc w:val="both"/>
      </w:pPr>
      <w:r>
        <w:t>Smluvní pokutu nelze požadovat, způsobí-li porušení smluvní povinnosti zásah vyšší moci, a to po celou dobu trvání zásahu vyšší moci. Za zásah vyšší moci se považuje zejména nemožnost plnění vzniklá živelnou</w:t>
      </w:r>
      <w:r>
        <w:t xml:space="preserve"> událostí (včetně pandemie Covid-19) nebo událost naplňující znaky uvedené v § </w:t>
      </w:r>
      <w:r>
        <w:lastRenderedPageBreak/>
        <w:t>2913 odst. 2 zákona č. 89/2012 Sb., občanského zákoníku.</w:t>
      </w:r>
    </w:p>
    <w:p w:rsidR="009156DB" w:rsidRDefault="006164B6">
      <w:pPr>
        <w:pStyle w:val="Nadpis20"/>
        <w:keepNext/>
        <w:keepLines/>
        <w:numPr>
          <w:ilvl w:val="0"/>
          <w:numId w:val="1"/>
        </w:numPr>
        <w:shd w:val="clear" w:color="auto" w:fill="auto"/>
        <w:tabs>
          <w:tab w:val="left" w:pos="360"/>
        </w:tabs>
      </w:pPr>
      <w:bookmarkStart w:id="22" w:name="bookmark21"/>
      <w:bookmarkStart w:id="23" w:name="bookmark22"/>
      <w:r>
        <w:t>Přístup do systému objednatele</w:t>
      </w:r>
      <w:bookmarkEnd w:id="22"/>
      <w:bookmarkEnd w:id="23"/>
    </w:p>
    <w:p w:rsidR="009156DB" w:rsidRDefault="006164B6">
      <w:pPr>
        <w:pStyle w:val="Zkladntext1"/>
        <w:numPr>
          <w:ilvl w:val="1"/>
          <w:numId w:val="1"/>
        </w:numPr>
        <w:shd w:val="clear" w:color="auto" w:fill="auto"/>
        <w:tabs>
          <w:tab w:val="left" w:pos="611"/>
        </w:tabs>
        <w:ind w:left="580" w:hanging="440"/>
        <w:jc w:val="both"/>
      </w:pPr>
      <w:r>
        <w:t>Poskytovatel, pokud to bude nezbytné pro naplnění předmětu smlouvy, obdrží přístup do int</w:t>
      </w:r>
      <w:r>
        <w:t>erních informačních systémů provozovaných objednatelem v nezbytném rozsahu a po dobu nezbytně nutnou.</w:t>
      </w:r>
    </w:p>
    <w:p w:rsidR="009156DB" w:rsidRDefault="006164B6">
      <w:pPr>
        <w:pStyle w:val="Zkladntext1"/>
        <w:numPr>
          <w:ilvl w:val="1"/>
          <w:numId w:val="1"/>
        </w:numPr>
        <w:shd w:val="clear" w:color="auto" w:fill="auto"/>
        <w:tabs>
          <w:tab w:val="left" w:pos="611"/>
        </w:tabs>
        <w:ind w:firstLine="140"/>
      </w:pPr>
      <w:r>
        <w:t>Poskytovatel je oprávněn používat tyto přístupy pouze pro účely definované touto smlouvou.</w:t>
      </w:r>
    </w:p>
    <w:p w:rsidR="009156DB" w:rsidRDefault="006164B6">
      <w:pPr>
        <w:pStyle w:val="Zkladntext1"/>
        <w:numPr>
          <w:ilvl w:val="1"/>
          <w:numId w:val="1"/>
        </w:numPr>
        <w:shd w:val="clear" w:color="auto" w:fill="auto"/>
        <w:tabs>
          <w:tab w:val="left" w:pos="611"/>
        </w:tabs>
        <w:spacing w:line="276" w:lineRule="auto"/>
        <w:ind w:left="580" w:hanging="440"/>
        <w:jc w:val="both"/>
      </w:pPr>
      <w:r>
        <w:t>Poskytovatel nesmí přístupy (vstupní kódy) atd. dle čl. 6.1 výš</w:t>
      </w:r>
      <w:r>
        <w:t>e zpřístupnit jiným osobám anebo jinak zneužít. Poskytovatel musí zajistit dostatečnou ochranu těchto přístupů (vstupních kódů) atd. před jakýmkoli zneužitím. V opačném případě odpovídá za způsobené škody.</w:t>
      </w:r>
    </w:p>
    <w:p w:rsidR="009156DB" w:rsidRDefault="006164B6">
      <w:pPr>
        <w:pStyle w:val="Zkladntext1"/>
        <w:numPr>
          <w:ilvl w:val="1"/>
          <w:numId w:val="1"/>
        </w:numPr>
        <w:shd w:val="clear" w:color="auto" w:fill="auto"/>
        <w:tabs>
          <w:tab w:val="left" w:pos="611"/>
        </w:tabs>
        <w:ind w:firstLine="140"/>
        <w:jc w:val="both"/>
      </w:pPr>
      <w:r>
        <w:t>Porušení povinností dle tohoto článku smlouvy je p</w:t>
      </w:r>
      <w:r>
        <w:t>ovažováno za podstatné porušení smlouvy.</w:t>
      </w:r>
    </w:p>
    <w:p w:rsidR="009156DB" w:rsidRDefault="006164B6">
      <w:pPr>
        <w:pStyle w:val="Zkladntext1"/>
        <w:numPr>
          <w:ilvl w:val="1"/>
          <w:numId w:val="1"/>
        </w:numPr>
        <w:shd w:val="clear" w:color="auto" w:fill="auto"/>
        <w:tabs>
          <w:tab w:val="left" w:pos="611"/>
        </w:tabs>
        <w:spacing w:after="480"/>
        <w:ind w:left="580" w:hanging="440"/>
        <w:jc w:val="both"/>
      </w:pPr>
      <w:r>
        <w:t>Poskytovatel je povinen při své činnosti vykonávané na základě této smlouvy dodržovat právní předpisy týkající se ochrany osobních údajů.</w:t>
      </w:r>
    </w:p>
    <w:p w:rsidR="009156DB" w:rsidRDefault="006164B6">
      <w:pPr>
        <w:pStyle w:val="Nadpis20"/>
        <w:keepNext/>
        <w:keepLines/>
        <w:numPr>
          <w:ilvl w:val="0"/>
          <w:numId w:val="1"/>
        </w:numPr>
        <w:shd w:val="clear" w:color="auto" w:fill="auto"/>
        <w:tabs>
          <w:tab w:val="left" w:pos="466"/>
        </w:tabs>
      </w:pPr>
      <w:bookmarkStart w:id="24" w:name="bookmark23"/>
      <w:bookmarkStart w:id="25" w:name="bookmark24"/>
      <w:r>
        <w:t>Závěrečná ustanovení</w:t>
      </w:r>
      <w:bookmarkEnd w:id="24"/>
      <w:bookmarkEnd w:id="25"/>
    </w:p>
    <w:p w:rsidR="009156DB" w:rsidRDefault="006164B6">
      <w:pPr>
        <w:pStyle w:val="Zkladntext1"/>
        <w:shd w:val="clear" w:color="auto" w:fill="auto"/>
      </w:pPr>
      <w:r>
        <w:t xml:space="preserve">10.1. Tato smlouva je vyhotovena v elektronickém </w:t>
      </w:r>
      <w:r>
        <w:t>originálu.</w:t>
      </w:r>
    </w:p>
    <w:p w:rsidR="009156DB" w:rsidRDefault="006164B6">
      <w:pPr>
        <w:pStyle w:val="Zkladntext1"/>
        <w:numPr>
          <w:ilvl w:val="0"/>
          <w:numId w:val="2"/>
        </w:numPr>
        <w:shd w:val="clear" w:color="auto" w:fill="auto"/>
        <w:tabs>
          <w:tab w:val="left" w:pos="582"/>
        </w:tabs>
        <w:ind w:left="440" w:hanging="440"/>
        <w:jc w:val="both"/>
      </w:pPr>
      <w:r>
        <w:t>Tuto smlouvu je možné měnit či doplňovat pouze formou písemných vzestupně číslovaných dodatků.</w:t>
      </w:r>
    </w:p>
    <w:p w:rsidR="009156DB" w:rsidRDefault="006164B6">
      <w:pPr>
        <w:pStyle w:val="Zkladntext1"/>
        <w:numPr>
          <w:ilvl w:val="0"/>
          <w:numId w:val="2"/>
        </w:numPr>
        <w:shd w:val="clear" w:color="auto" w:fill="auto"/>
        <w:tabs>
          <w:tab w:val="left" w:pos="582"/>
        </w:tabs>
        <w:ind w:left="440" w:hanging="440"/>
        <w:jc w:val="both"/>
      </w:pPr>
      <w:r>
        <w:t>Dodavatel bere na vědomí, že tato smlouva může podléhat povinnosti jejího uveřejnění podle zákona č. 340/2015 Sb., o zvláštních podmínkách účinnosti n</w:t>
      </w:r>
      <w:r>
        <w:t>ěkterých smluv, uveřejňování těchto smluv a o registru smluv (zákon o registru smluv), zákona č. 134/2016 Sb., o zadávání veřejných zakázek, ve znění pozdějších předpisů a/nebo jejího zpřístupnění podle zákona č. 106/1999 Sb., o svobodném přístupu k inform</w:t>
      </w:r>
      <w:r>
        <w:t>acím, ve znění pozdějších předpisů. Dodavatel s uveřejněním či zpřístupněním podle výše uvedených právních předpisů bezvýhradně souhlasí.</w:t>
      </w:r>
    </w:p>
    <w:p w:rsidR="009156DB" w:rsidRDefault="006164B6">
      <w:pPr>
        <w:pStyle w:val="Zkladntext1"/>
        <w:numPr>
          <w:ilvl w:val="0"/>
          <w:numId w:val="2"/>
        </w:numPr>
        <w:shd w:val="clear" w:color="auto" w:fill="auto"/>
        <w:tabs>
          <w:tab w:val="left" w:pos="582"/>
        </w:tabs>
        <w:ind w:left="440" w:hanging="440"/>
        <w:jc w:val="both"/>
      </w:pPr>
      <w:r>
        <w:t>Smluvní strany se zavazují, že v případě sporů o obsah a plnění této smlouvy vynaloží veškeré úsilí, aby tyto spory by</w:t>
      </w:r>
      <w:r>
        <w:t>ly vyřešeny smírnou cestou. Pokud nedojde k dohodě, je příslušný obecný soud žalované strany.</w:t>
      </w:r>
    </w:p>
    <w:p w:rsidR="009156DB" w:rsidRDefault="006164B6">
      <w:pPr>
        <w:pStyle w:val="Zkladntext1"/>
        <w:numPr>
          <w:ilvl w:val="0"/>
          <w:numId w:val="2"/>
        </w:numPr>
        <w:shd w:val="clear" w:color="auto" w:fill="auto"/>
        <w:tabs>
          <w:tab w:val="left" w:pos="582"/>
        </w:tabs>
        <w:ind w:left="440" w:hanging="440"/>
        <w:jc w:val="both"/>
      </w:pPr>
      <w:r>
        <w:t>Smluvní strany prohlašují, že tato smlouva je výrazem jejich vážné a svobodné vůle, je uzavřena nikoli v tísni za nápadně nevýhodných podmínek. Smluvní strany sml</w:t>
      </w:r>
      <w:r>
        <w:t>ouvu přečetly, s jejím obsahem souhlasí a na důkaz toho připojují vlastnoruční podpisy.</w:t>
      </w:r>
    </w:p>
    <w:p w:rsidR="009156DB" w:rsidRDefault="006164B6">
      <w:pPr>
        <w:pStyle w:val="Zkladntext1"/>
        <w:numPr>
          <w:ilvl w:val="0"/>
          <w:numId w:val="2"/>
        </w:numPr>
        <w:shd w:val="clear" w:color="auto" w:fill="auto"/>
        <w:tabs>
          <w:tab w:val="left" w:pos="582"/>
        </w:tabs>
        <w:ind w:left="440" w:hanging="440"/>
        <w:jc w:val="both"/>
      </w:pPr>
      <w:r>
        <w:t xml:space="preserve">Smlouva nabývá platnosti dnem podpisu oprávněným zástupcem poslední smluvní strany. Smlouva nabývá účinnosti dnem uveřejnění smlouvy v registru smluv podle zákona č. </w:t>
      </w:r>
      <w:r>
        <w:t>340/2015 Sb., o registru smluv, ve znění pozdějších předpisů, podle toho, která z výše uvedených skutečností nastane později. Smluvní strany se budou vzájemně o nabytí účinnosti neprodleně písemně informovat.</w:t>
      </w:r>
      <w:r>
        <w:br w:type="page"/>
      </w:r>
    </w:p>
    <w:p w:rsidR="009156DB" w:rsidRDefault="006164B6">
      <w:pPr>
        <w:pStyle w:val="Nadpis20"/>
        <w:keepNext/>
        <w:keepLines/>
        <w:numPr>
          <w:ilvl w:val="0"/>
          <w:numId w:val="1"/>
        </w:numPr>
        <w:shd w:val="clear" w:color="auto" w:fill="auto"/>
        <w:tabs>
          <w:tab w:val="left" w:pos="475"/>
        </w:tabs>
        <w:spacing w:after="380" w:line="240" w:lineRule="auto"/>
      </w:pPr>
      <w:bookmarkStart w:id="26" w:name="bookmark25"/>
      <w:bookmarkStart w:id="27" w:name="bookmark26"/>
      <w:r>
        <w:lastRenderedPageBreak/>
        <w:t>Př í l o h y</w:t>
      </w:r>
      <w:bookmarkEnd w:id="26"/>
      <w:bookmarkEnd w:id="27"/>
    </w:p>
    <w:p w:rsidR="009156DB" w:rsidRDefault="006164B6">
      <w:pPr>
        <w:pStyle w:val="Zkladntext1"/>
        <w:shd w:val="clear" w:color="auto" w:fill="auto"/>
        <w:spacing w:after="0"/>
        <w:ind w:left="680"/>
        <w:jc w:val="both"/>
      </w:pPr>
      <w:r>
        <w:t xml:space="preserve">Příloha </w:t>
      </w:r>
      <w:proofErr w:type="gramStart"/>
      <w:r>
        <w:t>č.1 - Specifikace</w:t>
      </w:r>
      <w:proofErr w:type="gramEnd"/>
      <w:r>
        <w:t xml:space="preserve"> prodlou</w:t>
      </w:r>
      <w:r>
        <w:t>žení podpory softwarového řešení VPN, nákupu nových licencí a cen</w:t>
      </w:r>
    </w:p>
    <w:p w:rsidR="009156DB" w:rsidRDefault="006164B6">
      <w:pPr>
        <w:spacing w:line="1" w:lineRule="exact"/>
        <w:sectPr w:rsidR="009156DB">
          <w:footerReference w:type="default" r:id="rId8"/>
          <w:pgSz w:w="11900" w:h="16840"/>
          <w:pgMar w:top="655" w:right="1308" w:bottom="1293" w:left="1385" w:header="227" w:footer="3" w:gutter="0"/>
          <w:pgNumType w:start="1"/>
          <w:cols w:space="720"/>
          <w:noEndnote/>
          <w:docGrid w:linePitch="360"/>
        </w:sectPr>
      </w:pPr>
      <w:r>
        <w:rPr>
          <w:noProof/>
          <w:lang w:bidi="ar-SA"/>
        </w:rPr>
        <mc:AlternateContent>
          <mc:Choice Requires="wps">
            <w:drawing>
              <wp:anchor distT="952500" distB="0" distL="0" distR="0" simplePos="0" relativeHeight="125829380" behindDoc="0" locked="0" layoutInCell="1" allowOverlap="1">
                <wp:simplePos x="0" y="0"/>
                <wp:positionH relativeFrom="page">
                  <wp:posOffset>901065</wp:posOffset>
                </wp:positionH>
                <wp:positionV relativeFrom="paragraph">
                  <wp:posOffset>952500</wp:posOffset>
                </wp:positionV>
                <wp:extent cx="2310130" cy="17399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310130" cy="173990"/>
                        </a:xfrm>
                        <a:prstGeom prst="rect">
                          <a:avLst/>
                        </a:prstGeom>
                        <a:noFill/>
                      </wps:spPr>
                      <wps:txbx>
                        <w:txbxContent>
                          <w:p w:rsidR="009156DB" w:rsidRDefault="006164B6">
                            <w:pPr>
                              <w:pStyle w:val="Zkladntext1"/>
                              <w:shd w:val="clear" w:color="auto" w:fill="auto"/>
                              <w:spacing w:after="0" w:line="240" w:lineRule="auto"/>
                            </w:pPr>
                            <w:r>
                              <w:t>V Praze, dne dle elektronického podpisu</w:t>
                            </w:r>
                          </w:p>
                        </w:txbxContent>
                      </wps:txbx>
                      <wps:bodyPr wrap="none" lIns="0" tIns="0" rIns="0" bIns="0"/>
                    </wps:wsp>
                  </a:graphicData>
                </a:graphic>
              </wp:anchor>
            </w:drawing>
          </mc:Choice>
          <mc:Fallback>
            <w:pict>
              <v:shape id="_x0000_s1031" type="#_x0000_t202" style="position:absolute;margin-left:70.950000000000003pt;margin-top:75.pt;width:181.90000000000001pt;height:13.699999999999999pt;z-index:-125829373;mso-wrap-distance-left:0;mso-wrap-distance-top:75.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dle elektronického podpisu</w:t>
                      </w:r>
                    </w:p>
                  </w:txbxContent>
                </v:textbox>
                <w10:wrap type="topAndBottom" anchorx="page"/>
              </v:shape>
            </w:pict>
          </mc:Fallback>
        </mc:AlternateContent>
      </w:r>
      <w:r>
        <w:rPr>
          <w:noProof/>
          <w:lang w:bidi="ar-SA"/>
        </w:rPr>
        <mc:AlternateContent>
          <mc:Choice Requires="wps">
            <w:drawing>
              <wp:anchor distT="952500" distB="0" distL="0" distR="0" simplePos="0" relativeHeight="125829382" behindDoc="0" locked="0" layoutInCell="1" allowOverlap="1">
                <wp:simplePos x="0" y="0"/>
                <wp:positionH relativeFrom="page">
                  <wp:posOffset>4424680</wp:posOffset>
                </wp:positionH>
                <wp:positionV relativeFrom="paragraph">
                  <wp:posOffset>952500</wp:posOffset>
                </wp:positionV>
                <wp:extent cx="2273935" cy="1739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273935" cy="173990"/>
                        </a:xfrm>
                        <a:prstGeom prst="rect">
                          <a:avLst/>
                        </a:prstGeom>
                        <a:noFill/>
                      </wps:spPr>
                      <wps:txbx>
                        <w:txbxContent>
                          <w:p w:rsidR="009156DB" w:rsidRDefault="006164B6">
                            <w:pPr>
                              <w:pStyle w:val="Zkladntext1"/>
                              <w:shd w:val="clear" w:color="auto" w:fill="auto"/>
                              <w:spacing w:after="0" w:line="240" w:lineRule="auto"/>
                            </w:pPr>
                            <w:r>
                              <w:t>V Praze dne</w:t>
                            </w:r>
                            <w:r>
                              <w:t xml:space="preserve"> dle elektronického podpisu</w:t>
                            </w:r>
                          </w:p>
                        </w:txbxContent>
                      </wps:txbx>
                      <wps:bodyPr wrap="none" lIns="0" tIns="0" rIns="0" bIns="0"/>
                    </wps:wsp>
                  </a:graphicData>
                </a:graphic>
              </wp:anchor>
            </w:drawing>
          </mc:Choice>
          <mc:Fallback>
            <w:pict>
              <v:shape id="_x0000_s1033" type="#_x0000_t202" style="position:absolute;margin-left:348.39999999999998pt;margin-top:75.pt;width:179.05000000000001pt;height:13.699999999999999pt;z-index:-125829371;mso-wrap-distance-left:0;mso-wrap-distance-top:75.pt;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dle elektronického podpisu</w:t>
                      </w:r>
                    </w:p>
                  </w:txbxContent>
                </v:textbox>
                <w10:wrap type="topAndBottom" anchorx="page"/>
              </v:shape>
            </w:pict>
          </mc:Fallback>
        </mc:AlternateContent>
      </w:r>
    </w:p>
    <w:p w:rsidR="009156DB" w:rsidRDefault="009156DB">
      <w:pPr>
        <w:spacing w:line="81" w:lineRule="exact"/>
        <w:rPr>
          <w:sz w:val="7"/>
          <w:szCs w:val="7"/>
        </w:rPr>
      </w:pPr>
    </w:p>
    <w:p w:rsidR="009156DB" w:rsidRDefault="009156DB">
      <w:pPr>
        <w:spacing w:line="1" w:lineRule="exact"/>
        <w:sectPr w:rsidR="009156DB">
          <w:type w:val="continuous"/>
          <w:pgSz w:w="11900" w:h="16840"/>
          <w:pgMar w:top="1422" w:right="0" w:bottom="1422" w:left="0" w:header="0" w:footer="3" w:gutter="0"/>
          <w:cols w:space="720"/>
          <w:noEndnote/>
          <w:docGrid w:linePitch="360"/>
        </w:sectPr>
      </w:pPr>
    </w:p>
    <w:p w:rsidR="009156DB" w:rsidRDefault="006164B6">
      <w:pPr>
        <w:spacing w:line="1" w:lineRule="exact"/>
      </w:pPr>
      <w:r>
        <w:rPr>
          <w:noProof/>
          <w:lang w:bidi="ar-SA"/>
        </w:rPr>
        <w:drawing>
          <wp:anchor distT="0" distB="247015" distL="114300" distR="138430" simplePos="0" relativeHeight="125829384" behindDoc="0" locked="0" layoutInCell="1" allowOverlap="1">
            <wp:simplePos x="0" y="0"/>
            <wp:positionH relativeFrom="page">
              <wp:posOffset>4921250</wp:posOffset>
            </wp:positionH>
            <wp:positionV relativeFrom="paragraph">
              <wp:posOffset>12700</wp:posOffset>
            </wp:positionV>
            <wp:extent cx="1761490" cy="847090"/>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1761490" cy="84709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5329555</wp:posOffset>
                </wp:positionH>
                <wp:positionV relativeFrom="paragraph">
                  <wp:posOffset>930275</wp:posOffset>
                </wp:positionV>
                <wp:extent cx="1377950" cy="173990"/>
                <wp:effectExtent l="0" t="0" r="0" b="0"/>
                <wp:wrapNone/>
                <wp:docPr id="11" name="Shape 11"/>
                <wp:cNvGraphicFramePr/>
                <a:graphic xmlns:a="http://schemas.openxmlformats.org/drawingml/2006/main">
                  <a:graphicData uri="http://schemas.microsoft.com/office/word/2010/wordprocessingShape">
                    <wps:wsp>
                      <wps:cNvSpPr txBox="1"/>
                      <wps:spPr>
                        <a:xfrm>
                          <a:off x="0" y="0"/>
                          <a:ext cx="1377950" cy="173990"/>
                        </a:xfrm>
                        <a:prstGeom prst="rect">
                          <a:avLst/>
                        </a:prstGeom>
                        <a:noFill/>
                      </wps:spPr>
                      <wps:txbx>
                        <w:txbxContent>
                          <w:p w:rsidR="009156DB" w:rsidRDefault="006164B6">
                            <w:pPr>
                              <w:pStyle w:val="Titulekobrzku0"/>
                              <w:shd w:val="clear" w:color="auto" w:fill="auto"/>
                            </w:pPr>
                            <w:r>
                              <w:t>Josef Ladra (dodavatel)</w:t>
                            </w:r>
                          </w:p>
                        </w:txbxContent>
                      </wps:txbx>
                      <wps:bodyPr lIns="0" tIns="0" rIns="0" bIns="0"/>
                    </wps:wsp>
                  </a:graphicData>
                </a:graphic>
              </wp:anchor>
            </w:drawing>
          </mc:Choice>
          <mc:Fallback>
            <w:pict>
              <v:shape id="_x0000_s1037" type="#_x0000_t202" style="position:absolute;margin-left:419.64999999999998pt;margin-top:73.25pt;width:108.5pt;height:13.699999999999999pt;z-index:251657729;mso-wrap-distance-left:0;mso-wrap-distance-right:0;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Josef Ladra (dodavatel)</w:t>
                      </w:r>
                    </w:p>
                  </w:txbxContent>
                </v:textbox>
                <w10:wrap anchorx="page"/>
              </v:shape>
            </w:pict>
          </mc:Fallback>
        </mc:AlternateContent>
      </w:r>
    </w:p>
    <w:p w:rsidR="009156DB" w:rsidRDefault="006164B6">
      <w:pPr>
        <w:pStyle w:val="Zkladntext1"/>
        <w:shd w:val="clear" w:color="auto" w:fill="auto"/>
        <w:spacing w:after="0" w:line="240" w:lineRule="auto"/>
        <w:sectPr w:rsidR="009156DB">
          <w:type w:val="continuous"/>
          <w:pgSz w:w="11900" w:h="16840"/>
          <w:pgMar w:top="1422" w:right="1387" w:bottom="1422" w:left="1373" w:header="0" w:footer="3" w:gutter="0"/>
          <w:cols w:space="720"/>
          <w:noEndnote/>
          <w:docGrid w:linePitch="360"/>
        </w:sectPr>
      </w:pPr>
      <w:r>
        <w:t>RNDr. František Pelc (objednatel)</w:t>
      </w:r>
    </w:p>
    <w:p w:rsidR="009156DB" w:rsidRDefault="006164B6">
      <w:pPr>
        <w:pStyle w:val="Zkladntext1"/>
        <w:shd w:val="clear" w:color="auto" w:fill="auto"/>
        <w:spacing w:after="740" w:line="240" w:lineRule="auto"/>
        <w:jc w:val="center"/>
      </w:pPr>
      <w:r>
        <w:lastRenderedPageBreak/>
        <w:t>Příloha č. 1</w:t>
      </w:r>
    </w:p>
    <w:p w:rsidR="009156DB" w:rsidRDefault="006164B6">
      <w:pPr>
        <w:pStyle w:val="Nadpis20"/>
        <w:keepNext/>
        <w:keepLines/>
        <w:shd w:val="clear" w:color="auto" w:fill="auto"/>
        <w:spacing w:after="740" w:line="240" w:lineRule="auto"/>
      </w:pPr>
      <w:bookmarkStart w:id="28" w:name="bookmark27"/>
      <w:bookmarkStart w:id="29" w:name="bookmark28"/>
      <w:r>
        <w:t>SPECIFIKACE PRODLOUŽENÍ PODPORY SOFTWAROVÉHO ŘEŠENÍ VPN (implementovaného v AOPK), NÁKUPU NOVÝCH LICE</w:t>
      </w:r>
      <w:r>
        <w:t>NCÍ A CEN</w:t>
      </w:r>
      <w:bookmarkEnd w:id="28"/>
      <w:bookmarkEnd w:id="29"/>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2837"/>
        <w:gridCol w:w="1906"/>
        <w:gridCol w:w="427"/>
        <w:gridCol w:w="1133"/>
        <w:gridCol w:w="1066"/>
        <w:gridCol w:w="1200"/>
        <w:gridCol w:w="1277"/>
        <w:gridCol w:w="1421"/>
        <w:gridCol w:w="1526"/>
      </w:tblGrid>
      <w:tr w:rsidR="009156DB">
        <w:tblPrEx>
          <w:tblCellMar>
            <w:top w:w="0" w:type="dxa"/>
            <w:bottom w:w="0" w:type="dxa"/>
          </w:tblCellMar>
        </w:tblPrEx>
        <w:trPr>
          <w:trHeight w:hRule="exact" w:val="1008"/>
          <w:jc w:val="center"/>
        </w:trPr>
        <w:tc>
          <w:tcPr>
            <w:tcW w:w="1210"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center"/>
            </w:pPr>
            <w:r>
              <w:rPr>
                <w:rFonts w:ascii="Calibri" w:eastAsia="Calibri" w:hAnsi="Calibri" w:cs="Calibri"/>
                <w:b/>
                <w:bCs/>
              </w:rPr>
              <w:t>Produktový kód (SKU)</w:t>
            </w:r>
          </w:p>
        </w:tc>
        <w:tc>
          <w:tcPr>
            <w:tcW w:w="283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140"/>
            </w:pPr>
            <w:r>
              <w:rPr>
                <w:rFonts w:ascii="Calibri" w:eastAsia="Calibri" w:hAnsi="Calibri" w:cs="Calibri"/>
                <w:b/>
                <w:bCs/>
              </w:rPr>
              <w:t>Popis požadovaného produktu</w:t>
            </w:r>
          </w:p>
        </w:tc>
        <w:tc>
          <w:tcPr>
            <w:tcW w:w="1906"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center"/>
            </w:pPr>
            <w:r>
              <w:rPr>
                <w:rFonts w:ascii="Calibri" w:eastAsia="Calibri" w:hAnsi="Calibri" w:cs="Calibri"/>
                <w:b/>
                <w:bCs/>
              </w:rPr>
              <w:t>Poznámka k požadavku</w:t>
            </w:r>
          </w:p>
        </w:tc>
        <w:tc>
          <w:tcPr>
            <w:tcW w:w="42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b/>
                <w:bCs/>
              </w:rPr>
              <w:t>ks</w:t>
            </w:r>
          </w:p>
        </w:tc>
        <w:tc>
          <w:tcPr>
            <w:tcW w:w="1133" w:type="dxa"/>
            <w:tcBorders>
              <w:top w:val="single" w:sz="4" w:space="0" w:color="auto"/>
              <w:left w:val="single" w:sz="4" w:space="0" w:color="auto"/>
            </w:tcBorders>
            <w:shd w:val="clear" w:color="auto" w:fill="FFFFFF"/>
            <w:vAlign w:val="bottom"/>
          </w:tcPr>
          <w:p w:rsidR="009156DB" w:rsidRDefault="006164B6">
            <w:pPr>
              <w:pStyle w:val="Jin0"/>
              <w:shd w:val="clear" w:color="auto" w:fill="auto"/>
              <w:spacing w:after="0" w:line="240" w:lineRule="auto"/>
              <w:jc w:val="center"/>
            </w:pPr>
            <w:r>
              <w:rPr>
                <w:rFonts w:ascii="Calibri" w:eastAsia="Calibri" w:hAnsi="Calibri" w:cs="Calibri"/>
                <w:b/>
                <w:bCs/>
              </w:rPr>
              <w:t>Cena</w:t>
            </w:r>
          </w:p>
          <w:p w:rsidR="009156DB" w:rsidRDefault="006164B6">
            <w:pPr>
              <w:pStyle w:val="Jin0"/>
              <w:shd w:val="clear" w:color="auto" w:fill="auto"/>
              <w:spacing w:after="0" w:line="240" w:lineRule="auto"/>
              <w:jc w:val="center"/>
            </w:pPr>
            <w:r>
              <w:rPr>
                <w:rFonts w:ascii="Calibri" w:eastAsia="Calibri" w:hAnsi="Calibri" w:cs="Calibri"/>
                <w:b/>
                <w:bCs/>
              </w:rPr>
              <w:t xml:space="preserve">1 ks </w:t>
            </w:r>
            <w:r>
              <w:rPr>
                <w:rFonts w:ascii="Calibri" w:eastAsia="Calibri" w:hAnsi="Calibri" w:cs="Calibri"/>
              </w:rPr>
              <w:t>bez DPH</w:t>
            </w:r>
          </w:p>
          <w:p w:rsidR="009156DB" w:rsidRDefault="006164B6">
            <w:pPr>
              <w:pStyle w:val="Jin0"/>
              <w:shd w:val="clear" w:color="auto" w:fill="auto"/>
              <w:spacing w:after="0" w:line="240" w:lineRule="auto"/>
              <w:jc w:val="center"/>
            </w:pPr>
            <w:r>
              <w:rPr>
                <w:rFonts w:ascii="Calibri" w:eastAsia="Calibri" w:hAnsi="Calibri" w:cs="Calibri"/>
              </w:rPr>
              <w:t>(v Kč)</w:t>
            </w:r>
          </w:p>
        </w:tc>
        <w:tc>
          <w:tcPr>
            <w:tcW w:w="1066" w:type="dxa"/>
            <w:tcBorders>
              <w:top w:val="single" w:sz="4" w:space="0" w:color="auto"/>
              <w:left w:val="single" w:sz="4" w:space="0" w:color="auto"/>
            </w:tcBorders>
            <w:shd w:val="clear" w:color="auto" w:fill="FFFFFF"/>
          </w:tcPr>
          <w:p w:rsidR="009156DB" w:rsidRDefault="006164B6">
            <w:pPr>
              <w:pStyle w:val="Jin0"/>
              <w:shd w:val="clear" w:color="auto" w:fill="auto"/>
              <w:spacing w:after="0" w:line="240" w:lineRule="auto"/>
              <w:jc w:val="center"/>
            </w:pPr>
            <w:r>
              <w:rPr>
                <w:rFonts w:ascii="Calibri" w:eastAsia="Calibri" w:hAnsi="Calibri" w:cs="Calibri"/>
                <w:b/>
                <w:bCs/>
              </w:rPr>
              <w:t>DPH</w:t>
            </w:r>
          </w:p>
          <w:p w:rsidR="009156DB" w:rsidRDefault="006164B6">
            <w:pPr>
              <w:pStyle w:val="Jin0"/>
              <w:shd w:val="clear" w:color="auto" w:fill="auto"/>
              <w:spacing w:after="0" w:line="240" w:lineRule="auto"/>
              <w:jc w:val="center"/>
            </w:pPr>
            <w:r>
              <w:rPr>
                <w:rFonts w:ascii="Calibri" w:eastAsia="Calibri" w:hAnsi="Calibri" w:cs="Calibri"/>
                <w:b/>
                <w:bCs/>
              </w:rPr>
              <w:t xml:space="preserve">21% </w:t>
            </w:r>
            <w:r>
              <w:rPr>
                <w:rFonts w:ascii="Calibri" w:eastAsia="Calibri" w:hAnsi="Calibri" w:cs="Calibri"/>
              </w:rPr>
              <w:t>(v Kč)</w:t>
            </w:r>
          </w:p>
        </w:tc>
        <w:tc>
          <w:tcPr>
            <w:tcW w:w="1200" w:type="dxa"/>
            <w:tcBorders>
              <w:top w:val="single" w:sz="4" w:space="0" w:color="auto"/>
              <w:left w:val="single" w:sz="4" w:space="0" w:color="auto"/>
            </w:tcBorders>
            <w:shd w:val="clear" w:color="auto" w:fill="FFFFFF"/>
            <w:vAlign w:val="bottom"/>
          </w:tcPr>
          <w:p w:rsidR="009156DB" w:rsidRDefault="006164B6">
            <w:pPr>
              <w:pStyle w:val="Jin0"/>
              <w:shd w:val="clear" w:color="auto" w:fill="auto"/>
              <w:spacing w:after="0" w:line="240" w:lineRule="auto"/>
              <w:jc w:val="center"/>
            </w:pPr>
            <w:r>
              <w:rPr>
                <w:rFonts w:ascii="Calibri" w:eastAsia="Calibri" w:hAnsi="Calibri" w:cs="Calibri"/>
                <w:b/>
                <w:bCs/>
              </w:rPr>
              <w:t>Cena</w:t>
            </w:r>
          </w:p>
          <w:p w:rsidR="009156DB" w:rsidRDefault="006164B6">
            <w:pPr>
              <w:pStyle w:val="Jin0"/>
              <w:shd w:val="clear" w:color="auto" w:fill="auto"/>
              <w:spacing w:after="0" w:line="240" w:lineRule="auto"/>
              <w:jc w:val="center"/>
            </w:pPr>
            <w:r>
              <w:rPr>
                <w:rFonts w:ascii="Calibri" w:eastAsia="Calibri" w:hAnsi="Calibri" w:cs="Calibri"/>
                <w:b/>
                <w:bCs/>
              </w:rPr>
              <w:t xml:space="preserve">1 ks </w:t>
            </w:r>
            <w:r>
              <w:rPr>
                <w:rFonts w:ascii="Calibri" w:eastAsia="Calibri" w:hAnsi="Calibri" w:cs="Calibri"/>
              </w:rPr>
              <w:t>s DPH (v Kč)</w:t>
            </w:r>
          </w:p>
        </w:tc>
        <w:tc>
          <w:tcPr>
            <w:tcW w:w="1277" w:type="dxa"/>
            <w:tcBorders>
              <w:top w:val="single" w:sz="4" w:space="0" w:color="auto"/>
              <w:left w:val="single" w:sz="4" w:space="0" w:color="auto"/>
            </w:tcBorders>
            <w:shd w:val="clear" w:color="auto" w:fill="FFFFFF"/>
            <w:vAlign w:val="bottom"/>
          </w:tcPr>
          <w:p w:rsidR="009156DB" w:rsidRDefault="006164B6">
            <w:pPr>
              <w:pStyle w:val="Jin0"/>
              <w:shd w:val="clear" w:color="auto" w:fill="auto"/>
              <w:spacing w:after="0" w:line="240" w:lineRule="auto"/>
              <w:jc w:val="center"/>
            </w:pPr>
            <w:r>
              <w:rPr>
                <w:rFonts w:ascii="Calibri" w:eastAsia="Calibri" w:hAnsi="Calibri" w:cs="Calibri"/>
                <w:b/>
                <w:bCs/>
              </w:rPr>
              <w:t xml:space="preserve">Cena celkem </w:t>
            </w:r>
            <w:r>
              <w:rPr>
                <w:rFonts w:ascii="Calibri" w:eastAsia="Calibri" w:hAnsi="Calibri" w:cs="Calibri"/>
              </w:rPr>
              <w:t>bez DPH</w:t>
            </w:r>
          </w:p>
          <w:p w:rsidR="009156DB" w:rsidRDefault="006164B6">
            <w:pPr>
              <w:pStyle w:val="Jin0"/>
              <w:shd w:val="clear" w:color="auto" w:fill="auto"/>
              <w:spacing w:after="0" w:line="240" w:lineRule="auto"/>
              <w:jc w:val="center"/>
            </w:pPr>
            <w:r>
              <w:rPr>
                <w:rFonts w:ascii="Calibri" w:eastAsia="Calibri" w:hAnsi="Calibri" w:cs="Calibri"/>
              </w:rPr>
              <w:t>(v Kč)</w:t>
            </w:r>
          </w:p>
        </w:tc>
        <w:tc>
          <w:tcPr>
            <w:tcW w:w="1421" w:type="dxa"/>
            <w:tcBorders>
              <w:top w:val="single" w:sz="4" w:space="0" w:color="auto"/>
              <w:left w:val="single" w:sz="4" w:space="0" w:color="auto"/>
            </w:tcBorders>
            <w:shd w:val="clear" w:color="auto" w:fill="FFFFFF"/>
          </w:tcPr>
          <w:p w:rsidR="009156DB" w:rsidRDefault="006164B6">
            <w:pPr>
              <w:pStyle w:val="Jin0"/>
              <w:shd w:val="clear" w:color="auto" w:fill="auto"/>
              <w:spacing w:after="0" w:line="240" w:lineRule="auto"/>
              <w:jc w:val="center"/>
            </w:pPr>
            <w:r>
              <w:rPr>
                <w:rFonts w:ascii="Calibri" w:eastAsia="Calibri" w:hAnsi="Calibri" w:cs="Calibri"/>
                <w:b/>
                <w:bCs/>
              </w:rPr>
              <w:t xml:space="preserve">Celkem DPH </w:t>
            </w:r>
            <w:r>
              <w:rPr>
                <w:rFonts w:ascii="Calibri" w:eastAsia="Calibri" w:hAnsi="Calibri" w:cs="Calibri"/>
              </w:rPr>
              <w:t>(v Kč)</w:t>
            </w:r>
          </w:p>
        </w:tc>
        <w:tc>
          <w:tcPr>
            <w:tcW w:w="1526" w:type="dxa"/>
            <w:tcBorders>
              <w:top w:val="single" w:sz="4" w:space="0" w:color="auto"/>
              <w:left w:val="single" w:sz="4" w:space="0" w:color="auto"/>
              <w:right w:val="single" w:sz="4" w:space="0" w:color="auto"/>
            </w:tcBorders>
            <w:shd w:val="clear" w:color="auto" w:fill="FFFFFF"/>
            <w:vAlign w:val="bottom"/>
          </w:tcPr>
          <w:p w:rsidR="009156DB" w:rsidRDefault="006164B6">
            <w:pPr>
              <w:pStyle w:val="Jin0"/>
              <w:shd w:val="clear" w:color="auto" w:fill="auto"/>
              <w:spacing w:after="0" w:line="240" w:lineRule="auto"/>
              <w:jc w:val="center"/>
            </w:pPr>
            <w:r>
              <w:rPr>
                <w:rFonts w:ascii="Calibri" w:eastAsia="Calibri" w:hAnsi="Calibri" w:cs="Calibri"/>
                <w:b/>
                <w:bCs/>
              </w:rPr>
              <w:t xml:space="preserve">Cena celkem </w:t>
            </w:r>
            <w:r>
              <w:rPr>
                <w:rFonts w:ascii="Calibri" w:eastAsia="Calibri" w:hAnsi="Calibri" w:cs="Calibri"/>
              </w:rPr>
              <w:t>s DPH (v Kč)</w:t>
            </w:r>
          </w:p>
        </w:tc>
      </w:tr>
      <w:tr w:rsidR="009156DB">
        <w:tblPrEx>
          <w:tblCellMar>
            <w:top w:w="0" w:type="dxa"/>
            <w:bottom w:w="0" w:type="dxa"/>
          </w:tblCellMar>
        </w:tblPrEx>
        <w:trPr>
          <w:trHeight w:hRule="exact" w:val="749"/>
          <w:jc w:val="center"/>
        </w:trPr>
        <w:tc>
          <w:tcPr>
            <w:tcW w:w="1210"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rPr>
              <w:t>FTM-ELIC-50</w:t>
            </w:r>
          </w:p>
        </w:tc>
        <w:tc>
          <w:tcPr>
            <w:tcW w:w="283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rPr>
              <w:t xml:space="preserve">FortiTokenMobile </w:t>
            </w:r>
            <w:r>
              <w:rPr>
                <w:rFonts w:ascii="Calibri" w:eastAsia="Calibri" w:hAnsi="Calibri" w:cs="Calibri"/>
              </w:rPr>
              <w:t>(Electronic License), FortiTokenMobile FTM-</w:t>
            </w:r>
          </w:p>
          <w:p w:rsidR="009156DB" w:rsidRDefault="006164B6">
            <w:pPr>
              <w:pStyle w:val="Jin0"/>
              <w:shd w:val="clear" w:color="auto" w:fill="auto"/>
              <w:spacing w:after="0" w:line="240" w:lineRule="auto"/>
            </w:pPr>
            <w:r>
              <w:rPr>
                <w:rFonts w:ascii="Calibri" w:eastAsia="Calibri" w:hAnsi="Calibri" w:cs="Calibri"/>
              </w:rPr>
              <w:t>ELIC-50</w:t>
            </w:r>
          </w:p>
        </w:tc>
        <w:tc>
          <w:tcPr>
            <w:tcW w:w="1906"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rPr>
              <w:t>nákup nových 50ks licencí FortiToken</w:t>
            </w:r>
          </w:p>
          <w:p w:rsidR="009156DB" w:rsidRDefault="006164B6">
            <w:pPr>
              <w:pStyle w:val="Jin0"/>
              <w:shd w:val="clear" w:color="auto" w:fill="auto"/>
              <w:spacing w:after="0" w:line="240" w:lineRule="auto"/>
            </w:pPr>
            <w:r>
              <w:rPr>
                <w:rFonts w:ascii="Calibri" w:eastAsia="Calibri" w:hAnsi="Calibri" w:cs="Calibri"/>
              </w:rPr>
              <w:t>Mobile</w:t>
            </w:r>
          </w:p>
        </w:tc>
        <w:tc>
          <w:tcPr>
            <w:tcW w:w="42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240"/>
            </w:pPr>
            <w:r>
              <w:rPr>
                <w:rFonts w:ascii="Calibri" w:eastAsia="Calibri" w:hAnsi="Calibri" w:cs="Calibri"/>
                <w:b/>
                <w:bCs/>
              </w:rPr>
              <w:t>1</w:t>
            </w:r>
          </w:p>
        </w:tc>
        <w:tc>
          <w:tcPr>
            <w:tcW w:w="1133"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400"/>
            </w:pPr>
            <w:r>
              <w:t>58 000</w:t>
            </w:r>
          </w:p>
        </w:tc>
        <w:tc>
          <w:tcPr>
            <w:tcW w:w="1066"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360"/>
            </w:pPr>
            <w:r>
              <w:t>12 180</w:t>
            </w:r>
          </w:p>
        </w:tc>
        <w:tc>
          <w:tcPr>
            <w:tcW w:w="1200"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500"/>
            </w:pPr>
            <w:r>
              <w:t>70 180</w:t>
            </w:r>
          </w:p>
        </w:tc>
        <w:tc>
          <w:tcPr>
            <w:tcW w:w="127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58 000</w:t>
            </w:r>
          </w:p>
        </w:tc>
        <w:tc>
          <w:tcPr>
            <w:tcW w:w="1421"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12 180</w:t>
            </w:r>
          </w:p>
        </w:tc>
        <w:tc>
          <w:tcPr>
            <w:tcW w:w="1526" w:type="dxa"/>
            <w:tcBorders>
              <w:top w:val="single" w:sz="4" w:space="0" w:color="auto"/>
              <w:left w:val="single" w:sz="4" w:space="0" w:color="auto"/>
              <w:right w:val="single" w:sz="4" w:space="0" w:color="auto"/>
            </w:tcBorders>
            <w:shd w:val="clear" w:color="auto" w:fill="FFFFFF"/>
            <w:vAlign w:val="center"/>
          </w:tcPr>
          <w:p w:rsidR="009156DB" w:rsidRDefault="006164B6">
            <w:pPr>
              <w:pStyle w:val="Jin0"/>
              <w:shd w:val="clear" w:color="auto" w:fill="auto"/>
              <w:spacing w:after="0" w:line="240" w:lineRule="auto"/>
              <w:jc w:val="right"/>
            </w:pPr>
            <w:r>
              <w:t>70 180</w:t>
            </w:r>
          </w:p>
        </w:tc>
      </w:tr>
      <w:tr w:rsidR="009156DB">
        <w:tblPrEx>
          <w:tblCellMar>
            <w:top w:w="0" w:type="dxa"/>
            <w:bottom w:w="0" w:type="dxa"/>
          </w:tblCellMar>
        </w:tblPrEx>
        <w:trPr>
          <w:trHeight w:hRule="exact" w:val="1474"/>
          <w:jc w:val="center"/>
        </w:trPr>
        <w:tc>
          <w:tcPr>
            <w:tcW w:w="1210"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rPr>
              <w:t>coterm</w:t>
            </w:r>
          </w:p>
        </w:tc>
        <w:tc>
          <w:tcPr>
            <w:tcW w:w="283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rPr>
              <w:t>FortiClient, RNW, FortiClient Security Fabric Agent coterm (FCTEMS8821001033 do 16. 2. 2027)</w:t>
            </w:r>
          </w:p>
        </w:tc>
        <w:tc>
          <w:tcPr>
            <w:tcW w:w="1906"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rPr>
              <w:t>Rozšíření počtu</w:t>
            </w:r>
            <w:r>
              <w:rPr>
                <w:rFonts w:ascii="Calibri" w:eastAsia="Calibri" w:hAnsi="Calibri" w:cs="Calibri"/>
              </w:rPr>
              <w:t xml:space="preserve"> FortiClientů o 50ks na celkem 150ks a prodloužení podpory všech 150ks </w:t>
            </w:r>
            <w:proofErr w:type="gramStart"/>
            <w:r>
              <w:rPr>
                <w:rFonts w:ascii="Calibri" w:eastAsia="Calibri" w:hAnsi="Calibri" w:cs="Calibri"/>
              </w:rPr>
              <w:t>do</w:t>
            </w:r>
            <w:proofErr w:type="gramEnd"/>
          </w:p>
          <w:p w:rsidR="009156DB" w:rsidRDefault="006164B6">
            <w:pPr>
              <w:pStyle w:val="Jin0"/>
              <w:shd w:val="clear" w:color="auto" w:fill="auto"/>
              <w:spacing w:after="0" w:line="240" w:lineRule="auto"/>
            </w:pPr>
            <w:proofErr w:type="gramStart"/>
            <w:r>
              <w:rPr>
                <w:rFonts w:ascii="Calibri" w:eastAsia="Calibri" w:hAnsi="Calibri" w:cs="Calibri"/>
              </w:rPr>
              <w:t>16.2.2027</w:t>
            </w:r>
            <w:proofErr w:type="gramEnd"/>
          </w:p>
        </w:tc>
        <w:tc>
          <w:tcPr>
            <w:tcW w:w="42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240"/>
            </w:pPr>
            <w:r>
              <w:rPr>
                <w:rFonts w:ascii="Calibri" w:eastAsia="Calibri" w:hAnsi="Calibri" w:cs="Calibri"/>
                <w:b/>
                <w:bCs/>
              </w:rPr>
              <w:t>1</w:t>
            </w:r>
          </w:p>
        </w:tc>
        <w:tc>
          <w:tcPr>
            <w:tcW w:w="1133"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129 300</w:t>
            </w:r>
          </w:p>
        </w:tc>
        <w:tc>
          <w:tcPr>
            <w:tcW w:w="1066"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360"/>
            </w:pPr>
            <w:r>
              <w:t>27 153</w:t>
            </w:r>
          </w:p>
        </w:tc>
        <w:tc>
          <w:tcPr>
            <w:tcW w:w="1200"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156 453</w:t>
            </w:r>
          </w:p>
        </w:tc>
        <w:tc>
          <w:tcPr>
            <w:tcW w:w="127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129 300</w:t>
            </w:r>
          </w:p>
        </w:tc>
        <w:tc>
          <w:tcPr>
            <w:tcW w:w="1421"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27 153</w:t>
            </w:r>
          </w:p>
        </w:tc>
        <w:tc>
          <w:tcPr>
            <w:tcW w:w="1526" w:type="dxa"/>
            <w:tcBorders>
              <w:top w:val="single" w:sz="4" w:space="0" w:color="auto"/>
              <w:left w:val="single" w:sz="4" w:space="0" w:color="auto"/>
              <w:right w:val="single" w:sz="4" w:space="0" w:color="auto"/>
            </w:tcBorders>
            <w:shd w:val="clear" w:color="auto" w:fill="FFFFFF"/>
            <w:vAlign w:val="center"/>
          </w:tcPr>
          <w:p w:rsidR="009156DB" w:rsidRDefault="006164B6">
            <w:pPr>
              <w:pStyle w:val="Jin0"/>
              <w:shd w:val="clear" w:color="auto" w:fill="auto"/>
              <w:spacing w:after="0" w:line="240" w:lineRule="auto"/>
              <w:jc w:val="right"/>
            </w:pPr>
            <w:r>
              <w:t>156 453</w:t>
            </w:r>
          </w:p>
        </w:tc>
      </w:tr>
      <w:tr w:rsidR="009156DB">
        <w:tblPrEx>
          <w:tblCellMar>
            <w:top w:w="0" w:type="dxa"/>
            <w:bottom w:w="0" w:type="dxa"/>
          </w:tblCellMar>
        </w:tblPrEx>
        <w:trPr>
          <w:trHeight w:hRule="exact" w:val="984"/>
          <w:jc w:val="center"/>
        </w:trPr>
        <w:tc>
          <w:tcPr>
            <w:tcW w:w="1210"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rPr>
              <w:t>coterm</w:t>
            </w:r>
          </w:p>
        </w:tc>
        <w:tc>
          <w:tcPr>
            <w:tcW w:w="2837" w:type="dxa"/>
            <w:tcBorders>
              <w:top w:val="single" w:sz="4" w:space="0" w:color="auto"/>
              <w:left w:val="single" w:sz="4" w:space="0" w:color="auto"/>
            </w:tcBorders>
            <w:shd w:val="clear" w:color="auto" w:fill="FFFFFF"/>
            <w:vAlign w:val="bottom"/>
          </w:tcPr>
          <w:p w:rsidR="009156DB" w:rsidRDefault="006164B6">
            <w:pPr>
              <w:pStyle w:val="Jin0"/>
              <w:shd w:val="clear" w:color="auto" w:fill="auto"/>
              <w:spacing w:after="0" w:line="240" w:lineRule="auto"/>
            </w:pPr>
            <w:r>
              <w:rPr>
                <w:rFonts w:ascii="Calibri" w:eastAsia="Calibri" w:hAnsi="Calibri" w:cs="Calibri"/>
              </w:rPr>
              <w:t>FortiGate VM02V, RNW, FortiCare Premium RNW coterm (FGVM2VTM20004270 do 16. 2. 2027)</w:t>
            </w:r>
          </w:p>
        </w:tc>
        <w:tc>
          <w:tcPr>
            <w:tcW w:w="1906"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rPr>
              <w:t>prodloužení Premium</w:t>
            </w:r>
          </w:p>
          <w:p w:rsidR="009156DB" w:rsidRDefault="006164B6">
            <w:pPr>
              <w:pStyle w:val="Jin0"/>
              <w:shd w:val="clear" w:color="auto" w:fill="auto"/>
              <w:spacing w:after="0" w:line="240" w:lineRule="auto"/>
            </w:pPr>
            <w:r>
              <w:rPr>
                <w:rFonts w:ascii="Calibri" w:eastAsia="Calibri" w:hAnsi="Calibri" w:cs="Calibri"/>
              </w:rPr>
              <w:t xml:space="preserve">Care </w:t>
            </w:r>
            <w:r>
              <w:rPr>
                <w:rFonts w:ascii="Calibri" w:eastAsia="Calibri" w:hAnsi="Calibri" w:cs="Calibri"/>
              </w:rPr>
              <w:t xml:space="preserve">FortiGate VPN do </w:t>
            </w:r>
            <w:proofErr w:type="gramStart"/>
            <w:r>
              <w:rPr>
                <w:rFonts w:ascii="Calibri" w:eastAsia="Calibri" w:hAnsi="Calibri" w:cs="Calibri"/>
              </w:rPr>
              <w:t>16.2.2027</w:t>
            </w:r>
            <w:proofErr w:type="gramEnd"/>
          </w:p>
        </w:tc>
        <w:tc>
          <w:tcPr>
            <w:tcW w:w="42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240"/>
            </w:pPr>
            <w:r>
              <w:rPr>
                <w:rFonts w:ascii="Calibri" w:eastAsia="Calibri" w:hAnsi="Calibri" w:cs="Calibri"/>
                <w:b/>
                <w:bCs/>
              </w:rPr>
              <w:t>1</w:t>
            </w:r>
          </w:p>
        </w:tc>
        <w:tc>
          <w:tcPr>
            <w:tcW w:w="1133"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400"/>
            </w:pPr>
            <w:r>
              <w:t>33 700</w:t>
            </w:r>
          </w:p>
        </w:tc>
        <w:tc>
          <w:tcPr>
            <w:tcW w:w="1066"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7 077</w:t>
            </w:r>
          </w:p>
        </w:tc>
        <w:tc>
          <w:tcPr>
            <w:tcW w:w="1200"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500"/>
            </w:pPr>
            <w:r>
              <w:t>40 777</w:t>
            </w:r>
          </w:p>
        </w:tc>
        <w:tc>
          <w:tcPr>
            <w:tcW w:w="127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33 700</w:t>
            </w:r>
          </w:p>
        </w:tc>
        <w:tc>
          <w:tcPr>
            <w:tcW w:w="1421"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7 077</w:t>
            </w:r>
          </w:p>
        </w:tc>
        <w:tc>
          <w:tcPr>
            <w:tcW w:w="1526" w:type="dxa"/>
            <w:tcBorders>
              <w:top w:val="single" w:sz="4" w:space="0" w:color="auto"/>
              <w:left w:val="single" w:sz="4" w:space="0" w:color="auto"/>
              <w:right w:val="single" w:sz="4" w:space="0" w:color="auto"/>
            </w:tcBorders>
            <w:shd w:val="clear" w:color="auto" w:fill="FFFFFF"/>
            <w:vAlign w:val="center"/>
          </w:tcPr>
          <w:p w:rsidR="009156DB" w:rsidRDefault="006164B6">
            <w:pPr>
              <w:pStyle w:val="Jin0"/>
              <w:shd w:val="clear" w:color="auto" w:fill="auto"/>
              <w:spacing w:after="0" w:line="240" w:lineRule="auto"/>
              <w:jc w:val="right"/>
            </w:pPr>
            <w:r>
              <w:t>40 777</w:t>
            </w:r>
          </w:p>
        </w:tc>
      </w:tr>
      <w:tr w:rsidR="009156DB">
        <w:tblPrEx>
          <w:tblCellMar>
            <w:top w:w="0" w:type="dxa"/>
            <w:bottom w:w="0" w:type="dxa"/>
          </w:tblCellMar>
        </w:tblPrEx>
        <w:trPr>
          <w:trHeight w:hRule="exact" w:val="1478"/>
          <w:jc w:val="center"/>
        </w:trPr>
        <w:tc>
          <w:tcPr>
            <w:tcW w:w="1210"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rPr>
              <w:t>coterm</w:t>
            </w:r>
          </w:p>
        </w:tc>
        <w:tc>
          <w:tcPr>
            <w:tcW w:w="2837" w:type="dxa"/>
            <w:tcBorders>
              <w:top w:val="single" w:sz="4" w:space="0" w:color="auto"/>
              <w:left w:val="single" w:sz="4" w:space="0" w:color="auto"/>
            </w:tcBorders>
            <w:shd w:val="clear" w:color="auto" w:fill="FFFFFF"/>
            <w:vAlign w:val="bottom"/>
          </w:tcPr>
          <w:p w:rsidR="009156DB" w:rsidRDefault="006164B6">
            <w:pPr>
              <w:pStyle w:val="Jin0"/>
              <w:shd w:val="clear" w:color="auto" w:fill="auto"/>
              <w:spacing w:after="0" w:line="240" w:lineRule="auto"/>
            </w:pPr>
            <w:r>
              <w:rPr>
                <w:rFonts w:ascii="Calibri" w:eastAsia="Calibri" w:hAnsi="Calibri" w:cs="Calibri"/>
              </w:rPr>
              <w:t>FortiGate VM02V, RNW,</w:t>
            </w:r>
          </w:p>
          <w:p w:rsidR="009156DB" w:rsidRDefault="006164B6">
            <w:pPr>
              <w:pStyle w:val="Jin0"/>
              <w:shd w:val="clear" w:color="auto" w:fill="auto"/>
              <w:spacing w:after="0" w:line="240" w:lineRule="auto"/>
            </w:pPr>
            <w:r>
              <w:rPr>
                <w:rFonts w:ascii="Calibri" w:eastAsia="Calibri" w:hAnsi="Calibri" w:cs="Calibri"/>
              </w:rPr>
              <w:t>FortiCloud Management, Analysis and Log Retention RNW coterm (FGVM2VTM20004270 do 16. 2. 2027)</w:t>
            </w:r>
          </w:p>
        </w:tc>
        <w:tc>
          <w:tcPr>
            <w:tcW w:w="1906"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pPr>
            <w:r>
              <w:rPr>
                <w:rFonts w:ascii="Calibri" w:eastAsia="Calibri" w:hAnsi="Calibri" w:cs="Calibri"/>
              </w:rPr>
              <w:t>prodloužení</w:t>
            </w:r>
          </w:p>
          <w:p w:rsidR="009156DB" w:rsidRDefault="006164B6">
            <w:pPr>
              <w:pStyle w:val="Jin0"/>
              <w:shd w:val="clear" w:color="auto" w:fill="auto"/>
              <w:spacing w:after="0" w:line="240" w:lineRule="auto"/>
            </w:pPr>
            <w:r>
              <w:rPr>
                <w:rFonts w:ascii="Calibri" w:eastAsia="Calibri" w:hAnsi="Calibri" w:cs="Calibri"/>
              </w:rPr>
              <w:t xml:space="preserve">Forticloud Managementu (Loganalyzer) do </w:t>
            </w:r>
            <w:proofErr w:type="gramStart"/>
            <w:r>
              <w:rPr>
                <w:rFonts w:ascii="Calibri" w:eastAsia="Calibri" w:hAnsi="Calibri" w:cs="Calibri"/>
              </w:rPr>
              <w:t>16.2.2027</w:t>
            </w:r>
            <w:proofErr w:type="gramEnd"/>
          </w:p>
        </w:tc>
        <w:tc>
          <w:tcPr>
            <w:tcW w:w="42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240"/>
            </w:pPr>
            <w:r>
              <w:rPr>
                <w:rFonts w:ascii="Calibri" w:eastAsia="Calibri" w:hAnsi="Calibri" w:cs="Calibri"/>
                <w:b/>
                <w:bCs/>
              </w:rPr>
              <w:t>1</w:t>
            </w:r>
          </w:p>
        </w:tc>
        <w:tc>
          <w:tcPr>
            <w:tcW w:w="1133"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400"/>
            </w:pPr>
            <w:r>
              <w:t>33 700</w:t>
            </w:r>
          </w:p>
        </w:tc>
        <w:tc>
          <w:tcPr>
            <w:tcW w:w="1066"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7 077</w:t>
            </w:r>
          </w:p>
        </w:tc>
        <w:tc>
          <w:tcPr>
            <w:tcW w:w="1200"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ind w:firstLine="500"/>
            </w:pPr>
            <w:r>
              <w:t>40 777</w:t>
            </w:r>
          </w:p>
        </w:tc>
        <w:tc>
          <w:tcPr>
            <w:tcW w:w="1277"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33 700</w:t>
            </w:r>
          </w:p>
        </w:tc>
        <w:tc>
          <w:tcPr>
            <w:tcW w:w="1421" w:type="dxa"/>
            <w:tcBorders>
              <w:top w:val="single" w:sz="4" w:space="0" w:color="auto"/>
              <w:left w:val="single" w:sz="4" w:space="0" w:color="auto"/>
            </w:tcBorders>
            <w:shd w:val="clear" w:color="auto" w:fill="FFFFFF"/>
            <w:vAlign w:val="center"/>
          </w:tcPr>
          <w:p w:rsidR="009156DB" w:rsidRDefault="006164B6">
            <w:pPr>
              <w:pStyle w:val="Jin0"/>
              <w:shd w:val="clear" w:color="auto" w:fill="auto"/>
              <w:spacing w:after="0" w:line="240" w:lineRule="auto"/>
              <w:jc w:val="right"/>
            </w:pPr>
            <w:r>
              <w:t>7 077</w:t>
            </w:r>
          </w:p>
        </w:tc>
        <w:tc>
          <w:tcPr>
            <w:tcW w:w="1526" w:type="dxa"/>
            <w:tcBorders>
              <w:top w:val="single" w:sz="4" w:space="0" w:color="auto"/>
              <w:left w:val="single" w:sz="4" w:space="0" w:color="auto"/>
              <w:right w:val="single" w:sz="4" w:space="0" w:color="auto"/>
            </w:tcBorders>
            <w:shd w:val="clear" w:color="auto" w:fill="FFFFFF"/>
            <w:vAlign w:val="center"/>
          </w:tcPr>
          <w:p w:rsidR="009156DB" w:rsidRDefault="006164B6">
            <w:pPr>
              <w:pStyle w:val="Jin0"/>
              <w:shd w:val="clear" w:color="auto" w:fill="auto"/>
              <w:spacing w:after="0" w:line="240" w:lineRule="auto"/>
              <w:jc w:val="right"/>
            </w:pPr>
            <w:r>
              <w:t>40 777</w:t>
            </w:r>
          </w:p>
        </w:tc>
      </w:tr>
      <w:tr w:rsidR="009156DB">
        <w:tblPrEx>
          <w:tblCellMar>
            <w:top w:w="0" w:type="dxa"/>
            <w:bottom w:w="0" w:type="dxa"/>
          </w:tblCellMar>
        </w:tblPrEx>
        <w:trPr>
          <w:trHeight w:hRule="exact" w:val="749"/>
          <w:jc w:val="center"/>
        </w:trPr>
        <w:tc>
          <w:tcPr>
            <w:tcW w:w="1210" w:type="dxa"/>
            <w:tcBorders>
              <w:top w:val="single" w:sz="4" w:space="0" w:color="auto"/>
              <w:left w:val="single" w:sz="4" w:space="0" w:color="auto"/>
              <w:bottom w:val="single" w:sz="4" w:space="0" w:color="auto"/>
            </w:tcBorders>
            <w:shd w:val="clear" w:color="auto" w:fill="FFFFFF"/>
          </w:tcPr>
          <w:p w:rsidR="009156DB" w:rsidRDefault="009156DB">
            <w:pPr>
              <w:rPr>
                <w:sz w:val="10"/>
                <w:szCs w:val="10"/>
              </w:rPr>
            </w:pPr>
          </w:p>
        </w:tc>
        <w:tc>
          <w:tcPr>
            <w:tcW w:w="2837" w:type="dxa"/>
            <w:tcBorders>
              <w:top w:val="single" w:sz="4" w:space="0" w:color="auto"/>
              <w:left w:val="single" w:sz="4" w:space="0" w:color="auto"/>
              <w:bottom w:val="single" w:sz="4" w:space="0" w:color="auto"/>
            </w:tcBorders>
            <w:shd w:val="clear" w:color="auto" w:fill="FFFFFF"/>
          </w:tcPr>
          <w:p w:rsidR="009156DB" w:rsidRDefault="009156DB">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9156DB" w:rsidRDefault="009156DB">
            <w:pPr>
              <w:rPr>
                <w:sz w:val="10"/>
                <w:szCs w:val="10"/>
              </w:rPr>
            </w:pPr>
          </w:p>
        </w:tc>
        <w:tc>
          <w:tcPr>
            <w:tcW w:w="427" w:type="dxa"/>
            <w:tcBorders>
              <w:top w:val="single" w:sz="4" w:space="0" w:color="auto"/>
              <w:left w:val="single" w:sz="4" w:space="0" w:color="auto"/>
              <w:bottom w:val="single" w:sz="4" w:space="0" w:color="auto"/>
            </w:tcBorders>
            <w:shd w:val="clear" w:color="auto" w:fill="FFFFFF"/>
          </w:tcPr>
          <w:p w:rsidR="009156DB" w:rsidRDefault="009156DB">
            <w:pPr>
              <w:rPr>
                <w:sz w:val="10"/>
                <w:szCs w:val="10"/>
              </w:rPr>
            </w:pPr>
          </w:p>
        </w:tc>
        <w:tc>
          <w:tcPr>
            <w:tcW w:w="1133" w:type="dxa"/>
            <w:tcBorders>
              <w:top w:val="single" w:sz="4" w:space="0" w:color="auto"/>
              <w:left w:val="single" w:sz="4" w:space="0" w:color="auto"/>
              <w:bottom w:val="single" w:sz="4" w:space="0" w:color="auto"/>
            </w:tcBorders>
            <w:shd w:val="clear" w:color="auto" w:fill="FFFFFF"/>
          </w:tcPr>
          <w:p w:rsidR="009156DB" w:rsidRDefault="009156DB">
            <w:pPr>
              <w:rPr>
                <w:sz w:val="10"/>
                <w:szCs w:val="10"/>
              </w:rPr>
            </w:pPr>
          </w:p>
        </w:tc>
        <w:tc>
          <w:tcPr>
            <w:tcW w:w="1066" w:type="dxa"/>
            <w:tcBorders>
              <w:top w:val="single" w:sz="4" w:space="0" w:color="auto"/>
              <w:left w:val="single" w:sz="4" w:space="0" w:color="auto"/>
              <w:bottom w:val="single" w:sz="4" w:space="0" w:color="auto"/>
            </w:tcBorders>
            <w:shd w:val="clear" w:color="auto" w:fill="FFFFFF"/>
          </w:tcPr>
          <w:p w:rsidR="009156DB" w:rsidRDefault="009156DB">
            <w:pPr>
              <w:rPr>
                <w:sz w:val="10"/>
                <w:szCs w:val="10"/>
              </w:rPr>
            </w:pPr>
          </w:p>
        </w:tc>
        <w:tc>
          <w:tcPr>
            <w:tcW w:w="1200" w:type="dxa"/>
            <w:tcBorders>
              <w:top w:val="single" w:sz="4" w:space="0" w:color="auto"/>
              <w:left w:val="single" w:sz="4" w:space="0" w:color="auto"/>
              <w:bottom w:val="single" w:sz="4" w:space="0" w:color="auto"/>
            </w:tcBorders>
            <w:shd w:val="clear" w:color="auto" w:fill="FFFFFF"/>
          </w:tcPr>
          <w:p w:rsidR="009156DB" w:rsidRDefault="009156DB">
            <w:pPr>
              <w:rPr>
                <w:sz w:val="10"/>
                <w:szCs w:val="10"/>
              </w:rPr>
            </w:pPr>
          </w:p>
        </w:tc>
        <w:tc>
          <w:tcPr>
            <w:tcW w:w="1277" w:type="dxa"/>
            <w:tcBorders>
              <w:top w:val="single" w:sz="4" w:space="0" w:color="auto"/>
              <w:left w:val="single" w:sz="4" w:space="0" w:color="auto"/>
              <w:bottom w:val="single" w:sz="4" w:space="0" w:color="auto"/>
            </w:tcBorders>
            <w:shd w:val="clear" w:color="auto" w:fill="FFFFFF"/>
            <w:vAlign w:val="center"/>
          </w:tcPr>
          <w:p w:rsidR="009156DB" w:rsidRDefault="006164B6">
            <w:pPr>
              <w:pStyle w:val="Jin0"/>
              <w:shd w:val="clear" w:color="auto" w:fill="auto"/>
              <w:spacing w:after="0" w:line="240" w:lineRule="auto"/>
              <w:jc w:val="right"/>
            </w:pPr>
            <w:r>
              <w:t>254 700</w:t>
            </w:r>
          </w:p>
        </w:tc>
        <w:tc>
          <w:tcPr>
            <w:tcW w:w="1421" w:type="dxa"/>
            <w:tcBorders>
              <w:top w:val="single" w:sz="4" w:space="0" w:color="auto"/>
              <w:left w:val="single" w:sz="4" w:space="0" w:color="auto"/>
              <w:bottom w:val="single" w:sz="4" w:space="0" w:color="auto"/>
            </w:tcBorders>
            <w:shd w:val="clear" w:color="auto" w:fill="FFFFFF"/>
            <w:vAlign w:val="center"/>
          </w:tcPr>
          <w:p w:rsidR="009156DB" w:rsidRDefault="006164B6">
            <w:pPr>
              <w:pStyle w:val="Jin0"/>
              <w:shd w:val="clear" w:color="auto" w:fill="auto"/>
              <w:spacing w:after="0" w:line="240" w:lineRule="auto"/>
              <w:jc w:val="right"/>
            </w:pPr>
            <w:r>
              <w:t>53 487</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9156DB" w:rsidRDefault="006164B6">
            <w:pPr>
              <w:pStyle w:val="Jin0"/>
              <w:shd w:val="clear" w:color="auto" w:fill="auto"/>
              <w:spacing w:after="0" w:line="240" w:lineRule="auto"/>
              <w:jc w:val="right"/>
            </w:pPr>
            <w:r>
              <w:rPr>
                <w:b/>
                <w:bCs/>
                <w:color w:val="FF0000"/>
              </w:rPr>
              <w:t>308 187</w:t>
            </w:r>
          </w:p>
        </w:tc>
      </w:tr>
    </w:tbl>
    <w:p w:rsidR="009156DB" w:rsidRDefault="009156DB">
      <w:pPr>
        <w:spacing w:after="359" w:line="1" w:lineRule="exact"/>
      </w:pPr>
    </w:p>
    <w:p w:rsidR="009156DB" w:rsidRDefault="006164B6">
      <w:pPr>
        <w:pStyle w:val="Zkladntext1"/>
        <w:shd w:val="clear" w:color="auto" w:fill="auto"/>
        <w:spacing w:after="0" w:line="276" w:lineRule="auto"/>
      </w:pPr>
      <w:r>
        <w:t>Poznámka: Stávající softwarové řešení VPN Forti bylo pořízeno 16. 12. 2020 a rozšířeno o Log Management 1. 12. 2021 s celkovou platností podpory do 17.</w:t>
      </w:r>
    </w:p>
    <w:p w:rsidR="009156DB" w:rsidRDefault="006164B6">
      <w:pPr>
        <w:pStyle w:val="Zkladntext1"/>
        <w:numPr>
          <w:ilvl w:val="0"/>
          <w:numId w:val="1"/>
        </w:numPr>
        <w:shd w:val="clear" w:color="auto" w:fill="auto"/>
        <w:tabs>
          <w:tab w:val="left" w:pos="478"/>
        </w:tabs>
        <w:spacing w:after="0" w:line="276" w:lineRule="auto"/>
      </w:pPr>
      <w:r>
        <w:t>2023.</w:t>
      </w:r>
    </w:p>
    <w:sectPr w:rsidR="009156DB">
      <w:footerReference w:type="default" r:id="rId10"/>
      <w:pgSz w:w="16840" w:h="11900" w:orient="landscape"/>
      <w:pgMar w:top="689" w:right="1421" w:bottom="689" w:left="1383" w:header="261" w:footer="2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B6" w:rsidRDefault="006164B6">
      <w:r>
        <w:separator/>
      </w:r>
    </w:p>
  </w:endnote>
  <w:endnote w:type="continuationSeparator" w:id="0">
    <w:p w:rsidR="006164B6" w:rsidRDefault="0061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DB" w:rsidRDefault="006164B6">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3693160</wp:posOffset>
              </wp:positionH>
              <wp:positionV relativeFrom="page">
                <wp:posOffset>10022840</wp:posOffset>
              </wp:positionV>
              <wp:extent cx="21971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219710" cy="106680"/>
                      </a:xfrm>
                      <a:prstGeom prst="rect">
                        <a:avLst/>
                      </a:prstGeom>
                      <a:noFill/>
                    </wps:spPr>
                    <wps:txbx>
                      <w:txbxContent>
                        <w:p w:rsidR="009156DB" w:rsidRDefault="006164B6">
                          <w:pPr>
                            <w:pStyle w:val="Zhlavnebozpat20"/>
                            <w:shd w:val="clear" w:color="auto" w:fill="auto"/>
                            <w:rPr>
                              <w:sz w:val="18"/>
                              <w:szCs w:val="18"/>
                            </w:rPr>
                          </w:pPr>
                          <w:r>
                            <w:fldChar w:fldCharType="begin"/>
                          </w:r>
                          <w:r>
                            <w:instrText xml:space="preserve"> PAGE \* MERGEFORMAT </w:instrText>
                          </w:r>
                          <w:r>
                            <w:fldChar w:fldCharType="separate"/>
                          </w:r>
                          <w:r w:rsidR="00BD6153" w:rsidRPr="00BD6153">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290.8pt;margin-top:789.2pt;width:17.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" filled="f" stroked="f">
              <v:textbox style="mso-fit-shape-to-text:t" inset="0,0,0,0">
                <w:txbxContent>
                  <w:p w:rsidR="009156DB" w:rsidRDefault="006164B6">
                    <w:pPr>
                      <w:pStyle w:val="Zhlavnebozpat20"/>
                      <w:shd w:val="clear" w:color="auto" w:fill="auto"/>
                      <w:rPr>
                        <w:sz w:val="18"/>
                        <w:szCs w:val="18"/>
                      </w:rPr>
                    </w:pPr>
                    <w:r>
                      <w:fldChar w:fldCharType="begin"/>
                    </w:r>
                    <w:r>
                      <w:instrText xml:space="preserve"> PAGE \* MERGEFORMAT </w:instrText>
                    </w:r>
                    <w:r>
                      <w:fldChar w:fldCharType="separate"/>
                    </w:r>
                    <w:r w:rsidR="00BD6153" w:rsidRPr="00BD6153">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 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6DB" w:rsidRDefault="009156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B6" w:rsidRDefault="006164B6"/>
  </w:footnote>
  <w:footnote w:type="continuationSeparator" w:id="0">
    <w:p w:rsidR="006164B6" w:rsidRDefault="006164B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5822"/>
    <w:multiLevelType w:val="multilevel"/>
    <w:tmpl w:val="9D344E86"/>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3F6399"/>
    <w:multiLevelType w:val="multilevel"/>
    <w:tmpl w:val="5E7C535C"/>
    <w:lvl w:ilvl="0">
      <w:start w:val="2"/>
      <w:numFmt w:val="decimal"/>
      <w:lvlText w:val="10.%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DB"/>
    <w:rsid w:val="006164B6"/>
    <w:rsid w:val="009156DB"/>
    <w:rsid w:val="00BD61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E334"/>
  <w15:docId w15:val="{87655D61-22A3-4AE3-9042-F11F65BF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006B4D"/>
      <w:sz w:val="14"/>
      <w:szCs w:val="14"/>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006B4D"/>
      <w:sz w:val="16"/>
      <w:szCs w:val="1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paragraph" w:customStyle="1" w:styleId="Zkladntext30">
    <w:name w:val="Základní text (3)"/>
    <w:basedOn w:val="Normln"/>
    <w:link w:val="Zkladntext3"/>
    <w:pPr>
      <w:shd w:val="clear" w:color="auto" w:fill="FFFFFF"/>
      <w:spacing w:before="80" w:line="326" w:lineRule="auto"/>
      <w:ind w:firstLine="460"/>
    </w:pPr>
    <w:rPr>
      <w:rFonts w:ascii="Arial" w:eastAsia="Arial" w:hAnsi="Arial" w:cs="Arial"/>
      <w:b/>
      <w:bCs/>
      <w:color w:val="006B4D"/>
      <w:sz w:val="14"/>
      <w:szCs w:val="14"/>
    </w:rPr>
  </w:style>
  <w:style w:type="paragraph" w:customStyle="1" w:styleId="Zkladntext1">
    <w:name w:val="Základní text1"/>
    <w:basedOn w:val="Normln"/>
    <w:link w:val="Zkladntext"/>
    <w:pPr>
      <w:shd w:val="clear" w:color="auto" w:fill="FFFFFF"/>
      <w:spacing w:after="120" w:line="271" w:lineRule="auto"/>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40"/>
      <w:ind w:left="6080"/>
      <w:jc w:val="right"/>
    </w:pPr>
    <w:rPr>
      <w:rFonts w:ascii="Calibri" w:eastAsia="Calibri" w:hAnsi="Calibri" w:cs="Calibri"/>
      <w:color w:val="006B4D"/>
      <w:sz w:val="16"/>
      <w:szCs w:val="1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60"/>
      <w:jc w:val="center"/>
      <w:outlineLvl w:val="0"/>
    </w:pPr>
    <w:rPr>
      <w:rFonts w:ascii="Arial" w:eastAsia="Arial" w:hAnsi="Arial" w:cs="Arial"/>
      <w:b/>
      <w:bCs/>
      <w:sz w:val="28"/>
      <w:szCs w:val="28"/>
    </w:rPr>
  </w:style>
  <w:style w:type="paragraph" w:customStyle="1" w:styleId="Nadpis20">
    <w:name w:val="Nadpis #2"/>
    <w:basedOn w:val="Normln"/>
    <w:link w:val="Nadpis2"/>
    <w:pPr>
      <w:shd w:val="clear" w:color="auto" w:fill="FFFFFF"/>
      <w:spacing w:after="360" w:line="271" w:lineRule="auto"/>
      <w:jc w:val="center"/>
      <w:outlineLvl w:val="1"/>
    </w:pPr>
    <w:rPr>
      <w:rFonts w:ascii="Arial" w:eastAsia="Arial" w:hAnsi="Arial" w:cs="Arial"/>
      <w:b/>
      <w:bCs/>
      <w:sz w:val="20"/>
      <w:szCs w:val="20"/>
    </w:rPr>
  </w:style>
  <w:style w:type="paragraph" w:customStyle="1" w:styleId="Titulektabulky0">
    <w:name w:val="Titulek tabulky"/>
    <w:basedOn w:val="Normln"/>
    <w:link w:val="Titulektabulky"/>
    <w:pPr>
      <w:shd w:val="clear" w:color="auto" w:fill="FFFFFF"/>
      <w:spacing w:line="271" w:lineRule="auto"/>
    </w:pPr>
    <w:rPr>
      <w:rFonts w:ascii="Arial" w:eastAsia="Arial" w:hAnsi="Arial" w:cs="Arial"/>
      <w:sz w:val="20"/>
      <w:szCs w:val="20"/>
    </w:rPr>
  </w:style>
  <w:style w:type="paragraph" w:customStyle="1" w:styleId="Jin0">
    <w:name w:val="Jiné"/>
    <w:basedOn w:val="Normln"/>
    <w:link w:val="Jin"/>
    <w:pPr>
      <w:shd w:val="clear" w:color="auto" w:fill="FFFFFF"/>
      <w:spacing w:after="120" w:line="271" w:lineRule="auto"/>
    </w:pPr>
    <w:rPr>
      <w:rFonts w:ascii="Arial" w:eastAsia="Arial" w:hAnsi="Arial" w:cs="Arial"/>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opkcr@natur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1706</Words>
  <Characters>10072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Nagy</dc:creator>
  <cp:keywords/>
  <cp:lastModifiedBy>Ivana Kohoutová</cp:lastModifiedBy>
  <cp:revision>2</cp:revision>
  <dcterms:created xsi:type="dcterms:W3CDTF">2023-07-12T06:22:00Z</dcterms:created>
  <dcterms:modified xsi:type="dcterms:W3CDTF">2023-07-12T06:22:00Z</dcterms:modified>
</cp:coreProperties>
</file>