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7BBB" w14:textId="77777777" w:rsidR="00B068C7" w:rsidRDefault="00000000">
      <w:pPr>
        <w:spacing w:after="1378" w:line="259" w:lineRule="auto"/>
        <w:ind w:left="1988" w:firstLine="0"/>
      </w:pPr>
      <w:r>
        <w:rPr>
          <w:color w:val="FF0000"/>
          <w:sz w:val="2"/>
        </w:rPr>
        <w:t xml:space="preserve"> </w:t>
      </w:r>
    </w:p>
    <w:p w14:paraId="73957CC9" w14:textId="77777777" w:rsidR="00B068C7" w:rsidRDefault="00000000">
      <w:pPr>
        <w:tabs>
          <w:tab w:val="center" w:pos="4731"/>
          <w:tab w:val="center" w:pos="7489"/>
        </w:tabs>
        <w:spacing w:after="132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4"/>
          <w:u w:val="single" w:color="000000"/>
        </w:rPr>
        <w:t>SMLOUVA O DÍLO</w:t>
      </w:r>
      <w:r>
        <w:rPr>
          <w:b/>
          <w:sz w:val="34"/>
        </w:rPr>
        <w:t xml:space="preserve"> </w:t>
      </w:r>
      <w:r>
        <w:rPr>
          <w:b/>
          <w:sz w:val="34"/>
        </w:rPr>
        <w:tab/>
      </w:r>
      <w:r>
        <w:rPr>
          <w:b/>
          <w:sz w:val="24"/>
        </w:rPr>
        <w:t xml:space="preserve">NA/2023/136 </w:t>
      </w:r>
    </w:p>
    <w:p w14:paraId="18DE4445" w14:textId="77777777" w:rsidR="005325AB" w:rsidRDefault="00000000" w:rsidP="005325AB">
      <w:pPr>
        <w:spacing w:after="0" w:line="259" w:lineRule="auto"/>
        <w:ind w:left="0" w:right="2045" w:firstLine="2096"/>
        <w:rPr>
          <w:sz w:val="24"/>
        </w:rPr>
      </w:pPr>
      <w:r>
        <w:rPr>
          <w:sz w:val="24"/>
        </w:rPr>
        <w:t>uzavřená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ve smyslu §2586 a násl. zákona č. 89/2012 Sb.</w:t>
      </w:r>
    </w:p>
    <w:p w14:paraId="48E132A4" w14:textId="31D37939" w:rsidR="00B068C7" w:rsidRPr="005325AB" w:rsidRDefault="00000000" w:rsidP="005325AB">
      <w:pPr>
        <w:spacing w:after="0" w:line="259" w:lineRule="auto"/>
        <w:ind w:left="0" w:right="2045" w:firstLine="0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  <w:u w:val="single" w:color="000000"/>
        </w:rPr>
        <w:t>I. Smluvní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strany:</w:t>
      </w:r>
      <w:r>
        <w:rPr>
          <w:b/>
          <w:sz w:val="24"/>
        </w:rPr>
        <w:t xml:space="preserve"> </w:t>
      </w:r>
    </w:p>
    <w:tbl>
      <w:tblPr>
        <w:tblStyle w:val="TableGrid"/>
        <w:tblW w:w="9859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5058"/>
      </w:tblGrid>
      <w:tr w:rsidR="00B068C7" w14:paraId="2AF8882C" w14:textId="77777777">
        <w:trPr>
          <w:trHeight w:val="854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02608EBB" w14:textId="77777777" w:rsidR="00B068C7" w:rsidRDefault="00000000">
            <w:pPr>
              <w:tabs>
                <w:tab w:val="center" w:pos="2725"/>
              </w:tabs>
              <w:spacing w:after="161" w:line="259" w:lineRule="auto"/>
              <w:ind w:left="0" w:firstLine="0"/>
            </w:pPr>
            <w:r>
              <w:rPr>
                <w:sz w:val="18"/>
              </w:rPr>
              <w:t xml:space="preserve">Dodavatel : </w:t>
            </w:r>
            <w:r>
              <w:rPr>
                <w:sz w:val="18"/>
              </w:rPr>
              <w:tab/>
            </w:r>
            <w:r>
              <w:rPr>
                <w:b/>
                <w:sz w:val="24"/>
              </w:rPr>
              <w:t xml:space="preserve">PROFIL NÁBYTEK, a.s. </w:t>
            </w:r>
          </w:p>
          <w:p w14:paraId="4D50448B" w14:textId="77777777" w:rsidR="00B068C7" w:rsidRDefault="00000000">
            <w:pPr>
              <w:spacing w:after="0" w:line="259" w:lineRule="auto"/>
              <w:ind w:left="0" w:right="373" w:firstLine="0"/>
              <w:jc w:val="center"/>
            </w:pPr>
            <w:r>
              <w:rPr>
                <w:sz w:val="24"/>
              </w:rPr>
              <w:t>Nádražní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1747 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1B627393" w14:textId="77777777" w:rsidR="00B068C7" w:rsidRDefault="00000000">
            <w:pPr>
              <w:spacing w:after="0" w:line="259" w:lineRule="auto"/>
              <w:ind w:left="1375" w:hanging="1375"/>
            </w:pPr>
            <w:r>
              <w:rPr>
                <w:sz w:val="18"/>
              </w:rPr>
              <w:t xml:space="preserve">Odběratel : </w:t>
            </w:r>
            <w:r>
              <w:rPr>
                <w:sz w:val="18"/>
              </w:rPr>
              <w:tab/>
            </w:r>
            <w:r>
              <w:rPr>
                <w:b/>
                <w:sz w:val="24"/>
              </w:rPr>
              <w:t>Integrované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centrum sociálních služeb Jihlava, příspěvková organizace</w:t>
            </w:r>
            <w:r>
              <w:rPr>
                <w:sz w:val="24"/>
              </w:rPr>
              <w:t>, Žižkova 2075/106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068C7" w14:paraId="7FFCDE06" w14:textId="77777777">
        <w:trPr>
          <w:trHeight w:val="37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1B8CDB8D" w14:textId="77777777" w:rsidR="00B068C7" w:rsidRDefault="00000000">
            <w:pPr>
              <w:tabs>
                <w:tab w:val="center" w:pos="644"/>
                <w:tab w:val="center" w:pos="199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396 01 </w:t>
            </w:r>
            <w:r>
              <w:rPr>
                <w:sz w:val="24"/>
              </w:rPr>
              <w:tab/>
              <w:t xml:space="preserve">Humpolec 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05CF625B" w14:textId="77777777" w:rsidR="00B068C7" w:rsidRDefault="00000000">
            <w:pPr>
              <w:tabs>
                <w:tab w:val="center" w:pos="699"/>
                <w:tab w:val="center" w:pos="176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586 01 </w:t>
            </w:r>
            <w:r>
              <w:rPr>
                <w:sz w:val="24"/>
              </w:rPr>
              <w:tab/>
              <w:t xml:space="preserve">Jihlava </w:t>
            </w:r>
          </w:p>
        </w:tc>
      </w:tr>
      <w:tr w:rsidR="00B068C7" w14:paraId="70557410" w14:textId="77777777">
        <w:trPr>
          <w:trHeight w:val="343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22DE8963" w14:textId="77777777" w:rsidR="00B068C7" w:rsidRDefault="00000000">
            <w:pPr>
              <w:spacing w:after="0" w:line="259" w:lineRule="auto"/>
              <w:ind w:left="180" w:firstLine="0"/>
            </w:pPr>
            <w:r>
              <w:t>IČO 48202118 DIČ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CZ48202118 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4E496285" w14:textId="77777777" w:rsidR="00B068C7" w:rsidRDefault="00000000">
            <w:pPr>
              <w:spacing w:after="0" w:line="259" w:lineRule="auto"/>
              <w:ind w:left="317" w:firstLine="0"/>
            </w:pPr>
            <w:r>
              <w:t xml:space="preserve">IČO: 00400840 DIČ: </w:t>
            </w:r>
          </w:p>
        </w:tc>
      </w:tr>
      <w:tr w:rsidR="00B068C7" w14:paraId="17C126B7" w14:textId="77777777">
        <w:trPr>
          <w:trHeight w:val="305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19526B4C" w14:textId="77777777" w:rsidR="00B068C7" w:rsidRDefault="00000000">
            <w:pPr>
              <w:tabs>
                <w:tab w:val="center" w:pos="569"/>
                <w:tab w:val="center" w:pos="239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Banka : </w:t>
            </w:r>
            <w:r>
              <w:tab/>
              <w:t xml:space="preserve">ČSOB, a.s. Pelhřimov 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09EB023A" w14:textId="77777777" w:rsidR="00B068C7" w:rsidRDefault="00000000">
            <w:pPr>
              <w:spacing w:after="0" w:line="259" w:lineRule="auto"/>
              <w:ind w:left="317" w:firstLine="0"/>
            </w:pPr>
            <w:r>
              <w:t xml:space="preserve">Banka : </w:t>
            </w:r>
          </w:p>
        </w:tc>
      </w:tr>
      <w:tr w:rsidR="00B068C7" w14:paraId="51B25A6F" w14:textId="77777777">
        <w:trPr>
          <w:trHeight w:val="304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67F7046F" w14:textId="77777777" w:rsidR="00B068C7" w:rsidRDefault="00000000">
            <w:pPr>
              <w:tabs>
                <w:tab w:val="center" w:pos="491"/>
                <w:tab w:val="center" w:pos="215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Účet : </w:t>
            </w:r>
            <w:r>
              <w:tab/>
              <w:t xml:space="preserve">223602551/0300 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0A71FAE2" w14:textId="77777777" w:rsidR="00B068C7" w:rsidRDefault="00000000">
            <w:pPr>
              <w:spacing w:after="0" w:line="259" w:lineRule="auto"/>
              <w:ind w:left="317" w:firstLine="0"/>
            </w:pPr>
            <w:r>
              <w:t xml:space="preserve">Účet : / </w:t>
            </w:r>
          </w:p>
        </w:tc>
      </w:tr>
      <w:tr w:rsidR="00B068C7" w14:paraId="0CE18383" w14:textId="77777777">
        <w:trPr>
          <w:trHeight w:val="582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42444637" w14:textId="77777777" w:rsidR="00B068C7" w:rsidRDefault="00000000">
            <w:pPr>
              <w:spacing w:after="0" w:line="259" w:lineRule="auto"/>
              <w:ind w:left="1292" w:right="987" w:hanging="1061"/>
              <w:jc w:val="both"/>
            </w:pPr>
            <w:r>
              <w:t xml:space="preserve">Zastoupen: František Čermák, předseda představenstva 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5046896A" w14:textId="77777777" w:rsidR="00B068C7" w:rsidRDefault="00000000">
            <w:pPr>
              <w:spacing w:after="0" w:line="259" w:lineRule="auto"/>
              <w:ind w:left="317" w:firstLine="0"/>
            </w:pPr>
            <w:r>
              <w:t xml:space="preserve">Zastoupen: Ing. Alenou </w:t>
            </w:r>
            <w:r>
              <w:rPr>
                <w:rFonts w:ascii="Calibri" w:eastAsia="Calibri" w:hAnsi="Calibri" w:cs="Calibri"/>
              </w:rPr>
              <w:t>Ř</w:t>
            </w:r>
            <w:r>
              <w:t>eho</w:t>
            </w:r>
            <w:r>
              <w:rPr>
                <w:rFonts w:ascii="Calibri" w:eastAsia="Calibri" w:hAnsi="Calibri" w:cs="Calibri"/>
              </w:rPr>
              <w:t>ř</w:t>
            </w:r>
            <w:r>
              <w:t xml:space="preserve">ovou </w:t>
            </w:r>
          </w:p>
          <w:p w14:paraId="3D1294C1" w14:textId="77777777" w:rsidR="00B068C7" w:rsidRDefault="00000000">
            <w:pPr>
              <w:spacing w:after="0" w:line="259" w:lineRule="auto"/>
              <w:ind w:left="317" w:firstLine="0"/>
            </w:pPr>
            <w:r>
              <w:t xml:space="preserve">                   </w:t>
            </w:r>
            <w:r>
              <w:rPr>
                <w:rFonts w:ascii="Calibri" w:eastAsia="Calibri" w:hAnsi="Calibri" w:cs="Calibri"/>
              </w:rPr>
              <w:t>ř</w:t>
            </w:r>
            <w:r>
              <w:t xml:space="preserve">editelkou </w:t>
            </w:r>
          </w:p>
        </w:tc>
      </w:tr>
      <w:tr w:rsidR="00B068C7" w14:paraId="52D49BED" w14:textId="77777777">
        <w:trPr>
          <w:trHeight w:val="287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427EF26F" w14:textId="0BFAC758" w:rsidR="00B068C7" w:rsidRDefault="00000000">
            <w:pPr>
              <w:spacing w:after="0" w:line="259" w:lineRule="auto"/>
              <w:ind w:left="216" w:firstLine="0"/>
            </w:pPr>
            <w:r>
              <w:t>Kontak</w:t>
            </w:r>
            <w:r w:rsidR="00E2673B">
              <w:t>t</w:t>
            </w:r>
            <w:r>
              <w:t>. osoba:</w:t>
            </w:r>
            <w:r w:rsidR="00E2673B">
              <w:t xml:space="preserve"> </w:t>
            </w:r>
            <w:r>
              <w:t xml:space="preserve">Radim Kokojan 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1B276EDC" w14:textId="77777777" w:rsidR="00B068C7" w:rsidRDefault="00000000">
            <w:pPr>
              <w:spacing w:after="0" w:line="259" w:lineRule="auto"/>
              <w:ind w:left="317" w:firstLine="0"/>
            </w:pPr>
            <w:r>
              <w:t>Kontakt. osoba: Řehořová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Alena, Ing. </w:t>
            </w:r>
          </w:p>
        </w:tc>
      </w:tr>
      <w:tr w:rsidR="00B068C7" w14:paraId="70BB33CA" w14:textId="77777777">
        <w:trPr>
          <w:trHeight w:val="248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416EC12B" w14:textId="77777777" w:rsidR="00B068C7" w:rsidRDefault="00000000">
            <w:pPr>
              <w:spacing w:after="0" w:line="259" w:lineRule="auto"/>
              <w:ind w:left="231" w:firstLine="0"/>
            </w:pPr>
            <w:r>
              <w:t>Mobil</w:t>
            </w:r>
            <w:r>
              <w:rPr>
                <w:rFonts w:ascii="Verdana" w:eastAsia="Verdana" w:hAnsi="Verdana" w:cs="Verdana"/>
                <w:sz w:val="25"/>
                <w:vertAlign w:val="subscript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t xml:space="preserve">+420777740465 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50F561F1" w14:textId="77777777" w:rsidR="00B068C7" w:rsidRDefault="00000000">
            <w:pPr>
              <w:spacing w:after="0" w:line="259" w:lineRule="auto"/>
              <w:ind w:left="331" w:firstLine="0"/>
            </w:pPr>
            <w:r>
              <w:t xml:space="preserve">Mobil </w:t>
            </w:r>
            <w:r>
              <w:rPr>
                <w:rFonts w:ascii="Verdana" w:eastAsia="Verdana" w:hAnsi="Verdana" w:cs="Verdana"/>
                <w:sz w:val="25"/>
                <w:vertAlign w:val="subscript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+420 731 217 234 </w:t>
            </w:r>
          </w:p>
        </w:tc>
      </w:tr>
    </w:tbl>
    <w:p w14:paraId="58BEB309" w14:textId="77777777" w:rsidR="00B068C7" w:rsidRDefault="00000000">
      <w:pPr>
        <w:numPr>
          <w:ilvl w:val="0"/>
          <w:numId w:val="1"/>
        </w:numPr>
        <w:spacing w:after="41" w:line="259" w:lineRule="auto"/>
        <w:ind w:hanging="362"/>
      </w:pPr>
      <w:r>
        <w:rPr>
          <w:b/>
          <w:sz w:val="24"/>
          <w:u w:val="single" w:color="000000"/>
        </w:rPr>
        <w:t>Předmět plnění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14:paraId="26E7346A" w14:textId="77777777" w:rsidR="00B068C7" w:rsidRDefault="00000000">
      <w:pPr>
        <w:spacing w:after="273"/>
        <w:ind w:right="110"/>
      </w:pPr>
      <w:r>
        <w:t>Dle zakázky č.: NA/2023/136, která</w:t>
      </w:r>
      <w:r>
        <w:rPr>
          <w:rFonts w:ascii="Times New Roman" w:eastAsia="Times New Roman" w:hAnsi="Times New Roman" w:cs="Times New Roman"/>
        </w:rPr>
        <w:t xml:space="preserve"> </w:t>
      </w:r>
      <w:r>
        <w:t>je nedílnou součástí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této smlouvy. </w:t>
      </w:r>
    </w:p>
    <w:p w14:paraId="0ED29FAD" w14:textId="77777777" w:rsidR="00B068C7" w:rsidRDefault="00000000">
      <w:pPr>
        <w:numPr>
          <w:ilvl w:val="0"/>
          <w:numId w:val="1"/>
        </w:numPr>
        <w:spacing w:after="4" w:line="259" w:lineRule="auto"/>
        <w:ind w:hanging="362"/>
      </w:pPr>
      <w:r>
        <w:rPr>
          <w:b/>
          <w:sz w:val="24"/>
          <w:u w:val="single" w:color="000000"/>
        </w:rPr>
        <w:t>Doba plnění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14:paraId="4144692B" w14:textId="77777777" w:rsidR="00B068C7" w:rsidRDefault="00000000">
      <w:pPr>
        <w:spacing w:after="108"/>
        <w:ind w:left="19" w:right="1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5B1BA2" wp14:editId="3C3FF7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400" cy="28468"/>
                <wp:effectExtent l="0" t="0" r="0" b="0"/>
                <wp:wrapTopAndBottom/>
                <wp:docPr id="6933" name="Group 6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8468"/>
                          <a:chOff x="0" y="0"/>
                          <a:chExt cx="25400" cy="28468"/>
                        </a:xfrm>
                      </wpg:grpSpPr>
                      <pic:pic xmlns:pic="http://schemas.openxmlformats.org/drawingml/2006/picture">
                        <pic:nvPicPr>
                          <pic:cNvPr id="7831" name="Picture 78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40808" w14:textId="77777777" w:rsidR="00B068C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48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B7BA7" w14:textId="77777777" w:rsidR="00B068C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14875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44123" w14:textId="77777777" w:rsidR="00B068C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33" style="width:2pt;height:2.24161pt;position:absolute;mso-position-horizontal-relative:page;mso-position-horizontal:absolute;margin-left:0pt;mso-position-vertical-relative:page;margin-top:3.05176e-05pt;" coordsize="254,284">
                <v:shape id="Picture 7831" style="position:absolute;width:243;height:243;left:0;top:0;" filled="f">
                  <v:imagedata r:id="rId6"/>
                </v:shape>
                <v:rect id="Rectangle 8" style="position:absolute;width:45;height:180;left:0;top: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5;height:180;left:30;top: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5;height:180;left:0;top: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Dodavatel je povinen provést dílo ve sjednané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době. </w:t>
      </w:r>
    </w:p>
    <w:p w14:paraId="78836EBC" w14:textId="0B7E9789" w:rsidR="00B068C7" w:rsidRDefault="00000000">
      <w:pPr>
        <w:spacing w:after="71" w:line="259" w:lineRule="auto"/>
        <w:ind w:left="231" w:firstLine="0"/>
      </w:pPr>
      <w:r>
        <w:t>Předpoklád</w:t>
      </w:r>
      <w:r w:rsidR="00E2673B">
        <w:t>a</w:t>
      </w:r>
      <w:r>
        <w:t>ný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začátek prací: </w:t>
      </w:r>
      <w:r>
        <w:rPr>
          <w:b/>
        </w:rPr>
        <w:t>od 29.9.2023, pokud budou prostory pro montážní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>práce řádně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 xml:space="preserve">připraveny. </w:t>
      </w:r>
    </w:p>
    <w:p w14:paraId="653C1383" w14:textId="77777777" w:rsidR="00B068C7" w:rsidRDefault="00000000">
      <w:pPr>
        <w:ind w:left="241" w:right="110"/>
      </w:pPr>
      <w:r>
        <w:t>Předpokládané</w:t>
      </w:r>
      <w:r>
        <w:rPr>
          <w:rFonts w:ascii="Times New Roman" w:eastAsia="Times New Roman" w:hAnsi="Times New Roman" w:cs="Times New Roman"/>
        </w:rPr>
        <w:t xml:space="preserve"> </w:t>
      </w:r>
      <w:r>
        <w:t>ukončení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prací: </w:t>
      </w:r>
      <w:r>
        <w:rPr>
          <w:b/>
        </w:rPr>
        <w:t xml:space="preserve">nejpozději do 29.9.2023 </w:t>
      </w:r>
    </w:p>
    <w:p w14:paraId="4CC5741D" w14:textId="77777777" w:rsidR="00B068C7" w:rsidRDefault="00000000">
      <w:pPr>
        <w:spacing w:after="235"/>
        <w:ind w:left="241" w:right="110"/>
      </w:pPr>
      <w:r>
        <w:t>Konkrétní</w:t>
      </w:r>
      <w:r>
        <w:rPr>
          <w:rFonts w:ascii="Times New Roman" w:eastAsia="Times New Roman" w:hAnsi="Times New Roman" w:cs="Times New Roman"/>
        </w:rPr>
        <w:t xml:space="preserve"> </w:t>
      </w:r>
      <w:r>
        <w:t>doba plnění</w:t>
      </w:r>
      <w:r>
        <w:rPr>
          <w:rFonts w:ascii="Times New Roman" w:eastAsia="Times New Roman" w:hAnsi="Times New Roman" w:cs="Times New Roman"/>
        </w:rPr>
        <w:t xml:space="preserve"> </w:t>
      </w:r>
      <w:r>
        <w:t>bude upřesněna 14 - 30 dnů</w:t>
      </w:r>
      <w:r>
        <w:rPr>
          <w:rFonts w:ascii="Times New Roman" w:eastAsia="Times New Roman" w:hAnsi="Times New Roman" w:cs="Times New Roman"/>
        </w:rPr>
        <w:t xml:space="preserve"> </w:t>
      </w:r>
      <w:r>
        <w:t>před termínem předpokládaného začátku prací</w:t>
      </w:r>
      <w:r>
        <w:rPr>
          <w:rFonts w:ascii="Times New Roman" w:eastAsia="Times New Roman" w:hAnsi="Times New Roman" w:cs="Times New Roman"/>
        </w:rPr>
        <w:t xml:space="preserve"> </w:t>
      </w:r>
      <w:r>
        <w:t>v závislosti na potvrzených subdodávkách dodavatelů</w:t>
      </w:r>
      <w:r>
        <w:rPr>
          <w:rFonts w:ascii="Times New Roman" w:eastAsia="Times New Roman" w:hAnsi="Times New Roman" w:cs="Times New Roman"/>
        </w:rPr>
        <w:t xml:space="preserve"> </w:t>
      </w:r>
      <w:r>
        <w:t>a postupu stavební</w:t>
      </w:r>
      <w:r>
        <w:rPr>
          <w:rFonts w:ascii="Times New Roman" w:eastAsia="Times New Roman" w:hAnsi="Times New Roman" w:cs="Times New Roman"/>
        </w:rPr>
        <w:t xml:space="preserve"> </w:t>
      </w:r>
      <w:r>
        <w:t>připravenosti odběratele tak, aby bylo jisté, že v termínu začátku prací</w:t>
      </w:r>
      <w:r>
        <w:rPr>
          <w:rFonts w:ascii="Times New Roman" w:eastAsia="Times New Roman" w:hAnsi="Times New Roman" w:cs="Times New Roman"/>
        </w:rPr>
        <w:t xml:space="preserve"> </w:t>
      </w:r>
      <w:r>
        <w:t>budou prostory pro montážní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práce připraveny. </w:t>
      </w:r>
    </w:p>
    <w:p w14:paraId="4E04491D" w14:textId="77777777" w:rsidR="00B068C7" w:rsidRDefault="00000000">
      <w:pPr>
        <w:numPr>
          <w:ilvl w:val="0"/>
          <w:numId w:val="1"/>
        </w:numPr>
        <w:spacing w:after="75" w:line="259" w:lineRule="auto"/>
        <w:ind w:hanging="362"/>
      </w:pPr>
      <w:r>
        <w:rPr>
          <w:b/>
          <w:sz w:val="24"/>
          <w:u w:val="single" w:color="000000"/>
        </w:rPr>
        <w:t>Cena plnění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14:paraId="1575A971" w14:textId="77777777" w:rsidR="00B068C7" w:rsidRDefault="00000000">
      <w:pPr>
        <w:spacing w:after="92"/>
        <w:ind w:left="19" w:right="110"/>
      </w:pPr>
      <w:r>
        <w:t>1. Cena nejvýše přípustná</w:t>
      </w:r>
      <w:r>
        <w:rPr>
          <w:rFonts w:ascii="Times New Roman" w:eastAsia="Times New Roman" w:hAnsi="Times New Roman" w:cs="Times New Roman"/>
        </w:rPr>
        <w:t xml:space="preserve"> </w:t>
      </w:r>
      <w:r>
        <w:t>včetně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dopravy a montáže: </w:t>
      </w:r>
    </w:p>
    <w:p w14:paraId="5DF2079A" w14:textId="77777777" w:rsidR="00B068C7" w:rsidRDefault="00000000">
      <w:pPr>
        <w:tabs>
          <w:tab w:val="center" w:pos="2217"/>
          <w:tab w:val="center" w:pos="44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Cena bez DPH : </w:t>
      </w:r>
      <w:r>
        <w:tab/>
        <w:t>439 720,70 Kč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1A7796" w14:textId="77777777" w:rsidR="00B068C7" w:rsidRDefault="00000000">
      <w:pPr>
        <w:tabs>
          <w:tab w:val="center" w:pos="2699"/>
          <w:tab w:val="center" w:pos="448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DPH : </w:t>
      </w:r>
      <w:r>
        <w:tab/>
        <w:t xml:space="preserve">  92 341,35 Kč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6A8AC2" w14:textId="77777777" w:rsidR="00B068C7" w:rsidRDefault="00000000">
      <w:pPr>
        <w:tabs>
          <w:tab w:val="center" w:pos="2331"/>
          <w:tab w:val="center" w:pos="4461"/>
        </w:tabs>
        <w:spacing w:after="8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Cena s DPH : </w:t>
      </w:r>
      <w:r>
        <w:tab/>
        <w:t>532</w:t>
      </w:r>
      <w:r>
        <w:rPr>
          <w:rFonts w:ascii="Calibri" w:eastAsia="Calibri" w:hAnsi="Calibri" w:cs="Calibri"/>
        </w:rPr>
        <w:t xml:space="preserve"> </w:t>
      </w:r>
      <w:r>
        <w:t>062,05 Kč</w:t>
      </w:r>
      <w:r>
        <w:rPr>
          <w:rFonts w:ascii="Times New Roman" w:eastAsia="Times New Roman" w:hAnsi="Times New Roman" w:cs="Times New Roman"/>
        </w:rPr>
        <w:t xml:space="preserve"> </w:t>
      </w:r>
    </w:p>
    <w:p w14:paraId="4D5A2970" w14:textId="77777777" w:rsidR="00B068C7" w:rsidRDefault="00000000">
      <w:pPr>
        <w:spacing w:after="18"/>
        <w:ind w:left="19" w:right="110"/>
      </w:pPr>
      <w:r>
        <w:t>2 . DPH bude přesně</w:t>
      </w:r>
      <w:r>
        <w:rPr>
          <w:rFonts w:ascii="Times New Roman" w:eastAsia="Times New Roman" w:hAnsi="Times New Roman" w:cs="Times New Roman"/>
        </w:rPr>
        <w:t xml:space="preserve"> </w:t>
      </w:r>
      <w:r>
        <w:t>vypočteno dle sazeb DPH, nebo přenesené</w:t>
      </w:r>
      <w:r>
        <w:rPr>
          <w:rFonts w:ascii="Times New Roman" w:eastAsia="Times New Roman" w:hAnsi="Times New Roman" w:cs="Times New Roman"/>
        </w:rPr>
        <w:t xml:space="preserve"> </w:t>
      </w:r>
      <w:r>
        <w:t>daňové</w:t>
      </w:r>
      <w:r>
        <w:rPr>
          <w:rFonts w:ascii="Times New Roman" w:eastAsia="Times New Roman" w:hAnsi="Times New Roman" w:cs="Times New Roman"/>
        </w:rPr>
        <w:t xml:space="preserve"> </w:t>
      </w:r>
      <w:r>
        <w:t>povinnosti na základě</w:t>
      </w:r>
      <w:r>
        <w:rPr>
          <w:rFonts w:ascii="Times New Roman" w:eastAsia="Times New Roman" w:hAnsi="Times New Roman" w:cs="Times New Roman"/>
        </w:rPr>
        <w:t xml:space="preserve"> </w:t>
      </w:r>
      <w:r>
        <w:t>řádně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vystavených daňových dokladů. </w:t>
      </w:r>
    </w:p>
    <w:p w14:paraId="16F49C5C" w14:textId="245D510F" w:rsidR="00B068C7" w:rsidRDefault="00000000">
      <w:pPr>
        <w:numPr>
          <w:ilvl w:val="0"/>
          <w:numId w:val="2"/>
        </w:numPr>
        <w:ind w:right="110"/>
      </w:pPr>
      <w:r>
        <w:t>Podmínky, při jejichž</w:t>
      </w:r>
      <w:r>
        <w:rPr>
          <w:rFonts w:ascii="Times New Roman" w:eastAsia="Times New Roman" w:hAnsi="Times New Roman" w:cs="Times New Roman"/>
        </w:rPr>
        <w:t xml:space="preserve"> </w:t>
      </w:r>
      <w:r>
        <w:t>splnění</w:t>
      </w:r>
      <w:r>
        <w:rPr>
          <w:rFonts w:ascii="Times New Roman" w:eastAsia="Times New Roman" w:hAnsi="Times New Roman" w:cs="Times New Roman"/>
        </w:rPr>
        <w:t xml:space="preserve"> </w:t>
      </w:r>
      <w:r>
        <w:t>je možné</w:t>
      </w:r>
      <w:r>
        <w:rPr>
          <w:rFonts w:ascii="Times New Roman" w:eastAsia="Times New Roman" w:hAnsi="Times New Roman" w:cs="Times New Roman"/>
        </w:rPr>
        <w:t xml:space="preserve"> </w:t>
      </w:r>
      <w:r>
        <w:t>překročit výši nabídkové</w:t>
      </w:r>
      <w:r>
        <w:rPr>
          <w:rFonts w:ascii="Times New Roman" w:eastAsia="Times New Roman" w:hAnsi="Times New Roman" w:cs="Times New Roman"/>
        </w:rPr>
        <w:t xml:space="preserve"> </w:t>
      </w:r>
      <w:r>
        <w:t>ceny nabídkovou cenu je možné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překročit pouze v případě: </w:t>
      </w:r>
    </w:p>
    <w:p w14:paraId="411F33C3" w14:textId="77777777" w:rsidR="00B068C7" w:rsidRDefault="00000000">
      <w:pPr>
        <w:numPr>
          <w:ilvl w:val="1"/>
          <w:numId w:val="2"/>
        </w:numPr>
        <w:ind w:right="110" w:hanging="232"/>
      </w:pPr>
      <w:r>
        <w:t>dojde před nebo v průběhu realizace zakázky ke změnám sazeb DPH, nebo ke změnám jiných daňových předpisů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119E79" w14:textId="77777777" w:rsidR="00B068C7" w:rsidRDefault="00000000">
      <w:pPr>
        <w:numPr>
          <w:ilvl w:val="1"/>
          <w:numId w:val="2"/>
        </w:numPr>
        <w:spacing w:after="72"/>
        <w:ind w:right="110" w:hanging="232"/>
      </w:pPr>
      <w:r>
        <w:t>odběratel bude písemně</w:t>
      </w:r>
      <w:r>
        <w:rPr>
          <w:rFonts w:ascii="Times New Roman" w:eastAsia="Times New Roman" w:hAnsi="Times New Roman" w:cs="Times New Roman"/>
        </w:rPr>
        <w:t xml:space="preserve"> </w:t>
      </w:r>
      <w:r>
        <w:t>požadovat dodání</w:t>
      </w:r>
      <w:r>
        <w:rPr>
          <w:rFonts w:ascii="Times New Roman" w:eastAsia="Times New Roman" w:hAnsi="Times New Roman" w:cs="Times New Roman"/>
        </w:rPr>
        <w:t xml:space="preserve"> </w:t>
      </w:r>
      <w:r>
        <w:t>prvků, které</w:t>
      </w:r>
      <w:r>
        <w:rPr>
          <w:rFonts w:ascii="Times New Roman" w:eastAsia="Times New Roman" w:hAnsi="Times New Roman" w:cs="Times New Roman"/>
        </w:rPr>
        <w:t xml:space="preserve"> </w:t>
      </w:r>
      <w:r>
        <w:t>nebyly součástí</w:t>
      </w:r>
      <w:r>
        <w:rPr>
          <w:rFonts w:ascii="Times New Roman" w:eastAsia="Times New Roman" w:hAnsi="Times New Roman" w:cs="Times New Roman"/>
        </w:rPr>
        <w:t xml:space="preserve"> </w:t>
      </w:r>
      <w:r>
        <w:t>sjednaného předmětu plnění</w:t>
      </w:r>
      <w:r>
        <w:rPr>
          <w:rFonts w:ascii="Times New Roman" w:eastAsia="Times New Roman" w:hAnsi="Times New Roman" w:cs="Times New Roman"/>
        </w:rPr>
        <w:t xml:space="preserve"> </w:t>
      </w:r>
    </w:p>
    <w:p w14:paraId="6FF9719A" w14:textId="77777777" w:rsidR="00B068C7" w:rsidRDefault="00000000">
      <w:pPr>
        <w:numPr>
          <w:ilvl w:val="0"/>
          <w:numId w:val="2"/>
        </w:numPr>
        <w:ind w:right="110"/>
      </w:pPr>
      <w:r>
        <w:t>Dohodnutá</w:t>
      </w:r>
      <w:r>
        <w:rPr>
          <w:rFonts w:ascii="Times New Roman" w:eastAsia="Times New Roman" w:hAnsi="Times New Roman" w:cs="Times New Roman"/>
        </w:rPr>
        <w:t xml:space="preserve"> </w:t>
      </w:r>
      <w:r>
        <w:t>cena plnění</w:t>
      </w:r>
      <w:r>
        <w:rPr>
          <w:rFonts w:ascii="Times New Roman" w:eastAsia="Times New Roman" w:hAnsi="Times New Roman" w:cs="Times New Roman"/>
        </w:rPr>
        <w:t xml:space="preserve"> </w:t>
      </w:r>
      <w:r>
        <w:t>vychází</w:t>
      </w:r>
      <w:r>
        <w:rPr>
          <w:rFonts w:ascii="Times New Roman" w:eastAsia="Times New Roman" w:hAnsi="Times New Roman" w:cs="Times New Roman"/>
        </w:rPr>
        <w:t xml:space="preserve"> </w:t>
      </w:r>
      <w:r>
        <w:t>z předpokladu, že v okamžiku upřesněného termínu zahájení</w:t>
      </w:r>
      <w:r>
        <w:rPr>
          <w:rFonts w:ascii="Times New Roman" w:eastAsia="Times New Roman" w:hAnsi="Times New Roman" w:cs="Times New Roman"/>
        </w:rPr>
        <w:t xml:space="preserve"> </w:t>
      </w:r>
      <w:r>
        <w:t>prací</w:t>
      </w:r>
      <w:r>
        <w:rPr>
          <w:rFonts w:ascii="Times New Roman" w:eastAsia="Times New Roman" w:hAnsi="Times New Roman" w:cs="Times New Roman"/>
        </w:rPr>
        <w:t xml:space="preserve"> </w:t>
      </w:r>
      <w:r>
        <w:t>budou prostory pro montážní</w:t>
      </w:r>
      <w:r>
        <w:rPr>
          <w:rFonts w:ascii="Times New Roman" w:eastAsia="Times New Roman" w:hAnsi="Times New Roman" w:cs="Times New Roman"/>
        </w:rPr>
        <w:t xml:space="preserve"> </w:t>
      </w:r>
      <w:r>
        <w:t>práce připraveny tak, aby bylo možné</w:t>
      </w:r>
      <w:r>
        <w:rPr>
          <w:rFonts w:ascii="Times New Roman" w:eastAsia="Times New Roman" w:hAnsi="Times New Roman" w:cs="Times New Roman"/>
        </w:rPr>
        <w:t xml:space="preserve"> </w:t>
      </w:r>
      <w:r>
        <w:t>celé</w:t>
      </w:r>
      <w:r>
        <w:rPr>
          <w:rFonts w:ascii="Times New Roman" w:eastAsia="Times New Roman" w:hAnsi="Times New Roman" w:cs="Times New Roman"/>
        </w:rPr>
        <w:t xml:space="preserve"> </w:t>
      </w:r>
      <w:r>
        <w:t>dílo dodat a namontovat najednou. Pokud tomu tak nebude, má</w:t>
      </w:r>
      <w:r>
        <w:rPr>
          <w:rFonts w:ascii="Times New Roman" w:eastAsia="Times New Roman" w:hAnsi="Times New Roman" w:cs="Times New Roman"/>
        </w:rPr>
        <w:t xml:space="preserve"> </w:t>
      </w:r>
      <w:r>
        <w:t>dodavatel právo účtovat odběrateli náklady na dopravu při dalších cestách do místa plnění</w:t>
      </w:r>
      <w:r>
        <w:rPr>
          <w:rFonts w:ascii="Times New Roman" w:eastAsia="Times New Roman" w:hAnsi="Times New Roman" w:cs="Times New Roman"/>
        </w:rPr>
        <w:t xml:space="preserve"> </w:t>
      </w:r>
      <w:r>
        <w:t>včetně</w:t>
      </w:r>
      <w:r>
        <w:rPr>
          <w:rFonts w:ascii="Times New Roman" w:eastAsia="Times New Roman" w:hAnsi="Times New Roman" w:cs="Times New Roman"/>
        </w:rPr>
        <w:t xml:space="preserve"> </w:t>
      </w:r>
      <w:r>
        <w:t>náhrady za ztrátu času svých pracovníků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na cestě. </w:t>
      </w:r>
    </w:p>
    <w:p w14:paraId="4F88257E" w14:textId="77777777" w:rsidR="00B068C7" w:rsidRDefault="00000000">
      <w:pPr>
        <w:ind w:left="19" w:right="110"/>
      </w:pPr>
      <w:r>
        <w:t>Dodavatel je oprávněn jednostranně</w:t>
      </w:r>
      <w:r>
        <w:rPr>
          <w:rFonts w:ascii="Times New Roman" w:eastAsia="Times New Roman" w:hAnsi="Times New Roman" w:cs="Times New Roman"/>
        </w:rPr>
        <w:t xml:space="preserve"> </w:t>
      </w:r>
      <w:r>
        <w:t>zvýšit cenu díla o částku, o kterou se mu navýšily nákupní</w:t>
      </w:r>
      <w:r>
        <w:rPr>
          <w:rFonts w:ascii="Times New Roman" w:eastAsia="Times New Roman" w:hAnsi="Times New Roman" w:cs="Times New Roman"/>
        </w:rPr>
        <w:t xml:space="preserve"> </w:t>
      </w:r>
      <w:r>
        <w:t>ceny každého jednotlivého materiálu potřebného pro zhotovení</w:t>
      </w:r>
      <w:r>
        <w:rPr>
          <w:rFonts w:ascii="Times New Roman" w:eastAsia="Times New Roman" w:hAnsi="Times New Roman" w:cs="Times New Roman"/>
        </w:rPr>
        <w:t xml:space="preserve"> </w:t>
      </w:r>
      <w:r>
        <w:t>díla od jeho subdodavatelů. Rozdíl cen se určuje mezi cenou stanovenou subdodavatelem v den uzavření</w:t>
      </w:r>
      <w:r>
        <w:rPr>
          <w:rFonts w:ascii="Times New Roman" w:eastAsia="Times New Roman" w:hAnsi="Times New Roman" w:cs="Times New Roman"/>
        </w:rPr>
        <w:t xml:space="preserve"> </w:t>
      </w:r>
      <w:r>
        <w:t>této smlouvy o dílo a cenou stanovenou v den o jeden měsíc předcházející</w:t>
      </w:r>
      <w:r>
        <w:rPr>
          <w:rFonts w:ascii="Times New Roman" w:eastAsia="Times New Roman" w:hAnsi="Times New Roman" w:cs="Times New Roman"/>
        </w:rPr>
        <w:t xml:space="preserve"> </w:t>
      </w:r>
      <w:r>
        <w:t>termín začátku prací. Odběratel bere na vědomí, že dodavatel materiál objednává</w:t>
      </w:r>
      <w:r>
        <w:rPr>
          <w:rFonts w:ascii="Times New Roman" w:eastAsia="Times New Roman" w:hAnsi="Times New Roman" w:cs="Times New Roman"/>
        </w:rPr>
        <w:t xml:space="preserve"> </w:t>
      </w:r>
      <w:r>
        <w:t>v takové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době, aby </w:t>
      </w:r>
      <w:r>
        <w:lastRenderedPageBreak/>
        <w:t>při obvyklé</w:t>
      </w:r>
      <w:r>
        <w:rPr>
          <w:rFonts w:ascii="Times New Roman" w:eastAsia="Times New Roman" w:hAnsi="Times New Roman" w:cs="Times New Roman"/>
        </w:rPr>
        <w:t xml:space="preserve"> </w:t>
      </w:r>
      <w:r>
        <w:t>dodací</w:t>
      </w:r>
      <w:r>
        <w:rPr>
          <w:rFonts w:ascii="Times New Roman" w:eastAsia="Times New Roman" w:hAnsi="Times New Roman" w:cs="Times New Roman"/>
        </w:rPr>
        <w:t xml:space="preserve"> </w:t>
      </w:r>
      <w:r>
        <w:t>lhůtě</w:t>
      </w:r>
      <w:r>
        <w:rPr>
          <w:rFonts w:ascii="Times New Roman" w:eastAsia="Times New Roman" w:hAnsi="Times New Roman" w:cs="Times New Roman"/>
        </w:rPr>
        <w:t xml:space="preserve"> </w:t>
      </w:r>
      <w:r>
        <w:t>daného dodavatele byl dodavateli doručen v termínu, kdy podle dodavatelem plánovaného harmonogramu prací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bude potřeba. </w:t>
      </w:r>
    </w:p>
    <w:p w14:paraId="3513390D" w14:textId="77777777" w:rsidR="00B068C7" w:rsidRDefault="00000000">
      <w:pPr>
        <w:spacing w:after="4" w:line="259" w:lineRule="auto"/>
        <w:ind w:left="-5"/>
      </w:pPr>
      <w:r>
        <w:rPr>
          <w:b/>
          <w:sz w:val="24"/>
          <w:u w:val="single" w:color="000000"/>
        </w:rPr>
        <w:t>V. Fakturace a placení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14:paraId="3D807F3D" w14:textId="77777777" w:rsidR="00B068C7" w:rsidRDefault="00000000">
      <w:pPr>
        <w:numPr>
          <w:ilvl w:val="0"/>
          <w:numId w:val="3"/>
        </w:numPr>
        <w:spacing w:after="70"/>
        <w:ind w:right="55"/>
      </w:pPr>
      <w:r>
        <w:t>. Fakturace bude prováděna na základě</w:t>
      </w:r>
      <w:r>
        <w:rPr>
          <w:rFonts w:ascii="Times New Roman" w:eastAsia="Times New Roman" w:hAnsi="Times New Roman" w:cs="Times New Roman"/>
        </w:rPr>
        <w:t xml:space="preserve"> </w:t>
      </w:r>
      <w:r>
        <w:t>odsouhlasení</w:t>
      </w:r>
      <w:r>
        <w:rPr>
          <w:rFonts w:ascii="Times New Roman" w:eastAsia="Times New Roman" w:hAnsi="Times New Roman" w:cs="Times New Roman"/>
        </w:rPr>
        <w:t xml:space="preserve"> </w:t>
      </w:r>
      <w:r>
        <w:t>soupisu skutečně</w:t>
      </w:r>
      <w:r>
        <w:rPr>
          <w:rFonts w:ascii="Times New Roman" w:eastAsia="Times New Roman" w:hAnsi="Times New Roman" w:cs="Times New Roman"/>
        </w:rPr>
        <w:t xml:space="preserve"> </w:t>
      </w:r>
      <w:r>
        <w:t>provedených prací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pověřeným pracovníkem odběratele. </w:t>
      </w:r>
    </w:p>
    <w:p w14:paraId="059E26FF" w14:textId="77777777" w:rsidR="00B068C7" w:rsidRDefault="00000000">
      <w:pPr>
        <w:numPr>
          <w:ilvl w:val="0"/>
          <w:numId w:val="3"/>
        </w:numPr>
        <w:spacing w:after="331"/>
        <w:ind w:right="55"/>
      </w:pPr>
      <w:r>
        <w:t>. Konečná</w:t>
      </w:r>
      <w:r>
        <w:rPr>
          <w:rFonts w:ascii="Times New Roman" w:eastAsia="Times New Roman" w:hAnsi="Times New Roman" w:cs="Times New Roman"/>
        </w:rPr>
        <w:t xml:space="preserve"> </w:t>
      </w:r>
      <w:r>
        <w:t>fakturace bude vystavena po ukončení</w:t>
      </w:r>
      <w:r>
        <w:rPr>
          <w:rFonts w:ascii="Times New Roman" w:eastAsia="Times New Roman" w:hAnsi="Times New Roman" w:cs="Times New Roman"/>
        </w:rPr>
        <w:t xml:space="preserve"> </w:t>
      </w:r>
      <w:r>
        <w:t>díla (etap) po protokolárním předání</w:t>
      </w:r>
      <w:r>
        <w:rPr>
          <w:rFonts w:ascii="Times New Roman" w:eastAsia="Times New Roman" w:hAnsi="Times New Roman" w:cs="Times New Roman"/>
        </w:rPr>
        <w:t xml:space="preserve"> </w:t>
      </w:r>
      <w:r>
        <w:t>a převzetí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díla mezi odběratelem a dodavatelem. </w:t>
      </w:r>
    </w:p>
    <w:p w14:paraId="1F4AC454" w14:textId="77777777" w:rsidR="00B068C7" w:rsidRDefault="00000000">
      <w:pPr>
        <w:spacing w:after="148"/>
        <w:ind w:left="19" w:right="110"/>
      </w:pPr>
      <w:r>
        <w:t>3. Bude-li objednatel v prodlení</w:t>
      </w:r>
      <w:r>
        <w:rPr>
          <w:rFonts w:ascii="Times New Roman" w:eastAsia="Times New Roman" w:hAnsi="Times New Roman" w:cs="Times New Roman"/>
        </w:rPr>
        <w:t xml:space="preserve"> </w:t>
      </w:r>
      <w:r>
        <w:t>s převzetím díla nebo s poskytnutím prostor připravených pro montážní</w:t>
      </w:r>
      <w:r>
        <w:rPr>
          <w:rFonts w:ascii="Times New Roman" w:eastAsia="Times New Roman" w:hAnsi="Times New Roman" w:cs="Times New Roman"/>
        </w:rPr>
        <w:t xml:space="preserve"> </w:t>
      </w:r>
      <w:r>
        <w:t>práce delším než</w:t>
      </w:r>
      <w:r>
        <w:rPr>
          <w:rFonts w:ascii="Times New Roman" w:eastAsia="Times New Roman" w:hAnsi="Times New Roman" w:cs="Times New Roman"/>
        </w:rPr>
        <w:t xml:space="preserve"> </w:t>
      </w:r>
      <w:r>
        <w:t>10 dnů, má, dodavatel právo na úhradu 90% ceny díla a to na základě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faktury, kterou dodavatel objednateli vystaví. </w:t>
      </w:r>
    </w:p>
    <w:p w14:paraId="125A8D21" w14:textId="77777777" w:rsidR="00B068C7" w:rsidRDefault="00000000">
      <w:pPr>
        <w:spacing w:after="35" w:line="259" w:lineRule="auto"/>
        <w:ind w:left="-5"/>
      </w:pPr>
      <w:r>
        <w:rPr>
          <w:b/>
          <w:sz w:val="24"/>
          <w:u w:val="single" w:color="000000"/>
        </w:rPr>
        <w:t>VI. Nabytí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vlastnického práva ke zboží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14:paraId="36208ED4" w14:textId="77777777" w:rsidR="00E2673B" w:rsidRDefault="00000000">
      <w:pPr>
        <w:spacing w:after="0" w:line="340" w:lineRule="auto"/>
        <w:ind w:left="19" w:right="1170"/>
      </w:pPr>
      <w:r>
        <w:t>Odběratel nabývá</w:t>
      </w:r>
      <w:r>
        <w:rPr>
          <w:rFonts w:ascii="Times New Roman" w:eastAsia="Times New Roman" w:hAnsi="Times New Roman" w:cs="Times New Roman"/>
        </w:rPr>
        <w:t xml:space="preserve"> </w:t>
      </w:r>
      <w:r>
        <w:t>vlastnického práva ke zboží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úplným zaplacením ceny díla dle čl. IV. této smlouvy. </w:t>
      </w:r>
    </w:p>
    <w:p w14:paraId="36E4F0D3" w14:textId="7874DBC8" w:rsidR="00B068C7" w:rsidRDefault="00000000">
      <w:pPr>
        <w:spacing w:after="0" w:line="340" w:lineRule="auto"/>
        <w:ind w:left="19" w:right="1170"/>
      </w:pPr>
      <w:r>
        <w:rPr>
          <w:b/>
          <w:sz w:val="24"/>
          <w:u w:val="single" w:color="000000"/>
        </w:rPr>
        <w:t>VII. Záruční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podmínky :</w:t>
      </w:r>
      <w:r>
        <w:rPr>
          <w:b/>
          <w:sz w:val="24"/>
        </w:rPr>
        <w:t xml:space="preserve"> </w:t>
      </w:r>
    </w:p>
    <w:p w14:paraId="07F78D39" w14:textId="77777777" w:rsidR="00B068C7" w:rsidRDefault="00000000">
      <w:pPr>
        <w:numPr>
          <w:ilvl w:val="0"/>
          <w:numId w:val="4"/>
        </w:numPr>
        <w:ind w:right="2742" w:hanging="221"/>
      </w:pPr>
      <w:r>
        <w:t>Dodavatel odpovídá</w:t>
      </w:r>
      <w:r>
        <w:rPr>
          <w:rFonts w:ascii="Times New Roman" w:eastAsia="Times New Roman" w:hAnsi="Times New Roman" w:cs="Times New Roman"/>
        </w:rPr>
        <w:t xml:space="preserve"> </w:t>
      </w:r>
      <w:r>
        <w:t>objednateli za provedené</w:t>
      </w:r>
      <w:r>
        <w:rPr>
          <w:rFonts w:ascii="Times New Roman" w:eastAsia="Times New Roman" w:hAnsi="Times New Roman" w:cs="Times New Roman"/>
        </w:rPr>
        <w:t xml:space="preserve"> </w:t>
      </w:r>
      <w:r>
        <w:t>práce a dodané</w:t>
      </w:r>
      <w:r>
        <w:rPr>
          <w:rFonts w:ascii="Times New Roman" w:eastAsia="Times New Roman" w:hAnsi="Times New Roman" w:cs="Times New Roman"/>
        </w:rPr>
        <w:t xml:space="preserve"> </w:t>
      </w:r>
      <w:r>
        <w:t>zboží</w:t>
      </w:r>
      <w:r>
        <w:rPr>
          <w:rFonts w:ascii="Times New Roman" w:eastAsia="Times New Roman" w:hAnsi="Times New Roman" w:cs="Times New Roman"/>
        </w:rPr>
        <w:t xml:space="preserve"> </w:t>
      </w:r>
      <w:r>
        <w:t>v záruční</w:t>
      </w:r>
      <w:r>
        <w:rPr>
          <w:rFonts w:ascii="Times New Roman" w:eastAsia="Times New Roman" w:hAnsi="Times New Roman" w:cs="Times New Roman"/>
        </w:rPr>
        <w:t xml:space="preserve"> </w:t>
      </w:r>
      <w:r>
        <w:t>době, která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je: </w:t>
      </w:r>
    </w:p>
    <w:p w14:paraId="3EF16A85" w14:textId="77777777" w:rsidR="00B068C7" w:rsidRDefault="00000000">
      <w:pPr>
        <w:numPr>
          <w:ilvl w:val="1"/>
          <w:numId w:val="4"/>
        </w:numPr>
        <w:ind w:right="110" w:hanging="232"/>
      </w:pPr>
      <w:r>
        <w:t>na nábytek vyráběný</w:t>
      </w:r>
      <w:r>
        <w:rPr>
          <w:rFonts w:ascii="Times New Roman" w:eastAsia="Times New Roman" w:hAnsi="Times New Roman" w:cs="Times New Roman"/>
        </w:rPr>
        <w:t xml:space="preserve"> </w:t>
      </w:r>
      <w:r>
        <w:t>dodavatelem 24 měsíců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904D9A" w14:textId="77777777" w:rsidR="00B068C7" w:rsidRDefault="00000000">
      <w:pPr>
        <w:numPr>
          <w:ilvl w:val="1"/>
          <w:numId w:val="4"/>
        </w:numPr>
        <w:spacing w:after="14"/>
        <w:ind w:right="110" w:hanging="232"/>
      </w:pPr>
      <w:r>
        <w:t>na ostatní</w:t>
      </w:r>
      <w:r>
        <w:rPr>
          <w:rFonts w:ascii="Times New Roman" w:eastAsia="Times New Roman" w:hAnsi="Times New Roman" w:cs="Times New Roman"/>
        </w:rPr>
        <w:t xml:space="preserve"> </w:t>
      </w:r>
      <w:r>
        <w:t>zboží:24 měsíců</w:t>
      </w:r>
      <w:r>
        <w:rPr>
          <w:rFonts w:ascii="Times New Roman" w:eastAsia="Times New Roman" w:hAnsi="Times New Roman" w:cs="Times New Roman"/>
        </w:rPr>
        <w:t xml:space="preserve"> </w:t>
      </w:r>
    </w:p>
    <w:p w14:paraId="12651C71" w14:textId="77777777" w:rsidR="00E2673B" w:rsidRDefault="00000000">
      <w:pPr>
        <w:numPr>
          <w:ilvl w:val="0"/>
          <w:numId w:val="4"/>
        </w:numPr>
        <w:spacing w:after="0" w:line="322" w:lineRule="auto"/>
        <w:ind w:right="2742" w:hanging="22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119D01" wp14:editId="27C118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400" cy="28468"/>
                <wp:effectExtent l="0" t="0" r="0" b="0"/>
                <wp:wrapTopAndBottom/>
                <wp:docPr id="6792" name="Group 6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8468"/>
                          <a:chOff x="0" y="0"/>
                          <a:chExt cx="25400" cy="28468"/>
                        </a:xfrm>
                      </wpg:grpSpPr>
                      <pic:pic xmlns:pic="http://schemas.openxmlformats.org/drawingml/2006/picture">
                        <pic:nvPicPr>
                          <pic:cNvPr id="7832" name="Picture 78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2" name="Rectangle 842"/>
                        <wps:cNvSpPr/>
                        <wps:spPr>
                          <a:xfrm>
                            <a:off x="0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E4D63" w14:textId="77777777" w:rsidR="00B068C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3048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16DBC" w14:textId="77777777" w:rsidR="00B068C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0" y="14875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27A60" w14:textId="77777777" w:rsidR="00B068C7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92" style="width:2pt;height:2.24161pt;position:absolute;mso-position-horizontal-relative:page;mso-position-horizontal:absolute;margin-left:0pt;mso-position-vertical-relative:page;margin-top:3.05176e-05pt;" coordsize="254,284">
                <v:shape id="Picture 7832" style="position:absolute;width:243;height:243;left:0;top:0;" filled="f">
                  <v:imagedata r:id="rId6"/>
                </v:shape>
                <v:rect id="Rectangle 842" style="position:absolute;width:45;height:180;left:0;top: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3" style="position:absolute;width:45;height:180;left:30;top: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4" style="position:absolute;width:45;height:180;left:0;top: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Záruční</w:t>
      </w:r>
      <w:r>
        <w:rPr>
          <w:rFonts w:ascii="Times New Roman" w:eastAsia="Times New Roman" w:hAnsi="Times New Roman" w:cs="Times New Roman"/>
        </w:rPr>
        <w:t xml:space="preserve"> </w:t>
      </w:r>
      <w:r>
        <w:t>doba začíná</w:t>
      </w:r>
      <w:r>
        <w:rPr>
          <w:rFonts w:ascii="Times New Roman" w:eastAsia="Times New Roman" w:hAnsi="Times New Roman" w:cs="Times New Roman"/>
        </w:rPr>
        <w:t xml:space="preserve"> </w:t>
      </w:r>
      <w:r>
        <w:t>běžet ode dne převzetí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díla. </w:t>
      </w:r>
    </w:p>
    <w:p w14:paraId="10FDEC42" w14:textId="1A142892" w:rsidR="00B068C7" w:rsidRDefault="00000000" w:rsidP="00E2673B">
      <w:pPr>
        <w:spacing w:after="0" w:line="322" w:lineRule="auto"/>
        <w:ind w:left="9" w:right="2742" w:firstLine="0"/>
      </w:pPr>
      <w:r>
        <w:rPr>
          <w:b/>
          <w:sz w:val="24"/>
          <w:u w:val="single" w:color="000000"/>
        </w:rPr>
        <w:t>VIII. Sankce :</w:t>
      </w:r>
      <w:r>
        <w:rPr>
          <w:b/>
          <w:sz w:val="24"/>
        </w:rPr>
        <w:t xml:space="preserve"> </w:t>
      </w:r>
    </w:p>
    <w:p w14:paraId="785D553F" w14:textId="77777777" w:rsidR="00B068C7" w:rsidRDefault="00000000">
      <w:pPr>
        <w:numPr>
          <w:ilvl w:val="0"/>
          <w:numId w:val="5"/>
        </w:numPr>
        <w:ind w:right="110"/>
      </w:pPr>
      <w:r>
        <w:t>. Dodavatel se zavazuje při nedodržení</w:t>
      </w:r>
      <w:r>
        <w:rPr>
          <w:rFonts w:ascii="Times New Roman" w:eastAsia="Times New Roman" w:hAnsi="Times New Roman" w:cs="Times New Roman"/>
        </w:rPr>
        <w:t xml:space="preserve"> </w:t>
      </w:r>
      <w:r>
        <w:t>termínu ukončení</w:t>
      </w:r>
      <w:r>
        <w:rPr>
          <w:rFonts w:ascii="Times New Roman" w:eastAsia="Times New Roman" w:hAnsi="Times New Roman" w:cs="Times New Roman"/>
        </w:rPr>
        <w:t xml:space="preserve"> </w:t>
      </w:r>
      <w:r>
        <w:t>a předání</w:t>
      </w:r>
      <w:r>
        <w:rPr>
          <w:rFonts w:ascii="Times New Roman" w:eastAsia="Times New Roman" w:hAnsi="Times New Roman" w:cs="Times New Roman"/>
        </w:rPr>
        <w:t xml:space="preserve"> </w:t>
      </w:r>
      <w:r>
        <w:t>díla zaplatit smluvní</w:t>
      </w:r>
      <w:r>
        <w:rPr>
          <w:rFonts w:ascii="Times New Roman" w:eastAsia="Times New Roman" w:hAnsi="Times New Roman" w:cs="Times New Roman"/>
        </w:rPr>
        <w:t xml:space="preserve"> </w:t>
      </w:r>
      <w:r>
        <w:t>pokutu ve výši 0,1% z cen nedodaného díla za každý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den prodlení. </w:t>
      </w:r>
    </w:p>
    <w:p w14:paraId="2F9C57B6" w14:textId="77777777" w:rsidR="00B068C7" w:rsidRDefault="00000000">
      <w:pPr>
        <w:numPr>
          <w:ilvl w:val="0"/>
          <w:numId w:val="5"/>
        </w:numPr>
        <w:spacing w:after="117"/>
        <w:ind w:right="110"/>
      </w:pPr>
      <w:r>
        <w:t>. Odběratel se zavazuje zaplatit smluvní</w:t>
      </w:r>
      <w:r>
        <w:rPr>
          <w:rFonts w:ascii="Times New Roman" w:eastAsia="Times New Roman" w:hAnsi="Times New Roman" w:cs="Times New Roman"/>
        </w:rPr>
        <w:t xml:space="preserve"> </w:t>
      </w:r>
      <w:r>
        <w:t>pokutu za pozdní</w:t>
      </w:r>
      <w:r>
        <w:rPr>
          <w:rFonts w:ascii="Times New Roman" w:eastAsia="Times New Roman" w:hAnsi="Times New Roman" w:cs="Times New Roman"/>
        </w:rPr>
        <w:t xml:space="preserve"> </w:t>
      </w:r>
      <w:r>
        <w:t>úhradu faktur je 0,1% z nezaplacené</w:t>
      </w:r>
      <w:r>
        <w:rPr>
          <w:rFonts w:ascii="Times New Roman" w:eastAsia="Times New Roman" w:hAnsi="Times New Roman" w:cs="Times New Roman"/>
        </w:rPr>
        <w:t xml:space="preserve"> </w:t>
      </w:r>
      <w:r>
        <w:t>částky za každý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den prodlení. </w:t>
      </w:r>
    </w:p>
    <w:p w14:paraId="1BDDA47B" w14:textId="77777777" w:rsidR="00B068C7" w:rsidRDefault="00000000">
      <w:pPr>
        <w:numPr>
          <w:ilvl w:val="0"/>
          <w:numId w:val="6"/>
        </w:numPr>
        <w:spacing w:after="119"/>
        <w:ind w:right="110" w:hanging="221"/>
      </w:pPr>
      <w:r>
        <w:t>Dodavatel a odběratel berou na vědomí, že uhrazením smluvních pokut, není</w:t>
      </w:r>
      <w:r>
        <w:rPr>
          <w:rFonts w:ascii="Times New Roman" w:eastAsia="Times New Roman" w:hAnsi="Times New Roman" w:cs="Times New Roman"/>
        </w:rPr>
        <w:t xml:space="preserve"> </w:t>
      </w:r>
      <w:r>
        <w:t>dotčeno právo smluvních stran na náhradu vzniklých škod porušením smluvních ujednání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plynoucích z této smlouvy. </w:t>
      </w:r>
    </w:p>
    <w:p w14:paraId="20FBC17A" w14:textId="77777777" w:rsidR="00B068C7" w:rsidRDefault="00000000">
      <w:pPr>
        <w:numPr>
          <w:ilvl w:val="0"/>
          <w:numId w:val="6"/>
        </w:numPr>
        <w:spacing w:after="205"/>
        <w:ind w:right="110" w:hanging="221"/>
      </w:pPr>
      <w:r>
        <w:t>Dodavatel a odběratel se dohodli o nezapočítávání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penále a smluvních pokut. </w:t>
      </w:r>
    </w:p>
    <w:p w14:paraId="753A2109" w14:textId="77777777" w:rsidR="00B068C7" w:rsidRDefault="00000000">
      <w:pPr>
        <w:spacing w:after="60" w:line="259" w:lineRule="auto"/>
        <w:ind w:left="-5"/>
      </w:pPr>
      <w:r>
        <w:rPr>
          <w:b/>
          <w:sz w:val="24"/>
          <w:u w:val="single" w:color="000000"/>
        </w:rPr>
        <w:t>IX. Závěrečná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ustanovení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14:paraId="52124D8E" w14:textId="77777777" w:rsidR="00B068C7" w:rsidRDefault="00000000">
      <w:pPr>
        <w:spacing w:after="322"/>
        <w:ind w:left="19" w:right="552"/>
      </w:pPr>
      <w:r>
        <w:t>1. Smluvní</w:t>
      </w:r>
      <w:r>
        <w:rPr>
          <w:rFonts w:ascii="Times New Roman" w:eastAsia="Times New Roman" w:hAnsi="Times New Roman" w:cs="Times New Roman"/>
        </w:rPr>
        <w:t xml:space="preserve"> </w:t>
      </w:r>
      <w:r>
        <w:t>strany prohlašují, že se s obsahem smlouvy řádně</w:t>
      </w:r>
      <w:r>
        <w:rPr>
          <w:rFonts w:ascii="Times New Roman" w:eastAsia="Times New Roman" w:hAnsi="Times New Roman" w:cs="Times New Roman"/>
        </w:rPr>
        <w:t xml:space="preserve"> </w:t>
      </w:r>
      <w:r>
        <w:t>seznámily, že byla sepsána dle jejich svobodné a vážné</w:t>
      </w:r>
      <w:r>
        <w:rPr>
          <w:rFonts w:ascii="Times New Roman" w:eastAsia="Times New Roman" w:hAnsi="Times New Roman" w:cs="Times New Roman"/>
        </w:rPr>
        <w:t xml:space="preserve"> </w:t>
      </w:r>
      <w:r>
        <w:t>vůle a nebyla sjednána v tísni a za nápadně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nevýhodných podmínek. </w:t>
      </w:r>
    </w:p>
    <w:p w14:paraId="23362105" w14:textId="77777777" w:rsidR="00B068C7" w:rsidRDefault="00000000">
      <w:pPr>
        <w:spacing w:after="85"/>
        <w:ind w:left="19" w:right="665"/>
      </w:pPr>
      <w:r>
        <w:t>2 . Tato smlouva se řídí</w:t>
      </w:r>
      <w:r>
        <w:rPr>
          <w:rFonts w:ascii="Times New Roman" w:eastAsia="Times New Roman" w:hAnsi="Times New Roman" w:cs="Times New Roman"/>
        </w:rPr>
        <w:t xml:space="preserve"> </w:t>
      </w:r>
      <w:r>
        <w:t>právním řádem České</w:t>
      </w:r>
      <w:r>
        <w:rPr>
          <w:rFonts w:ascii="Times New Roman" w:eastAsia="Times New Roman" w:hAnsi="Times New Roman" w:cs="Times New Roman"/>
        </w:rPr>
        <w:t xml:space="preserve"> </w:t>
      </w:r>
      <w:r>
        <w:t>republiky, a to zejména ustanovením §</w:t>
      </w:r>
      <w:r>
        <w:rPr>
          <w:rFonts w:ascii="Times New Roman" w:eastAsia="Times New Roman" w:hAnsi="Times New Roman" w:cs="Times New Roman"/>
        </w:rPr>
        <w:t xml:space="preserve"> </w:t>
      </w:r>
      <w:r>
        <w:t>2586 a násl. zákona č. 8 9/2012 Sb., občanský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zákoník. </w:t>
      </w:r>
    </w:p>
    <w:p w14:paraId="6E9D8DE3" w14:textId="5DED99F9" w:rsidR="00B068C7" w:rsidRDefault="00000000">
      <w:pPr>
        <w:spacing w:after="531"/>
        <w:ind w:left="19" w:right="1776"/>
      </w:pPr>
      <w:r>
        <w:t>3. Tato smlouva je sepsána ve 2 vyhotoveních, z nichž</w:t>
      </w:r>
      <w:r>
        <w:rPr>
          <w:rFonts w:ascii="Times New Roman" w:eastAsia="Times New Roman" w:hAnsi="Times New Roman" w:cs="Times New Roman"/>
        </w:rPr>
        <w:t xml:space="preserve"> </w:t>
      </w:r>
      <w:r>
        <w:t>každá</w:t>
      </w:r>
      <w:r>
        <w:rPr>
          <w:rFonts w:ascii="Times New Roman" w:eastAsia="Times New Roman" w:hAnsi="Times New Roman" w:cs="Times New Roman"/>
        </w:rPr>
        <w:t xml:space="preserve"> </w:t>
      </w:r>
      <w:r>
        <w:t>strana obdrží</w:t>
      </w:r>
      <w:r>
        <w:rPr>
          <w:rFonts w:ascii="Times New Roman" w:eastAsia="Times New Roman" w:hAnsi="Times New Roman" w:cs="Times New Roman"/>
        </w:rPr>
        <w:t xml:space="preserve"> </w:t>
      </w:r>
      <w:r>
        <w:t>po 1 vyhotovení, nab</w:t>
      </w:r>
      <w:r>
        <w:rPr>
          <w:rFonts w:ascii="Calibri" w:eastAsia="Calibri" w:hAnsi="Calibri" w:cs="Calibri"/>
        </w:rPr>
        <w:t>ý</w:t>
      </w:r>
      <w:r>
        <w:t>v</w:t>
      </w:r>
      <w:r>
        <w:rPr>
          <w:rFonts w:ascii="Calibri" w:eastAsia="Calibri" w:hAnsi="Calibri" w:cs="Calibri"/>
        </w:rPr>
        <w:t>á</w:t>
      </w:r>
      <w:r>
        <w:t xml:space="preserve"> platnosti dnem podpisu obou smluvn</w:t>
      </w:r>
      <w:r>
        <w:rPr>
          <w:rFonts w:ascii="Calibri" w:eastAsia="Calibri" w:hAnsi="Calibri" w:cs="Calibri"/>
        </w:rPr>
        <w:t>í</w:t>
      </w:r>
      <w:r>
        <w:t xml:space="preserve">ch stran a </w:t>
      </w:r>
      <w:r>
        <w:rPr>
          <w:rFonts w:ascii="Calibri" w:eastAsia="Calibri" w:hAnsi="Calibri" w:cs="Calibri"/>
        </w:rPr>
        <w:t>úč</w:t>
      </w:r>
      <w:r>
        <w:t>innosti dnem uve</w:t>
      </w:r>
      <w:r>
        <w:rPr>
          <w:rFonts w:ascii="Calibri" w:eastAsia="Calibri" w:hAnsi="Calibri" w:cs="Calibri"/>
        </w:rPr>
        <w:t>ř</w:t>
      </w:r>
      <w:r>
        <w:t>ejn</w:t>
      </w:r>
      <w:r>
        <w:rPr>
          <w:rFonts w:ascii="Calibri" w:eastAsia="Calibri" w:hAnsi="Calibri" w:cs="Calibri"/>
        </w:rPr>
        <w:t>ě</w:t>
      </w:r>
      <w:r>
        <w:t>n</w:t>
      </w:r>
      <w:r>
        <w:rPr>
          <w:rFonts w:ascii="Calibri" w:eastAsia="Calibri" w:hAnsi="Calibri" w:cs="Calibri"/>
        </w:rPr>
        <w:t>í</w:t>
      </w:r>
      <w:r>
        <w:t xml:space="preserve"> v registru smluv ve smyslu z</w:t>
      </w:r>
      <w:r>
        <w:rPr>
          <w:rFonts w:ascii="Calibri" w:eastAsia="Calibri" w:hAnsi="Calibri" w:cs="Calibri"/>
        </w:rPr>
        <w:t>á</w:t>
      </w:r>
      <w:r>
        <w:t xml:space="preserve">kona </w:t>
      </w:r>
      <w:r>
        <w:rPr>
          <w:rFonts w:ascii="Calibri" w:eastAsia="Calibri" w:hAnsi="Calibri" w:cs="Calibri"/>
        </w:rPr>
        <w:t>č</w:t>
      </w:r>
      <w:r>
        <w:t>. 340/2015 Sb., o zvl</w:t>
      </w:r>
      <w:r>
        <w:rPr>
          <w:rFonts w:ascii="Calibri" w:eastAsia="Calibri" w:hAnsi="Calibri" w:cs="Calibri"/>
        </w:rPr>
        <w:t>áš</w:t>
      </w:r>
      <w:r>
        <w:t>tn</w:t>
      </w:r>
      <w:r>
        <w:rPr>
          <w:rFonts w:ascii="Calibri" w:eastAsia="Calibri" w:hAnsi="Calibri" w:cs="Calibri"/>
        </w:rPr>
        <w:t>í</w:t>
      </w:r>
      <w:r>
        <w:t>ch podm</w:t>
      </w:r>
      <w:r>
        <w:rPr>
          <w:rFonts w:ascii="Calibri" w:eastAsia="Calibri" w:hAnsi="Calibri" w:cs="Calibri"/>
        </w:rPr>
        <w:t>í</w:t>
      </w:r>
      <w:r>
        <w:t>nk</w:t>
      </w:r>
      <w:r>
        <w:rPr>
          <w:rFonts w:ascii="Calibri" w:eastAsia="Calibri" w:hAnsi="Calibri" w:cs="Calibri"/>
        </w:rPr>
        <w:t>á</w:t>
      </w:r>
      <w:r>
        <w:t xml:space="preserve">ch </w:t>
      </w:r>
      <w:r>
        <w:rPr>
          <w:rFonts w:ascii="Calibri" w:eastAsia="Calibri" w:hAnsi="Calibri" w:cs="Calibri"/>
        </w:rPr>
        <w:t>úč</w:t>
      </w:r>
      <w:r>
        <w:t>innosti n</w:t>
      </w:r>
      <w:r>
        <w:rPr>
          <w:rFonts w:ascii="Calibri" w:eastAsia="Calibri" w:hAnsi="Calibri" w:cs="Calibri"/>
        </w:rPr>
        <w:t>ě</w:t>
      </w:r>
      <w:r>
        <w:t>kter</w:t>
      </w:r>
      <w:r>
        <w:rPr>
          <w:rFonts w:ascii="Calibri" w:eastAsia="Calibri" w:hAnsi="Calibri" w:cs="Calibri"/>
        </w:rPr>
        <w:t>ý</w:t>
      </w:r>
      <w:r>
        <w:t>ch smluv, uve</w:t>
      </w:r>
      <w:r>
        <w:rPr>
          <w:rFonts w:ascii="Calibri" w:eastAsia="Calibri" w:hAnsi="Calibri" w:cs="Calibri"/>
        </w:rPr>
        <w:t>ř</w:t>
      </w:r>
      <w:r>
        <w:t>ej</w:t>
      </w:r>
      <w:r>
        <w:rPr>
          <w:rFonts w:ascii="Calibri" w:eastAsia="Calibri" w:hAnsi="Calibri" w:cs="Calibri"/>
        </w:rPr>
        <w:t>ň</w:t>
      </w:r>
      <w:r>
        <w:t>ov</w:t>
      </w:r>
      <w:r>
        <w:rPr>
          <w:rFonts w:ascii="Calibri" w:eastAsia="Calibri" w:hAnsi="Calibri" w:cs="Calibri"/>
        </w:rPr>
        <w:t>á</w:t>
      </w:r>
      <w:r>
        <w:t>n</w:t>
      </w:r>
      <w:r>
        <w:rPr>
          <w:rFonts w:ascii="Calibri" w:eastAsia="Calibri" w:hAnsi="Calibri" w:cs="Calibri"/>
        </w:rPr>
        <w:t>í</w:t>
      </w:r>
      <w:r>
        <w:t xml:space="preserve"> t</w:t>
      </w:r>
      <w:r>
        <w:rPr>
          <w:rFonts w:ascii="Calibri" w:eastAsia="Calibri" w:hAnsi="Calibri" w:cs="Calibri"/>
        </w:rPr>
        <w:t>ě</w:t>
      </w:r>
      <w:r>
        <w:t>chto smluv a o registru smluv (z</w:t>
      </w:r>
      <w:r>
        <w:rPr>
          <w:rFonts w:ascii="Calibri" w:eastAsia="Calibri" w:hAnsi="Calibri" w:cs="Calibri"/>
        </w:rPr>
        <w:t>á</w:t>
      </w:r>
      <w:r>
        <w:t>kon o registru smluv), ve zn</w:t>
      </w:r>
      <w:r>
        <w:rPr>
          <w:rFonts w:ascii="Calibri" w:eastAsia="Calibri" w:hAnsi="Calibri" w:cs="Calibri"/>
        </w:rPr>
        <w:t>ě</w:t>
      </w:r>
      <w:r>
        <w:t>n</w:t>
      </w:r>
      <w:r>
        <w:rPr>
          <w:rFonts w:ascii="Calibri" w:eastAsia="Calibri" w:hAnsi="Calibri" w:cs="Calibri"/>
        </w:rPr>
        <w:t>í</w:t>
      </w:r>
      <w:r>
        <w:t xml:space="preserve"> pozd</w:t>
      </w:r>
      <w:r>
        <w:rPr>
          <w:rFonts w:ascii="Calibri" w:eastAsia="Calibri" w:hAnsi="Calibri" w:cs="Calibri"/>
        </w:rPr>
        <w:t>ě</w:t>
      </w:r>
      <w:r>
        <w:t>j</w:t>
      </w:r>
      <w:r>
        <w:rPr>
          <w:rFonts w:ascii="Calibri" w:eastAsia="Calibri" w:hAnsi="Calibri" w:cs="Calibri"/>
        </w:rPr>
        <w:t>ší</w:t>
      </w:r>
      <w:r>
        <w:t>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 </w:t>
      </w:r>
    </w:p>
    <w:tbl>
      <w:tblPr>
        <w:tblStyle w:val="TableGrid"/>
        <w:tblW w:w="88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3390"/>
      </w:tblGrid>
      <w:tr w:rsidR="00B068C7" w14:paraId="278EA508" w14:textId="77777777">
        <w:trPr>
          <w:trHeight w:val="486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14:paraId="2D592BD6" w14:textId="77777777" w:rsidR="00B068C7" w:rsidRDefault="00000000">
            <w:pPr>
              <w:spacing w:after="0" w:line="259" w:lineRule="auto"/>
              <w:ind w:left="795" w:firstLine="0"/>
            </w:pPr>
            <w:r>
              <w:t xml:space="preserve">V Humpolci dne: 10.7.2023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50F379A6" w14:textId="433A084D" w:rsidR="00B068C7" w:rsidRDefault="00000000">
            <w:pPr>
              <w:spacing w:after="0" w:line="259" w:lineRule="auto"/>
              <w:ind w:left="511" w:firstLine="0"/>
            </w:pPr>
            <w:r>
              <w:t>Jihlavě dne: 1</w:t>
            </w:r>
            <w:r w:rsidR="00E2673B">
              <w:t>2</w:t>
            </w:r>
            <w:r>
              <w:t xml:space="preserve">.7. 2023 </w:t>
            </w:r>
          </w:p>
        </w:tc>
      </w:tr>
      <w:tr w:rsidR="00B068C7" w14:paraId="6F0C43F2" w14:textId="77777777">
        <w:trPr>
          <w:trHeight w:val="45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DE193" w14:textId="77777777" w:rsidR="00B068C7" w:rsidRDefault="00000000">
            <w:pPr>
              <w:spacing w:after="0" w:line="259" w:lineRule="auto"/>
              <w:ind w:left="0" w:firstLine="0"/>
            </w:pPr>
            <w:r>
              <w:t xml:space="preserve">.....................................................................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8AAF" w14:textId="77777777" w:rsidR="00B068C7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............................................................ </w:t>
            </w:r>
          </w:p>
        </w:tc>
      </w:tr>
      <w:tr w:rsidR="00B068C7" w14:paraId="77A127C4" w14:textId="77777777">
        <w:trPr>
          <w:trHeight w:val="247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14:paraId="44979C2A" w14:textId="77777777" w:rsidR="00B068C7" w:rsidRDefault="00000000">
            <w:pPr>
              <w:spacing w:after="0" w:line="259" w:lineRule="auto"/>
              <w:ind w:left="1575" w:firstLine="0"/>
            </w:pPr>
            <w:r>
              <w:t xml:space="preserve">dodavatel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074EDDD7" w14:textId="77777777" w:rsidR="00B068C7" w:rsidRDefault="00000000">
            <w:pPr>
              <w:spacing w:after="0" w:line="259" w:lineRule="auto"/>
              <w:ind w:left="176" w:firstLine="0"/>
              <w:jc w:val="center"/>
            </w:pPr>
            <w:r>
              <w:t xml:space="preserve">odběratel </w:t>
            </w:r>
          </w:p>
        </w:tc>
      </w:tr>
    </w:tbl>
    <w:p w14:paraId="7C7F7FEA" w14:textId="77777777" w:rsidR="0041224F" w:rsidRDefault="0041224F"/>
    <w:sectPr w:rsidR="0041224F">
      <w:pgSz w:w="12000" w:h="16819"/>
      <w:pgMar w:top="23" w:right="681" w:bottom="1747" w:left="8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D11"/>
    <w:multiLevelType w:val="hybridMultilevel"/>
    <w:tmpl w:val="C6505DCC"/>
    <w:lvl w:ilvl="0" w:tplc="E95AC586">
      <w:start w:val="2"/>
      <w:numFmt w:val="upperRoman"/>
      <w:lvlText w:val="%1."/>
      <w:lvlJc w:val="left"/>
      <w:pPr>
        <w:ind w:left="3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29A79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FA7E40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6BE06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8FBA46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5122F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3722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691CC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C788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228A8"/>
    <w:multiLevelType w:val="hybridMultilevel"/>
    <w:tmpl w:val="FF54F5CE"/>
    <w:lvl w:ilvl="0" w:tplc="88A48EA6">
      <w:start w:val="3"/>
      <w:numFmt w:val="decimal"/>
      <w:lvlText w:val="%1."/>
      <w:lvlJc w:val="left"/>
      <w:pPr>
        <w:ind w:left="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CD900">
      <w:start w:val="1"/>
      <w:numFmt w:val="lowerLetter"/>
      <w:lvlText w:val="%2)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415F2">
      <w:start w:val="1"/>
      <w:numFmt w:val="lowerRoman"/>
      <w:lvlText w:val="%3"/>
      <w:lvlJc w:val="left"/>
      <w:pPr>
        <w:ind w:left="1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2B004">
      <w:start w:val="1"/>
      <w:numFmt w:val="decimal"/>
      <w:lvlText w:val="%4"/>
      <w:lvlJc w:val="left"/>
      <w:pPr>
        <w:ind w:left="2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89D42">
      <w:start w:val="1"/>
      <w:numFmt w:val="lowerLetter"/>
      <w:lvlText w:val="%5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C15D6">
      <w:start w:val="1"/>
      <w:numFmt w:val="lowerRoman"/>
      <w:lvlText w:val="%6"/>
      <w:lvlJc w:val="left"/>
      <w:pPr>
        <w:ind w:left="3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E08A54">
      <w:start w:val="1"/>
      <w:numFmt w:val="decimal"/>
      <w:lvlText w:val="%7"/>
      <w:lvlJc w:val="left"/>
      <w:pPr>
        <w:ind w:left="4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D4842E">
      <w:start w:val="1"/>
      <w:numFmt w:val="lowerLetter"/>
      <w:lvlText w:val="%8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A3336">
      <w:start w:val="1"/>
      <w:numFmt w:val="lowerRoman"/>
      <w:lvlText w:val="%9"/>
      <w:lvlJc w:val="left"/>
      <w:pPr>
        <w:ind w:left="5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A19D9"/>
    <w:multiLevelType w:val="hybridMultilevel"/>
    <w:tmpl w:val="9F6A4498"/>
    <w:lvl w:ilvl="0" w:tplc="D5166062">
      <w:start w:val="1"/>
      <w:numFmt w:val="decimal"/>
      <w:lvlText w:val="%1"/>
      <w:lvlJc w:val="left"/>
      <w:pPr>
        <w:ind w:left="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E05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0E90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E88F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566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4E4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E46F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AEC0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A87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036393"/>
    <w:multiLevelType w:val="hybridMultilevel"/>
    <w:tmpl w:val="8BAE0C4E"/>
    <w:lvl w:ilvl="0" w:tplc="79F08442">
      <w:start w:val="3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76DF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22B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8E54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F62A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858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A675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0A25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C07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5604D3"/>
    <w:multiLevelType w:val="hybridMultilevel"/>
    <w:tmpl w:val="8AAC80AE"/>
    <w:lvl w:ilvl="0" w:tplc="3386F83C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88CE8">
      <w:start w:val="1"/>
      <w:numFmt w:val="lowerLetter"/>
      <w:lvlText w:val="%2)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8D4EA">
      <w:start w:val="1"/>
      <w:numFmt w:val="lowerRoman"/>
      <w:lvlText w:val="%3"/>
      <w:lvlJc w:val="left"/>
      <w:pPr>
        <w:ind w:left="1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E3C78">
      <w:start w:val="1"/>
      <w:numFmt w:val="decimal"/>
      <w:lvlText w:val="%4"/>
      <w:lvlJc w:val="left"/>
      <w:pPr>
        <w:ind w:left="2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E8AE5A">
      <w:start w:val="1"/>
      <w:numFmt w:val="lowerLetter"/>
      <w:lvlText w:val="%5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8C29C">
      <w:start w:val="1"/>
      <w:numFmt w:val="lowerRoman"/>
      <w:lvlText w:val="%6"/>
      <w:lvlJc w:val="left"/>
      <w:pPr>
        <w:ind w:left="3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2EA594">
      <w:start w:val="1"/>
      <w:numFmt w:val="decimal"/>
      <w:lvlText w:val="%7"/>
      <w:lvlJc w:val="left"/>
      <w:pPr>
        <w:ind w:left="4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29DC8">
      <w:start w:val="1"/>
      <w:numFmt w:val="lowerLetter"/>
      <w:lvlText w:val="%8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6DB02">
      <w:start w:val="1"/>
      <w:numFmt w:val="lowerRoman"/>
      <w:lvlText w:val="%9"/>
      <w:lvlJc w:val="left"/>
      <w:pPr>
        <w:ind w:left="5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642963"/>
    <w:multiLevelType w:val="hybridMultilevel"/>
    <w:tmpl w:val="F61E6292"/>
    <w:lvl w:ilvl="0" w:tplc="FABA39C4">
      <w:start w:val="1"/>
      <w:numFmt w:val="decimal"/>
      <w:lvlText w:val="%1"/>
      <w:lvlJc w:val="left"/>
      <w:pPr>
        <w:ind w:left="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EEF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6E1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8B0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9C4D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41B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6F3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E87D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04C3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6340288">
    <w:abstractNumId w:val="0"/>
  </w:num>
  <w:num w:numId="2" w16cid:durableId="1685399213">
    <w:abstractNumId w:val="1"/>
  </w:num>
  <w:num w:numId="3" w16cid:durableId="1525483680">
    <w:abstractNumId w:val="2"/>
  </w:num>
  <w:num w:numId="4" w16cid:durableId="85424823">
    <w:abstractNumId w:val="4"/>
  </w:num>
  <w:num w:numId="5" w16cid:durableId="2133786632">
    <w:abstractNumId w:val="5"/>
  </w:num>
  <w:num w:numId="6" w16cid:durableId="63117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C7"/>
    <w:rsid w:val="0041224F"/>
    <w:rsid w:val="005325AB"/>
    <w:rsid w:val="00B068C7"/>
    <w:rsid w:val="00E2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87C6"/>
  <w15:docId w15:val="{1B60FBA2-E71A-41BF-B64B-6FFD28D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4" w:line="258" w:lineRule="auto"/>
      <w:ind w:left="1779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cp:lastModifiedBy>Daniela Sobotková</cp:lastModifiedBy>
  <cp:revision>3</cp:revision>
  <dcterms:created xsi:type="dcterms:W3CDTF">2023-07-12T05:35:00Z</dcterms:created>
  <dcterms:modified xsi:type="dcterms:W3CDTF">2023-07-12T05:36:00Z</dcterms:modified>
</cp:coreProperties>
</file>