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79F39" w14:textId="77777777" w:rsidR="002C3605" w:rsidRPr="00B452E3" w:rsidRDefault="007B7571" w:rsidP="00AB363C">
      <w:pPr>
        <w:jc w:val="center"/>
        <w:rPr>
          <w:rFonts w:cs="Arial"/>
          <w:b/>
          <w:sz w:val="24"/>
        </w:rPr>
      </w:pPr>
      <w:bookmarkStart w:id="0" w:name="_GoBack"/>
      <w:bookmarkEnd w:id="0"/>
      <w:r w:rsidRPr="00B452E3">
        <w:rPr>
          <w:rFonts w:cs="Arial"/>
          <w:b/>
          <w:sz w:val="24"/>
        </w:rPr>
        <w:t>SMLOUVA</w:t>
      </w:r>
      <w:r w:rsidR="00653726" w:rsidRPr="00B452E3">
        <w:rPr>
          <w:rFonts w:cs="Arial"/>
          <w:b/>
          <w:sz w:val="24"/>
        </w:rPr>
        <w:t xml:space="preserve"> O POSKYTOVÁNÍ</w:t>
      </w:r>
    </w:p>
    <w:p w14:paraId="7063EEF9" w14:textId="77777777" w:rsidR="00F234C4" w:rsidRPr="00B452E3" w:rsidRDefault="002C3605" w:rsidP="00AB363C">
      <w:pPr>
        <w:jc w:val="center"/>
        <w:rPr>
          <w:rFonts w:cs="Arial"/>
          <w:b/>
          <w:sz w:val="24"/>
        </w:rPr>
      </w:pPr>
      <w:r w:rsidRPr="00B452E3">
        <w:rPr>
          <w:rFonts w:cs="Arial"/>
          <w:b/>
          <w:sz w:val="24"/>
        </w:rPr>
        <w:t>OBCHODNÍ</w:t>
      </w:r>
      <w:r w:rsidR="00653726" w:rsidRPr="00B452E3">
        <w:rPr>
          <w:rFonts w:cs="Arial"/>
          <w:b/>
          <w:sz w:val="24"/>
        </w:rPr>
        <w:t>HO</w:t>
      </w:r>
      <w:r w:rsidRPr="00B452E3">
        <w:rPr>
          <w:rFonts w:cs="Arial"/>
          <w:b/>
          <w:sz w:val="24"/>
        </w:rPr>
        <w:t xml:space="preserve"> ZVÝHODNĚNÍ</w:t>
      </w:r>
    </w:p>
    <w:p w14:paraId="44D3B92C" w14:textId="77777777" w:rsidR="00F234C4" w:rsidRPr="00B452E3" w:rsidRDefault="00F234C4" w:rsidP="00F234C4">
      <w:pPr>
        <w:pStyle w:val="Podnadpis"/>
        <w:spacing w:line="240" w:lineRule="auto"/>
        <w:rPr>
          <w:rFonts w:cs="Arial"/>
          <w:sz w:val="20"/>
        </w:rPr>
      </w:pPr>
    </w:p>
    <w:p w14:paraId="0973AA6C" w14:textId="77777777" w:rsidR="00653726" w:rsidRPr="00B452E3" w:rsidRDefault="00653726" w:rsidP="00653726">
      <w:pPr>
        <w:pStyle w:val="Nzev"/>
        <w:widowControl/>
        <w:rPr>
          <w:rFonts w:ascii="Arial" w:hAnsi="Arial" w:cs="Arial"/>
          <w:b w:val="0"/>
          <w:sz w:val="20"/>
        </w:rPr>
      </w:pPr>
      <w:bookmarkStart w:id="1" w:name="OLE_LINK1"/>
      <w:bookmarkStart w:id="2" w:name="OLE_LINK2"/>
      <w:r w:rsidRPr="00B452E3">
        <w:rPr>
          <w:rFonts w:ascii="Arial" w:hAnsi="Arial" w:cs="Arial"/>
          <w:b w:val="0"/>
          <w:sz w:val="20"/>
        </w:rPr>
        <w:t xml:space="preserve">uzavřená </w:t>
      </w:r>
    </w:p>
    <w:p w14:paraId="355DB81E" w14:textId="77777777" w:rsidR="0039029E" w:rsidRPr="009907FF" w:rsidRDefault="00653726" w:rsidP="009907FF">
      <w:pPr>
        <w:pStyle w:val="Nzev"/>
        <w:widowControl/>
        <w:rPr>
          <w:rFonts w:ascii="Arial" w:hAnsi="Arial" w:cs="Arial"/>
          <w:b w:val="0"/>
          <w:sz w:val="20"/>
        </w:rPr>
      </w:pPr>
      <w:r w:rsidRPr="00B452E3">
        <w:rPr>
          <w:rFonts w:ascii="Arial" w:hAnsi="Arial" w:cs="Arial"/>
          <w:b w:val="0"/>
          <w:sz w:val="20"/>
        </w:rPr>
        <w:t>dle ustanovení § 1746 odst. 2 zákona č. 89/2012 Sb., občanský zákoník, v platném znění</w:t>
      </w:r>
    </w:p>
    <w:p w14:paraId="676D2A4B" w14:textId="77777777" w:rsidR="00F234C4" w:rsidRPr="00B452E3" w:rsidRDefault="00F234C4" w:rsidP="007D37B4">
      <w:pPr>
        <w:spacing w:before="240"/>
        <w:jc w:val="center"/>
        <w:rPr>
          <w:rFonts w:cs="Arial"/>
          <w:b/>
          <w:sz w:val="20"/>
        </w:rPr>
      </w:pPr>
      <w:r w:rsidRPr="00B452E3">
        <w:rPr>
          <w:rFonts w:cs="Arial"/>
          <w:b/>
          <w:sz w:val="20"/>
        </w:rPr>
        <w:t>I.</w:t>
      </w:r>
    </w:p>
    <w:p w14:paraId="61FC5F74" w14:textId="77777777" w:rsidR="00F234C4" w:rsidRPr="009907FF" w:rsidRDefault="00F234C4" w:rsidP="009907FF">
      <w:pPr>
        <w:jc w:val="center"/>
        <w:rPr>
          <w:rFonts w:cs="Arial"/>
          <w:b/>
          <w:sz w:val="20"/>
        </w:rPr>
      </w:pPr>
      <w:r w:rsidRPr="00B452E3">
        <w:rPr>
          <w:rFonts w:cs="Arial"/>
          <w:b/>
          <w:sz w:val="20"/>
        </w:rPr>
        <w:t>Účastníci</w:t>
      </w:r>
    </w:p>
    <w:p w14:paraId="29E6C7AC" w14:textId="77777777" w:rsidR="00F234C4" w:rsidRPr="00B452E3" w:rsidRDefault="00F234C4" w:rsidP="00F234C4">
      <w:pPr>
        <w:ind w:left="1418" w:hanging="1418"/>
        <w:rPr>
          <w:rFonts w:cs="Arial"/>
          <w:b/>
          <w:sz w:val="20"/>
        </w:rPr>
      </w:pPr>
      <w:r w:rsidRPr="00B452E3">
        <w:rPr>
          <w:rFonts w:cs="Arial"/>
          <w:sz w:val="20"/>
        </w:rPr>
        <w:t>1.</w:t>
      </w:r>
      <w:r w:rsidR="007265A4" w:rsidRPr="00782E8B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>Odběratel:</w:t>
      </w:r>
      <w:r w:rsidR="00CB3894">
        <w:rPr>
          <w:rFonts w:cs="Arial"/>
          <w:sz w:val="20"/>
        </w:rPr>
        <w:t xml:space="preserve">  </w:t>
      </w:r>
      <w:r w:rsidRPr="00B452E3">
        <w:rPr>
          <w:rFonts w:cs="Arial"/>
          <w:sz w:val="20"/>
        </w:rPr>
        <w:t xml:space="preserve"> </w:t>
      </w:r>
      <w:r w:rsidR="00AF401D" w:rsidRPr="00B452E3">
        <w:rPr>
          <w:rFonts w:cs="Arial"/>
          <w:sz w:val="20"/>
        </w:rPr>
        <w:tab/>
      </w:r>
      <w:r w:rsidR="00E91573">
        <w:rPr>
          <w:rFonts w:cs="Arial"/>
          <w:sz w:val="20"/>
        </w:rPr>
        <w:tab/>
      </w:r>
      <w:r w:rsidR="00D41A21" w:rsidRPr="00B452E3">
        <w:rPr>
          <w:rFonts w:cs="Arial"/>
          <w:b/>
          <w:sz w:val="20"/>
        </w:rPr>
        <w:t>Fakultní nemocnice u sv. Anny v Brně</w:t>
      </w:r>
    </w:p>
    <w:p w14:paraId="1586E5DB" w14:textId="77777777" w:rsidR="00F234C4" w:rsidRPr="00B452E3" w:rsidRDefault="00AF401D" w:rsidP="00AF401D">
      <w:pPr>
        <w:ind w:left="2124"/>
        <w:rPr>
          <w:rFonts w:cs="Arial"/>
          <w:sz w:val="20"/>
        </w:rPr>
      </w:pPr>
      <w:r w:rsidRPr="00B452E3">
        <w:rPr>
          <w:rFonts w:cs="Arial"/>
          <w:i/>
          <w:sz w:val="20"/>
        </w:rPr>
        <w:t>státní příspěvková organizace zřízená rozhodnutím Ministerstva zdravotnictví bez zákonné povinnosti zápisu do Obchodního rejstříku</w:t>
      </w:r>
    </w:p>
    <w:p w14:paraId="732CCA43" w14:textId="09B6A756" w:rsidR="00AF401D" w:rsidRPr="00B452E3" w:rsidRDefault="00AF401D" w:rsidP="007D37B4">
      <w:pPr>
        <w:pStyle w:val="Zpat"/>
        <w:tabs>
          <w:tab w:val="clear" w:pos="4536"/>
          <w:tab w:val="clear" w:pos="9072"/>
        </w:tabs>
        <w:spacing w:before="120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sídlo: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  <w:t xml:space="preserve">Pekařská 664/53, </w:t>
      </w:r>
      <w:r w:rsidR="004A17F1">
        <w:rPr>
          <w:rFonts w:cs="Arial"/>
          <w:sz w:val="20"/>
        </w:rPr>
        <w:t>602 00</w:t>
      </w:r>
      <w:r w:rsidRPr="00B452E3">
        <w:rPr>
          <w:rFonts w:cs="Arial"/>
          <w:sz w:val="20"/>
        </w:rPr>
        <w:t xml:space="preserve"> Brno</w:t>
      </w:r>
    </w:p>
    <w:p w14:paraId="18586607" w14:textId="77777777" w:rsidR="00AF401D" w:rsidRPr="00B452E3" w:rsidRDefault="00AF401D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jednající:</w:t>
      </w:r>
      <w:r w:rsidR="00CB3894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2A5401" w:rsidRPr="00175C87">
        <w:rPr>
          <w:rFonts w:cs="Arial"/>
          <w:sz w:val="20"/>
        </w:rPr>
        <w:t>Ing. Vlastimil Vajdák</w:t>
      </w:r>
      <w:r w:rsidRPr="00175C87">
        <w:rPr>
          <w:rFonts w:cs="Arial"/>
          <w:sz w:val="20"/>
        </w:rPr>
        <w:t>, ředitel</w:t>
      </w:r>
    </w:p>
    <w:p w14:paraId="124ECD6C" w14:textId="25C9C9F4" w:rsidR="00AF401D" w:rsidRPr="00B452E3" w:rsidRDefault="00AF401D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IČ</w:t>
      </w:r>
      <w:r w:rsidR="009907FF">
        <w:rPr>
          <w:rFonts w:cs="Arial"/>
          <w:sz w:val="20"/>
        </w:rPr>
        <w:t>O</w:t>
      </w:r>
      <w:r w:rsidRPr="00B452E3">
        <w:rPr>
          <w:rFonts w:cs="Arial"/>
          <w:sz w:val="20"/>
        </w:rPr>
        <w:t xml:space="preserve">: </w:t>
      </w:r>
      <w:r w:rsidRPr="00B452E3">
        <w:rPr>
          <w:rFonts w:cs="Arial"/>
          <w:sz w:val="20"/>
        </w:rPr>
        <w:tab/>
      </w:r>
      <w:r w:rsidR="00CB3894">
        <w:rPr>
          <w:rFonts w:cs="Arial"/>
          <w:sz w:val="20"/>
        </w:rPr>
        <w:t xml:space="preserve">  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  <w:t>00159816</w:t>
      </w:r>
    </w:p>
    <w:p w14:paraId="742B6885" w14:textId="77777777" w:rsidR="00AF401D" w:rsidRPr="00B452E3" w:rsidRDefault="00AF401D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DIČ: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  <w:t>CZ00159816</w:t>
      </w:r>
    </w:p>
    <w:p w14:paraId="4055B0AD" w14:textId="77777777" w:rsidR="00AF401D" w:rsidRPr="00B452E3" w:rsidRDefault="00AF401D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bank. spojení:</w:t>
      </w:r>
      <w:r w:rsidR="00CB3894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DC5C03" w:rsidRPr="00B452E3">
        <w:rPr>
          <w:rFonts w:cs="Arial"/>
          <w:sz w:val="20"/>
        </w:rPr>
        <w:t>Česká národní</w:t>
      </w:r>
      <w:r w:rsidRPr="00B452E3">
        <w:rPr>
          <w:rFonts w:cs="Arial"/>
          <w:sz w:val="20"/>
        </w:rPr>
        <w:t xml:space="preserve"> banka, a.s., pobočka Brno-město </w:t>
      </w:r>
    </w:p>
    <w:p w14:paraId="3267A827" w14:textId="77777777" w:rsidR="00AF401D" w:rsidRPr="00B452E3" w:rsidRDefault="00DC5C03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č. účtu: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  <w:t>71138621/071</w:t>
      </w:r>
      <w:r w:rsidR="00AF401D" w:rsidRPr="00B452E3">
        <w:rPr>
          <w:rFonts w:cs="Arial"/>
          <w:sz w:val="20"/>
        </w:rPr>
        <w:t>0</w:t>
      </w:r>
    </w:p>
    <w:p w14:paraId="4DAAA8B3" w14:textId="77777777" w:rsidR="00AF401D" w:rsidRPr="00B452E3" w:rsidRDefault="00AF401D" w:rsidP="007D37B4">
      <w:pPr>
        <w:spacing w:before="120" w:after="120"/>
        <w:rPr>
          <w:rFonts w:cs="Arial"/>
          <w:sz w:val="20"/>
        </w:rPr>
      </w:pPr>
      <w:r w:rsidRPr="00B452E3">
        <w:rPr>
          <w:rFonts w:cs="Arial"/>
          <w:sz w:val="20"/>
        </w:rPr>
        <w:t xml:space="preserve">a </w:t>
      </w:r>
    </w:p>
    <w:p w14:paraId="2716AE46" w14:textId="77777777" w:rsidR="005B3097" w:rsidRPr="00B452E3" w:rsidRDefault="00F234C4" w:rsidP="005B3097">
      <w:pPr>
        <w:keepNext w:val="0"/>
        <w:keepLines w:val="0"/>
        <w:widowControl w:val="0"/>
        <w:autoSpaceDE w:val="0"/>
        <w:autoSpaceDN w:val="0"/>
        <w:adjustRightInd w:val="0"/>
        <w:ind w:right="484"/>
        <w:rPr>
          <w:rStyle w:val="FontStyle16"/>
          <w:rFonts w:ascii="Arial" w:hAnsi="Arial" w:cs="Arial"/>
          <w:sz w:val="20"/>
          <w:szCs w:val="20"/>
        </w:rPr>
      </w:pPr>
      <w:r w:rsidRPr="00B452E3">
        <w:rPr>
          <w:rFonts w:cs="Arial"/>
          <w:sz w:val="20"/>
        </w:rPr>
        <w:t>2. Dodavatel:</w:t>
      </w:r>
      <w:r w:rsidR="00CB3894">
        <w:rPr>
          <w:rFonts w:cs="Arial"/>
          <w:sz w:val="20"/>
        </w:rPr>
        <w:t xml:space="preserve">  </w:t>
      </w:r>
      <w:r w:rsidR="00AF401D"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7265A4" w:rsidRPr="005B2B68">
        <w:rPr>
          <w:rFonts w:cs="Arial"/>
          <w:b/>
          <w:sz w:val="20"/>
        </w:rPr>
        <w:t>ELI LILLY ČR, s.r.o.</w:t>
      </w:r>
    </w:p>
    <w:bookmarkEnd w:id="1"/>
    <w:bookmarkEnd w:id="2"/>
    <w:p w14:paraId="2C2885B4" w14:textId="77777777" w:rsidR="009907FF" w:rsidRDefault="009907FF" w:rsidP="009907FF">
      <w:pPr>
        <w:spacing w:before="120"/>
        <w:jc w:val="both"/>
        <w:rPr>
          <w:rFonts w:cs="Arial"/>
          <w:sz w:val="20"/>
        </w:rPr>
      </w:pPr>
      <w:r>
        <w:rPr>
          <w:rFonts w:cs="Arial"/>
          <w:sz w:val="20"/>
        </w:rPr>
        <w:t>zápis v OR: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9907FF">
        <w:rPr>
          <w:rFonts w:cs="Arial"/>
          <w:sz w:val="20"/>
        </w:rPr>
        <w:t>C 42212 vedená u Městského soudu v Praz</w:t>
      </w:r>
      <w:r>
        <w:rPr>
          <w:rFonts w:cs="Arial"/>
          <w:sz w:val="20"/>
        </w:rPr>
        <w:t>e</w:t>
      </w:r>
    </w:p>
    <w:p w14:paraId="299E0ECD" w14:textId="77777777" w:rsidR="00AF401D" w:rsidRPr="00B452E3" w:rsidRDefault="00AF401D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sídlo: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7265A4" w:rsidRPr="00B452E3">
        <w:rPr>
          <w:rFonts w:cs="Arial"/>
          <w:sz w:val="20"/>
        </w:rPr>
        <w:t>Pobřežní 394/12, Karlín, 186 00 Praha 8</w:t>
      </w:r>
      <w:r w:rsidRPr="00B452E3">
        <w:rPr>
          <w:rFonts w:cs="Arial"/>
          <w:sz w:val="20"/>
        </w:rPr>
        <w:tab/>
      </w:r>
    </w:p>
    <w:p w14:paraId="2FAAA218" w14:textId="1851C223" w:rsidR="00AF401D" w:rsidRPr="00B452E3" w:rsidRDefault="00AF401D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 xml:space="preserve">jednající: 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7265A4" w:rsidRPr="00E14E35">
        <w:rPr>
          <w:rFonts w:cs="Arial"/>
          <w:sz w:val="20"/>
        </w:rPr>
        <w:t>Miha Kline</w:t>
      </w:r>
      <w:r w:rsidR="004A17F1">
        <w:rPr>
          <w:rFonts w:cs="Arial"/>
          <w:sz w:val="20"/>
        </w:rPr>
        <w:t>, jednatel</w:t>
      </w:r>
    </w:p>
    <w:p w14:paraId="40194178" w14:textId="62CBBB78" w:rsidR="007265A4" w:rsidRPr="00B452E3" w:rsidRDefault="00AF401D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IČ</w:t>
      </w:r>
      <w:r w:rsidR="009907FF">
        <w:rPr>
          <w:rFonts w:cs="Arial"/>
          <w:sz w:val="20"/>
        </w:rPr>
        <w:t>O</w:t>
      </w:r>
      <w:r w:rsidRPr="00B452E3">
        <w:rPr>
          <w:rFonts w:cs="Arial"/>
          <w:sz w:val="20"/>
        </w:rPr>
        <w:t xml:space="preserve">: </w:t>
      </w:r>
      <w:r w:rsidRPr="00B452E3">
        <w:rPr>
          <w:rFonts w:cs="Arial"/>
          <w:sz w:val="20"/>
        </w:rPr>
        <w:tab/>
        <w:t xml:space="preserve"> 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7265A4" w:rsidRPr="00B452E3">
        <w:rPr>
          <w:rFonts w:cs="Arial"/>
          <w:sz w:val="20"/>
        </w:rPr>
        <w:t>64941132</w:t>
      </w:r>
    </w:p>
    <w:p w14:paraId="23F16EC3" w14:textId="77777777" w:rsidR="00AF401D" w:rsidRPr="00B452E3" w:rsidRDefault="00AF401D" w:rsidP="00AF401D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 xml:space="preserve">DIČ: </w:t>
      </w:r>
      <w:r w:rsidRPr="00B452E3">
        <w:rPr>
          <w:rFonts w:cs="Arial"/>
          <w:sz w:val="20"/>
        </w:rPr>
        <w:tab/>
      </w:r>
      <w:r w:rsidR="00CB3894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7265A4" w:rsidRPr="00B452E3">
        <w:rPr>
          <w:rFonts w:cs="Arial"/>
          <w:sz w:val="20"/>
        </w:rPr>
        <w:t>CZ64941132</w:t>
      </w:r>
    </w:p>
    <w:p w14:paraId="00330456" w14:textId="77777777" w:rsidR="00AF401D" w:rsidRPr="00E14E35" w:rsidRDefault="00AF401D" w:rsidP="00E14E35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 xml:space="preserve">bank. spojení: 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2A4522" w:rsidRPr="00E14E35">
        <w:rPr>
          <w:rFonts w:cs="Arial"/>
          <w:sz w:val="20"/>
        </w:rPr>
        <w:t>BNP Paribas Fortis SA/NV, pobočka Česká republika</w:t>
      </w:r>
      <w:r w:rsidR="002A4522" w:rsidRPr="00E14E35" w:rsidDel="002A4522">
        <w:rPr>
          <w:rFonts w:cs="Arial"/>
          <w:sz w:val="20"/>
          <w:highlight w:val="yellow"/>
        </w:rPr>
        <w:t xml:space="preserve"> </w:t>
      </w:r>
    </w:p>
    <w:p w14:paraId="403A1462" w14:textId="77777777" w:rsidR="00941A77" w:rsidRPr="00E14E35" w:rsidRDefault="00AF401D" w:rsidP="00941A77">
      <w:pPr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č. účtu:</w:t>
      </w:r>
      <w:r w:rsidR="00CB3894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ab/>
      </w:r>
      <w:r w:rsidRPr="00B452E3">
        <w:rPr>
          <w:rFonts w:cs="Arial"/>
          <w:sz w:val="20"/>
        </w:rPr>
        <w:tab/>
      </w:r>
      <w:r w:rsidR="00B074FF">
        <w:rPr>
          <w:rFonts w:cs="Arial"/>
          <w:sz w:val="20"/>
        </w:rPr>
        <w:tab/>
      </w:r>
      <w:r w:rsidR="002A4522" w:rsidRPr="00E14E35">
        <w:rPr>
          <w:rFonts w:cs="Arial"/>
          <w:sz w:val="20"/>
        </w:rPr>
        <w:t>000000-6003021138/6300</w:t>
      </w:r>
      <w:r w:rsidR="002A4522" w:rsidRPr="00E14E35" w:rsidDel="002A4522">
        <w:rPr>
          <w:rFonts w:cs="Arial"/>
          <w:sz w:val="20"/>
        </w:rPr>
        <w:t xml:space="preserve"> </w:t>
      </w:r>
    </w:p>
    <w:p w14:paraId="0F2CD5D6" w14:textId="77777777" w:rsidR="00F234C4" w:rsidRPr="00B452E3" w:rsidRDefault="00F234C4" w:rsidP="007D37B4">
      <w:pPr>
        <w:spacing w:before="240"/>
        <w:jc w:val="center"/>
        <w:rPr>
          <w:rFonts w:cs="Arial"/>
          <w:b/>
          <w:sz w:val="20"/>
        </w:rPr>
      </w:pPr>
      <w:r w:rsidRPr="00B452E3">
        <w:rPr>
          <w:rFonts w:cs="Arial"/>
          <w:b/>
          <w:sz w:val="20"/>
        </w:rPr>
        <w:t>II.</w:t>
      </w:r>
    </w:p>
    <w:p w14:paraId="461439A0" w14:textId="77777777" w:rsidR="00F234C4" w:rsidRPr="00B452E3" w:rsidRDefault="00F234C4" w:rsidP="00F234C4">
      <w:pPr>
        <w:jc w:val="center"/>
        <w:rPr>
          <w:rFonts w:cs="Arial"/>
          <w:b/>
          <w:sz w:val="20"/>
        </w:rPr>
      </w:pPr>
      <w:r w:rsidRPr="00B452E3">
        <w:rPr>
          <w:rFonts w:cs="Arial"/>
          <w:b/>
          <w:sz w:val="20"/>
        </w:rPr>
        <w:t>Předmět</w:t>
      </w:r>
    </w:p>
    <w:p w14:paraId="10F38286" w14:textId="5295D4A1" w:rsidR="00A52B74" w:rsidRPr="00B074FF" w:rsidRDefault="00653726" w:rsidP="007D37B4">
      <w:pPr>
        <w:keepNext w:val="0"/>
        <w:keepLines w:val="0"/>
        <w:numPr>
          <w:ilvl w:val="0"/>
          <w:numId w:val="11"/>
        </w:numPr>
        <w:tabs>
          <w:tab w:val="clear" w:pos="720"/>
        </w:tabs>
        <w:spacing w:before="120"/>
        <w:ind w:left="397" w:hanging="357"/>
        <w:jc w:val="both"/>
        <w:rPr>
          <w:rFonts w:cs="Arial"/>
          <w:sz w:val="20"/>
        </w:rPr>
      </w:pPr>
      <w:r w:rsidRPr="00B074FF">
        <w:rPr>
          <w:rFonts w:cs="Arial"/>
          <w:sz w:val="20"/>
        </w:rPr>
        <w:t>Předmětem této smlouvy je úprava práv a povinností smluvních stran při poskytování finanční bonifikace (dále jen „obchodní zvýhodnění“) odběrateli za zboží dodavatele</w:t>
      </w:r>
      <w:r w:rsidR="00FD20B4" w:rsidRPr="00B074FF">
        <w:rPr>
          <w:rFonts w:cs="Arial"/>
          <w:sz w:val="20"/>
        </w:rPr>
        <w:t>, které odebral od dodavatele nebo jiných distributorů</w:t>
      </w:r>
      <w:r w:rsidRPr="00B074FF">
        <w:rPr>
          <w:rFonts w:cs="Arial"/>
          <w:sz w:val="20"/>
        </w:rPr>
        <w:t>.</w:t>
      </w:r>
      <w:r w:rsidR="00A52B74" w:rsidRPr="00B074FF">
        <w:rPr>
          <w:rFonts w:cs="Arial"/>
          <w:sz w:val="20"/>
        </w:rPr>
        <w:t xml:space="preserve"> Smluvní strany souhlasí a potvrzují, že účelem této smlouvy není reklama jakéhokoli výrobku dodavatele nebo osob </w:t>
      </w:r>
      <w:r w:rsidR="00A93E5F" w:rsidRPr="00B074FF">
        <w:rPr>
          <w:rFonts w:cs="Arial"/>
          <w:sz w:val="20"/>
        </w:rPr>
        <w:t>s ním</w:t>
      </w:r>
      <w:r w:rsidR="00A52B74" w:rsidRPr="00B074FF">
        <w:rPr>
          <w:rFonts w:cs="Arial"/>
          <w:sz w:val="20"/>
        </w:rPr>
        <w:t xml:space="preserve"> spřízněných ani poskytnutí daru či sponzorského příspěvku, ani jakákoli forma poskytování vzorků daných léčivých přípravků</w:t>
      </w:r>
      <w:r w:rsidR="005C2550" w:rsidRPr="00B074FF">
        <w:rPr>
          <w:rFonts w:cs="Arial"/>
          <w:sz w:val="20"/>
        </w:rPr>
        <w:t xml:space="preserve"> nebo zdravotnických prostředků</w:t>
      </w:r>
      <w:r w:rsidR="00A52B74" w:rsidRPr="00B074FF">
        <w:rPr>
          <w:rFonts w:cs="Arial"/>
          <w:sz w:val="20"/>
        </w:rPr>
        <w:t>, ale výlučně poskytnutí obchodního zvýhodnění zohledňujícího ekonomickou úsporu na straně dodavatele danou množstvím výrobků odebraných odběratelem a jeho celkovým obratem.</w:t>
      </w:r>
      <w:r w:rsidR="00785A89">
        <w:rPr>
          <w:rFonts w:cs="Arial"/>
          <w:sz w:val="20"/>
        </w:rPr>
        <w:t xml:space="preserve"> </w:t>
      </w:r>
    </w:p>
    <w:p w14:paraId="68E30886" w14:textId="3CE3C675" w:rsidR="00A52B74" w:rsidRPr="00B074FF" w:rsidRDefault="00F56325" w:rsidP="007D37B4">
      <w:pPr>
        <w:keepNext w:val="0"/>
        <w:keepLines w:val="0"/>
        <w:numPr>
          <w:ilvl w:val="0"/>
          <w:numId w:val="11"/>
        </w:numPr>
        <w:tabs>
          <w:tab w:val="clear" w:pos="720"/>
        </w:tabs>
        <w:spacing w:before="120"/>
        <w:ind w:left="397" w:hanging="357"/>
        <w:jc w:val="both"/>
        <w:rPr>
          <w:rFonts w:cs="Arial"/>
          <w:sz w:val="20"/>
        </w:rPr>
      </w:pPr>
      <w:r w:rsidRPr="00B074FF">
        <w:rPr>
          <w:rFonts w:cs="Arial"/>
          <w:sz w:val="20"/>
        </w:rPr>
        <w:t>Závazek dodavatele poskytnout odběrateli obchodní zvýhodnění se vztahuje pouze na zboží vymezené v příloze č. 1 této smlouvy, případně pokud si strany prostřednictvím svých kontaktních osob</w:t>
      </w:r>
      <w:r w:rsidR="00A93E5F" w:rsidRPr="00B074FF">
        <w:rPr>
          <w:rFonts w:cs="Arial"/>
          <w:sz w:val="20"/>
        </w:rPr>
        <w:t xml:space="preserve"> dodatečně písemně</w:t>
      </w:r>
      <w:r w:rsidRPr="00B074FF">
        <w:rPr>
          <w:rFonts w:cs="Arial"/>
          <w:sz w:val="20"/>
        </w:rPr>
        <w:t xml:space="preserve"> dohodnou, tak na celý sortiment dodavatele. </w:t>
      </w:r>
    </w:p>
    <w:p w14:paraId="68CADF35" w14:textId="09414482" w:rsidR="00A52B74" w:rsidRPr="00B074FF" w:rsidRDefault="009C45EB" w:rsidP="007D37B4">
      <w:pPr>
        <w:keepNext w:val="0"/>
        <w:keepLines w:val="0"/>
        <w:numPr>
          <w:ilvl w:val="0"/>
          <w:numId w:val="11"/>
        </w:numPr>
        <w:tabs>
          <w:tab w:val="clear" w:pos="720"/>
        </w:tabs>
        <w:spacing w:before="120"/>
        <w:ind w:left="397" w:hanging="357"/>
        <w:jc w:val="both"/>
        <w:rPr>
          <w:rFonts w:cs="Arial"/>
          <w:sz w:val="20"/>
        </w:rPr>
      </w:pPr>
      <w:r w:rsidRPr="00B074FF">
        <w:rPr>
          <w:rFonts w:cs="Arial"/>
          <w:sz w:val="20"/>
        </w:rPr>
        <w:t>D</w:t>
      </w:r>
      <w:r w:rsidR="004532AB" w:rsidRPr="00B074FF">
        <w:rPr>
          <w:rFonts w:cs="Arial"/>
          <w:sz w:val="20"/>
        </w:rPr>
        <w:t>odavatel se zavazuje</w:t>
      </w:r>
      <w:r w:rsidR="002C530C" w:rsidRPr="00B074FF">
        <w:rPr>
          <w:rFonts w:cs="Arial"/>
          <w:sz w:val="20"/>
        </w:rPr>
        <w:t xml:space="preserve"> </w:t>
      </w:r>
      <w:r w:rsidR="004532AB" w:rsidRPr="00B074FF">
        <w:rPr>
          <w:rFonts w:cs="Arial"/>
          <w:sz w:val="20"/>
        </w:rPr>
        <w:t xml:space="preserve">poskytnout odběrateli </w:t>
      </w:r>
      <w:r w:rsidR="002C530C" w:rsidRPr="00B074FF">
        <w:rPr>
          <w:rFonts w:cs="Arial"/>
          <w:sz w:val="20"/>
        </w:rPr>
        <w:t>za podmínek uvedených v</w:t>
      </w:r>
      <w:r w:rsidR="0039029E" w:rsidRPr="00B074FF">
        <w:rPr>
          <w:rFonts w:cs="Arial"/>
          <w:sz w:val="20"/>
        </w:rPr>
        <w:t> tét</w:t>
      </w:r>
      <w:r w:rsidR="00686404" w:rsidRPr="00B074FF">
        <w:rPr>
          <w:rFonts w:cs="Arial"/>
          <w:sz w:val="20"/>
        </w:rPr>
        <w:t>o smlouvě</w:t>
      </w:r>
      <w:r w:rsidR="002C530C" w:rsidRPr="00B074FF">
        <w:rPr>
          <w:rFonts w:cs="Arial"/>
          <w:sz w:val="20"/>
        </w:rPr>
        <w:t xml:space="preserve"> obchodní zvýhodnění</w:t>
      </w:r>
      <w:r w:rsidR="004532AB" w:rsidRPr="00B074FF">
        <w:rPr>
          <w:rFonts w:cs="Arial"/>
          <w:sz w:val="20"/>
        </w:rPr>
        <w:t xml:space="preserve"> ve výši </w:t>
      </w:r>
      <w:r w:rsidR="002C530C" w:rsidRPr="00B074FF">
        <w:rPr>
          <w:rFonts w:cs="Arial"/>
          <w:sz w:val="20"/>
        </w:rPr>
        <w:t xml:space="preserve">stanovené výpočtem, uvedeným v příloze č. 2 </w:t>
      </w:r>
      <w:r w:rsidR="00F56325" w:rsidRPr="00B074FF">
        <w:rPr>
          <w:rFonts w:cs="Arial"/>
          <w:sz w:val="20"/>
        </w:rPr>
        <w:t>této smlouvy</w:t>
      </w:r>
      <w:r w:rsidR="004532AB" w:rsidRPr="00B074FF">
        <w:rPr>
          <w:rFonts w:cs="Arial"/>
          <w:sz w:val="20"/>
        </w:rPr>
        <w:t>.</w:t>
      </w:r>
      <w:r w:rsidR="000D5F26" w:rsidRPr="00B074FF">
        <w:rPr>
          <w:rFonts w:cs="Arial"/>
          <w:sz w:val="20"/>
        </w:rPr>
        <w:t xml:space="preserve"> Tato příloha taktéž upravuje délku referenčního období, na které je výpočet navázán.</w:t>
      </w:r>
      <w:r w:rsidR="0039029E" w:rsidRPr="00B074FF">
        <w:rPr>
          <w:rFonts w:cs="Arial"/>
          <w:sz w:val="20"/>
        </w:rPr>
        <w:t xml:space="preserve"> Smluvní strany se dohodly, že před koncem </w:t>
      </w:r>
      <w:r w:rsidR="0067442C" w:rsidRPr="00B074FF">
        <w:rPr>
          <w:rFonts w:cs="Arial"/>
          <w:sz w:val="20"/>
        </w:rPr>
        <w:t>každého</w:t>
      </w:r>
      <w:r w:rsidR="0039029E" w:rsidRPr="00B074FF">
        <w:rPr>
          <w:rFonts w:cs="Arial"/>
          <w:sz w:val="20"/>
        </w:rPr>
        <w:t xml:space="preserve"> kalendářního roku strany vstoupí v jednání a dohodnou se na zachování nebo změně výpočtu</w:t>
      </w:r>
      <w:r w:rsidR="00F56325" w:rsidRPr="00B074FF">
        <w:rPr>
          <w:rFonts w:cs="Arial"/>
          <w:sz w:val="20"/>
        </w:rPr>
        <w:t xml:space="preserve"> pro rok následující</w:t>
      </w:r>
      <w:r w:rsidR="00415B3F" w:rsidRPr="00B074FF">
        <w:rPr>
          <w:rFonts w:cs="Arial"/>
          <w:sz w:val="20"/>
        </w:rPr>
        <w:t xml:space="preserve"> (v případě změny jsou smluvní strany povinny postup</w:t>
      </w:r>
      <w:r w:rsidR="009E65C2" w:rsidRPr="00B074FF">
        <w:rPr>
          <w:rFonts w:cs="Arial"/>
          <w:sz w:val="20"/>
        </w:rPr>
        <w:t>ovat v souladu s čl. IV odst. 1</w:t>
      </w:r>
      <w:r w:rsidR="0077407E" w:rsidRPr="00B074FF">
        <w:rPr>
          <w:rFonts w:cs="Arial"/>
          <w:sz w:val="20"/>
        </w:rPr>
        <w:t>6</w:t>
      </w:r>
      <w:r w:rsidR="00415B3F" w:rsidRPr="00B074FF">
        <w:rPr>
          <w:rFonts w:cs="Arial"/>
          <w:sz w:val="20"/>
        </w:rPr>
        <w:t>)</w:t>
      </w:r>
      <w:r w:rsidR="0039029E" w:rsidRPr="00B074FF">
        <w:rPr>
          <w:rFonts w:cs="Arial"/>
          <w:b/>
          <w:sz w:val="20"/>
        </w:rPr>
        <w:t>.</w:t>
      </w:r>
      <w:r w:rsidR="006C40AD" w:rsidRPr="00B074FF">
        <w:rPr>
          <w:rFonts w:cs="Arial"/>
          <w:sz w:val="20"/>
        </w:rPr>
        <w:t xml:space="preserve"> </w:t>
      </w:r>
    </w:p>
    <w:p w14:paraId="49E1EEFC" w14:textId="6C8A44F0" w:rsidR="00B074FF" w:rsidRPr="00B074FF" w:rsidRDefault="00941A77" w:rsidP="007D37B4">
      <w:pPr>
        <w:keepNext w:val="0"/>
        <w:keepLines w:val="0"/>
        <w:numPr>
          <w:ilvl w:val="0"/>
          <w:numId w:val="11"/>
        </w:numPr>
        <w:tabs>
          <w:tab w:val="clear" w:pos="720"/>
        </w:tabs>
        <w:spacing w:before="120"/>
        <w:ind w:left="397" w:hanging="357"/>
        <w:jc w:val="both"/>
        <w:rPr>
          <w:rFonts w:cs="Arial"/>
          <w:sz w:val="20"/>
        </w:rPr>
      </w:pPr>
      <w:r w:rsidRPr="00B074FF">
        <w:rPr>
          <w:rFonts w:cs="Arial"/>
          <w:color w:val="000000"/>
          <w:sz w:val="20"/>
        </w:rPr>
        <w:t xml:space="preserve">Dodavatel se zavazuje poskytnout odběrateli </w:t>
      </w:r>
      <w:r w:rsidRPr="00B074FF">
        <w:rPr>
          <w:rFonts w:cs="Arial"/>
          <w:sz w:val="20"/>
        </w:rPr>
        <w:t>obchodní zvýhodnění</w:t>
      </w:r>
      <w:r w:rsidR="00B259C7" w:rsidRPr="00B074FF">
        <w:rPr>
          <w:rFonts w:cs="Arial"/>
          <w:sz w:val="20"/>
        </w:rPr>
        <w:t xml:space="preserve"> </w:t>
      </w:r>
      <w:r w:rsidRPr="00B074FF">
        <w:rPr>
          <w:rFonts w:cs="Arial"/>
          <w:color w:val="000000"/>
          <w:sz w:val="20"/>
        </w:rPr>
        <w:t>v zákonných penězích poukázáním příslušné částky na bankovní účet odběratele</w:t>
      </w:r>
      <w:r w:rsidR="00DE6276" w:rsidRPr="00B074FF">
        <w:rPr>
          <w:rFonts w:cs="Arial"/>
          <w:color w:val="000000"/>
          <w:sz w:val="20"/>
        </w:rPr>
        <w:t xml:space="preserve">, </w:t>
      </w:r>
      <w:r w:rsidR="00B259C7" w:rsidRPr="00B074FF">
        <w:rPr>
          <w:rFonts w:cs="Arial"/>
          <w:color w:val="000000"/>
          <w:sz w:val="20"/>
        </w:rPr>
        <w:t>a to</w:t>
      </w:r>
      <w:r w:rsidRPr="00B074FF">
        <w:rPr>
          <w:rFonts w:cs="Arial"/>
          <w:color w:val="000000"/>
          <w:sz w:val="20"/>
        </w:rPr>
        <w:t xml:space="preserve"> na základě opravného daňového dokladu vystaveného dodavatelem do 10 dnů po odsouhlasení kalkulace obchodního</w:t>
      </w:r>
      <w:r w:rsidRPr="00B452E3">
        <w:rPr>
          <w:rFonts w:cs="Arial"/>
          <w:color w:val="000000"/>
          <w:sz w:val="20"/>
        </w:rPr>
        <w:t xml:space="preserve"> </w:t>
      </w:r>
      <w:r w:rsidRPr="00B074FF">
        <w:rPr>
          <w:rFonts w:cs="Arial"/>
          <w:color w:val="000000"/>
          <w:sz w:val="20"/>
        </w:rPr>
        <w:t xml:space="preserve">zvýhodnění odběratelem dle </w:t>
      </w:r>
      <w:r w:rsidRPr="00942E64">
        <w:rPr>
          <w:rFonts w:cs="Arial"/>
          <w:color w:val="000000"/>
          <w:sz w:val="20"/>
        </w:rPr>
        <w:t>následující</w:t>
      </w:r>
      <w:r w:rsidR="00B259C7" w:rsidRPr="00942E64">
        <w:rPr>
          <w:rFonts w:cs="Arial"/>
          <w:color w:val="000000"/>
          <w:sz w:val="20"/>
        </w:rPr>
        <w:t>ho</w:t>
      </w:r>
      <w:r w:rsidRPr="00942E64">
        <w:rPr>
          <w:rFonts w:cs="Arial"/>
          <w:color w:val="000000"/>
          <w:sz w:val="20"/>
        </w:rPr>
        <w:t xml:space="preserve"> odst</w:t>
      </w:r>
      <w:r w:rsidR="00AB21BB" w:rsidRPr="0007656F">
        <w:rPr>
          <w:rFonts w:cs="Arial"/>
          <w:color w:val="000000"/>
          <w:sz w:val="20"/>
        </w:rPr>
        <w:t>avce</w:t>
      </w:r>
      <w:r w:rsidRPr="00785A89">
        <w:rPr>
          <w:rFonts w:cs="Arial"/>
          <w:color w:val="000000"/>
          <w:sz w:val="20"/>
        </w:rPr>
        <w:t xml:space="preserve"> </w:t>
      </w:r>
      <w:r w:rsidR="00942E64" w:rsidRPr="00942E64">
        <w:rPr>
          <w:rFonts w:cs="Arial"/>
          <w:color w:val="000000"/>
          <w:sz w:val="20"/>
        </w:rPr>
        <w:t xml:space="preserve">6 </w:t>
      </w:r>
      <w:r w:rsidRPr="00942E64">
        <w:rPr>
          <w:rFonts w:cs="Arial"/>
          <w:color w:val="000000"/>
          <w:sz w:val="20"/>
        </w:rPr>
        <w:t>tohoto článku.</w:t>
      </w:r>
      <w:r w:rsidR="00FD20B4" w:rsidRPr="00942E64">
        <w:rPr>
          <w:rFonts w:cs="Arial"/>
          <w:color w:val="000000"/>
          <w:sz w:val="20"/>
        </w:rPr>
        <w:t xml:space="preserve"> Odběra</w:t>
      </w:r>
      <w:r w:rsidR="00FD20B4" w:rsidRPr="00B074FF">
        <w:rPr>
          <w:rFonts w:cs="Arial"/>
          <w:color w:val="000000"/>
          <w:sz w:val="20"/>
        </w:rPr>
        <w:t xml:space="preserve">tel připraví </w:t>
      </w:r>
      <w:r w:rsidR="009907FF">
        <w:rPr>
          <w:rFonts w:cs="Arial"/>
          <w:color w:val="000000"/>
          <w:sz w:val="20"/>
        </w:rPr>
        <w:br/>
      </w:r>
      <w:r w:rsidR="00FD20B4" w:rsidRPr="00B074FF">
        <w:rPr>
          <w:rFonts w:cs="Arial"/>
          <w:color w:val="000000"/>
          <w:sz w:val="20"/>
        </w:rPr>
        <w:t xml:space="preserve">a dodavateli zašle na e-mailovou adresu </w:t>
      </w:r>
      <w:r w:rsidR="0007656F">
        <w:rPr>
          <w:rFonts w:cs="Arial"/>
          <w:color w:val="000000"/>
          <w:sz w:val="20"/>
        </w:rPr>
        <w:t xml:space="preserve">kontaktní osoby dodavatele dle </w:t>
      </w:r>
      <w:r w:rsidR="0007656F" w:rsidRPr="0007656F">
        <w:rPr>
          <w:rFonts w:cs="Arial"/>
          <w:color w:val="000000"/>
          <w:sz w:val="20"/>
        </w:rPr>
        <w:t xml:space="preserve">čl. IV odst. 17 této smlouvy </w:t>
      </w:r>
      <w:hyperlink r:id="rId9" w:history="1"/>
      <w:r w:rsidR="00FD20B4" w:rsidRPr="00B074FF">
        <w:rPr>
          <w:rFonts w:cs="Arial"/>
          <w:color w:val="000000"/>
          <w:sz w:val="20"/>
        </w:rPr>
        <w:t>návrh kalkulace obchodního zvýhodnění</w:t>
      </w:r>
      <w:r w:rsidR="00C57D94" w:rsidRPr="00B074FF">
        <w:rPr>
          <w:rFonts w:cs="Arial"/>
          <w:color w:val="000000"/>
          <w:sz w:val="20"/>
        </w:rPr>
        <w:t>, přehled o množství zboží uvedeného v příloze č. 1 odebraného odběratelem v daném referenčním období spolu s doklady (např. kopiemi faktur či dodacích listů), které prokazují, že odběratel v daném referenčním období uskutečnil odběr určitého množství tohoto zboží; odběratel je povinen zajistit, aby na dokladech byly před tím, než j</w:t>
      </w:r>
      <w:r w:rsidR="00B74F68" w:rsidRPr="00B074FF">
        <w:rPr>
          <w:rFonts w:cs="Arial"/>
          <w:color w:val="000000"/>
          <w:sz w:val="20"/>
        </w:rPr>
        <w:t>e</w:t>
      </w:r>
      <w:r w:rsidR="00C57D94" w:rsidRPr="00B074FF">
        <w:rPr>
          <w:rFonts w:cs="Arial"/>
          <w:color w:val="000000"/>
          <w:sz w:val="20"/>
        </w:rPr>
        <w:t xml:space="preserve"> poskytne dodavateli, znečitelněny údaje identifikující distributora a údaje o cenách zboží.</w:t>
      </w:r>
      <w:r w:rsidRPr="00B074FF">
        <w:rPr>
          <w:rFonts w:cs="Arial"/>
          <w:color w:val="000000"/>
          <w:sz w:val="20"/>
        </w:rPr>
        <w:t xml:space="preserve"> Splatnost </w:t>
      </w:r>
      <w:r w:rsidRPr="00B074FF">
        <w:rPr>
          <w:rFonts w:cs="Arial"/>
          <w:color w:val="000000"/>
          <w:sz w:val="20"/>
        </w:rPr>
        <w:lastRenderedPageBreak/>
        <w:t xml:space="preserve">opravného daňového dokladu je 30 dní od </w:t>
      </w:r>
      <w:r w:rsidR="00180058" w:rsidRPr="00B074FF">
        <w:rPr>
          <w:rFonts w:cs="Arial"/>
          <w:color w:val="000000"/>
          <w:sz w:val="20"/>
        </w:rPr>
        <w:t xml:space="preserve">jeho </w:t>
      </w:r>
      <w:r w:rsidRPr="00B074FF">
        <w:rPr>
          <w:rFonts w:cs="Arial"/>
          <w:color w:val="000000"/>
          <w:sz w:val="20"/>
        </w:rPr>
        <w:t>vystavení. K základu daně na opravném daňovém dokladu bude připočtena zákonná sazba DPH odpovídající</w:t>
      </w:r>
      <w:r w:rsidRPr="00B452E3">
        <w:rPr>
          <w:rFonts w:cs="Arial"/>
          <w:color w:val="000000"/>
          <w:sz w:val="20"/>
        </w:rPr>
        <w:t xml:space="preserve"> původnímu plnění. </w:t>
      </w:r>
      <w:r w:rsidR="00E86016" w:rsidRPr="00B452E3">
        <w:rPr>
          <w:rFonts w:cs="Arial"/>
          <w:color w:val="000000"/>
          <w:sz w:val="20"/>
        </w:rPr>
        <w:t>Odběratel může svou pohledávku vůči dodavateli započíst oproti pohledávce dodavatele pouze na základě dohody o započtení</w:t>
      </w:r>
      <w:r w:rsidR="005D3792">
        <w:rPr>
          <w:rFonts w:cs="Arial"/>
          <w:color w:val="000000"/>
          <w:sz w:val="20"/>
        </w:rPr>
        <w:t>, ledaže je dále v této smlouvě stanoveno jinak</w:t>
      </w:r>
      <w:r w:rsidR="00E86016" w:rsidRPr="00B452E3">
        <w:rPr>
          <w:rFonts w:cs="Arial"/>
          <w:color w:val="000000"/>
          <w:sz w:val="20"/>
        </w:rPr>
        <w:t>.</w:t>
      </w:r>
      <w:r w:rsidR="00B74F68">
        <w:rPr>
          <w:rFonts w:cs="Arial"/>
          <w:color w:val="000000"/>
          <w:sz w:val="20"/>
        </w:rPr>
        <w:t xml:space="preserve"> </w:t>
      </w:r>
    </w:p>
    <w:p w14:paraId="7B9A279D" w14:textId="47C63EEC" w:rsidR="00A52B74" w:rsidRPr="00B074FF" w:rsidRDefault="001900B7" w:rsidP="007D37B4">
      <w:pPr>
        <w:keepNext w:val="0"/>
        <w:keepLines w:val="0"/>
        <w:numPr>
          <w:ilvl w:val="0"/>
          <w:numId w:val="11"/>
        </w:numPr>
        <w:tabs>
          <w:tab w:val="clear" w:pos="720"/>
        </w:tabs>
        <w:spacing w:before="120"/>
        <w:ind w:left="397" w:hanging="357"/>
        <w:jc w:val="both"/>
        <w:rPr>
          <w:rFonts w:cs="Arial"/>
          <w:sz w:val="20"/>
        </w:rPr>
      </w:pPr>
      <w:r w:rsidRPr="00B074FF">
        <w:rPr>
          <w:rFonts w:cs="Arial"/>
          <w:color w:val="000000"/>
          <w:sz w:val="20"/>
        </w:rPr>
        <w:t>Dodavatel je oprávněn odepřít výplatu obchodního zvýhodnění, na které vznikl odběrateli nárok, pokud je odběratel v prodlení se zaplacením jakéhokoliv dluhu vůči dodavateli</w:t>
      </w:r>
      <w:r w:rsidR="00F35EA4" w:rsidRPr="00B074FF">
        <w:rPr>
          <w:rFonts w:cs="Arial"/>
          <w:color w:val="000000"/>
          <w:sz w:val="20"/>
        </w:rPr>
        <w:t xml:space="preserve">, </w:t>
      </w:r>
      <w:r w:rsidRPr="00B074FF">
        <w:rPr>
          <w:rFonts w:cs="Arial"/>
          <w:color w:val="000000"/>
          <w:sz w:val="20"/>
        </w:rPr>
        <w:t>a to až do úplného zaplacení takového dluhu</w:t>
      </w:r>
      <w:r w:rsidR="005C1DC2" w:rsidRPr="00B074FF">
        <w:rPr>
          <w:rFonts w:cs="Arial"/>
          <w:color w:val="000000"/>
          <w:sz w:val="20"/>
        </w:rPr>
        <w:t>.</w:t>
      </w:r>
      <w:r w:rsidR="003F2806" w:rsidRPr="00B074FF">
        <w:rPr>
          <w:rFonts w:cs="Arial"/>
          <w:color w:val="000000"/>
          <w:sz w:val="20"/>
        </w:rPr>
        <w:t xml:space="preserve"> </w:t>
      </w:r>
      <w:r w:rsidR="005C1DC2" w:rsidRPr="00B074FF">
        <w:rPr>
          <w:rFonts w:cs="Arial"/>
          <w:color w:val="000000"/>
          <w:sz w:val="20"/>
        </w:rPr>
        <w:t>Bez ohledu na výše uvedené</w:t>
      </w:r>
      <w:r w:rsidR="006634E2" w:rsidRPr="00B074FF">
        <w:rPr>
          <w:rFonts w:cs="Arial"/>
          <w:color w:val="000000"/>
          <w:sz w:val="20"/>
        </w:rPr>
        <w:t xml:space="preserve"> a bez předchozí písemné dohody s dodavatelem</w:t>
      </w:r>
      <w:r w:rsidR="005C1DC2" w:rsidRPr="00B074FF">
        <w:rPr>
          <w:rFonts w:cs="Arial"/>
          <w:color w:val="000000"/>
          <w:sz w:val="20"/>
        </w:rPr>
        <w:t xml:space="preserve"> může </w:t>
      </w:r>
      <w:r w:rsidR="00F35EA4" w:rsidRPr="00B074FF">
        <w:rPr>
          <w:rFonts w:cs="Arial"/>
          <w:color w:val="000000"/>
          <w:sz w:val="20"/>
        </w:rPr>
        <w:t xml:space="preserve">odběratel </w:t>
      </w:r>
      <w:r w:rsidR="005C1DC2" w:rsidRPr="00B074FF">
        <w:rPr>
          <w:rFonts w:cs="Arial"/>
          <w:color w:val="000000"/>
          <w:sz w:val="20"/>
        </w:rPr>
        <w:t xml:space="preserve">proti pohledávce na výplatu </w:t>
      </w:r>
      <w:r w:rsidR="00063505">
        <w:rPr>
          <w:rFonts w:cs="Arial"/>
          <w:color w:val="000000"/>
          <w:sz w:val="20"/>
        </w:rPr>
        <w:t>obchodního zvýhodnění</w:t>
      </w:r>
      <w:r w:rsidR="005C1DC2" w:rsidRPr="00B074FF">
        <w:rPr>
          <w:rFonts w:cs="Arial"/>
          <w:color w:val="000000"/>
          <w:sz w:val="20"/>
        </w:rPr>
        <w:t>, na který mu vznikl nárok, započíst</w:t>
      </w:r>
      <w:r w:rsidR="002B58ED" w:rsidRPr="00B074FF">
        <w:rPr>
          <w:rFonts w:cs="Arial"/>
          <w:color w:val="000000"/>
          <w:sz w:val="20"/>
        </w:rPr>
        <w:t xml:space="preserve"> na základě písemného oznámení o jednostranném započtení</w:t>
      </w:r>
      <w:r w:rsidR="005C1DC2" w:rsidRPr="00B074FF">
        <w:rPr>
          <w:rFonts w:cs="Arial"/>
          <w:color w:val="000000"/>
          <w:sz w:val="20"/>
        </w:rPr>
        <w:t xml:space="preserve"> svůj dluh </w:t>
      </w:r>
      <w:r w:rsidR="00501D03" w:rsidRPr="00B074FF">
        <w:rPr>
          <w:rFonts w:cs="Arial"/>
          <w:color w:val="000000"/>
          <w:sz w:val="20"/>
        </w:rPr>
        <w:t>odpovídající kupní ceně</w:t>
      </w:r>
      <w:r w:rsidR="006634E2" w:rsidRPr="00B074FF">
        <w:rPr>
          <w:rFonts w:cs="Arial"/>
          <w:color w:val="000000"/>
          <w:sz w:val="20"/>
        </w:rPr>
        <w:t xml:space="preserve"> za zboží vyfakturované na </w:t>
      </w:r>
      <w:r w:rsidR="00501D03" w:rsidRPr="00B074FF">
        <w:rPr>
          <w:rFonts w:cs="Arial"/>
          <w:color w:val="000000"/>
          <w:sz w:val="20"/>
        </w:rPr>
        <w:t>jedné (</w:t>
      </w:r>
      <w:r w:rsidR="006634E2" w:rsidRPr="00B074FF">
        <w:rPr>
          <w:rFonts w:cs="Arial"/>
          <w:color w:val="000000"/>
          <w:sz w:val="20"/>
        </w:rPr>
        <w:t>1</w:t>
      </w:r>
      <w:r w:rsidR="00501D03" w:rsidRPr="00B074FF">
        <w:rPr>
          <w:rFonts w:cs="Arial"/>
          <w:color w:val="000000"/>
          <w:sz w:val="20"/>
        </w:rPr>
        <w:t>)</w:t>
      </w:r>
      <w:r w:rsidR="006634E2" w:rsidRPr="00B074FF">
        <w:rPr>
          <w:rFonts w:cs="Arial"/>
          <w:color w:val="000000"/>
          <w:sz w:val="20"/>
        </w:rPr>
        <w:t xml:space="preserve"> </w:t>
      </w:r>
      <w:r w:rsidR="00501D03" w:rsidRPr="00B074FF">
        <w:rPr>
          <w:rFonts w:cs="Arial"/>
          <w:color w:val="000000"/>
          <w:sz w:val="20"/>
        </w:rPr>
        <w:t xml:space="preserve">nejstarší </w:t>
      </w:r>
      <w:r w:rsidR="006634E2" w:rsidRPr="00B074FF">
        <w:rPr>
          <w:rFonts w:cs="Arial"/>
          <w:color w:val="000000"/>
          <w:sz w:val="20"/>
        </w:rPr>
        <w:t>faktuře</w:t>
      </w:r>
      <w:r w:rsidR="00501D03" w:rsidRPr="00B074FF">
        <w:rPr>
          <w:rFonts w:cs="Arial"/>
          <w:color w:val="000000"/>
          <w:sz w:val="20"/>
        </w:rPr>
        <w:t>, a to v části odpovídající pouze kupní ceně za takto vyfakturované zboží bez příslušenství a smluvních pokut; nejstarší fakturou se rozumí ta z dosud nezaplacených faktur</w:t>
      </w:r>
      <w:r w:rsidR="002B58ED" w:rsidRPr="00B074FF">
        <w:rPr>
          <w:rFonts w:cs="Arial"/>
          <w:color w:val="000000"/>
          <w:sz w:val="20"/>
        </w:rPr>
        <w:t xml:space="preserve"> vystavených dodavatelem</w:t>
      </w:r>
      <w:r w:rsidR="00501D03" w:rsidRPr="00B074FF">
        <w:rPr>
          <w:rFonts w:cs="Arial"/>
          <w:color w:val="000000"/>
          <w:sz w:val="20"/>
        </w:rPr>
        <w:t xml:space="preserve"> po lhůtě splatnosti</w:t>
      </w:r>
      <w:r w:rsidR="00CD1FE8" w:rsidRPr="00B074FF">
        <w:rPr>
          <w:rFonts w:cs="Arial"/>
          <w:color w:val="000000"/>
          <w:sz w:val="20"/>
        </w:rPr>
        <w:t xml:space="preserve">, kterou </w:t>
      </w:r>
      <w:r w:rsidR="002B58ED" w:rsidRPr="00B074FF">
        <w:rPr>
          <w:rFonts w:cs="Arial"/>
          <w:color w:val="000000"/>
          <w:sz w:val="20"/>
        </w:rPr>
        <w:t>dodavatel vystavil</w:t>
      </w:r>
      <w:r w:rsidR="00CD1FE8" w:rsidRPr="00B074FF">
        <w:rPr>
          <w:rFonts w:cs="Arial"/>
          <w:color w:val="000000"/>
          <w:sz w:val="20"/>
        </w:rPr>
        <w:t xml:space="preserve"> dle data vystavení nedříve.</w:t>
      </w:r>
      <w:r w:rsidR="00501D03" w:rsidRPr="00B074FF">
        <w:rPr>
          <w:rFonts w:cs="Arial"/>
          <w:color w:val="000000"/>
          <w:sz w:val="20"/>
        </w:rPr>
        <w:t xml:space="preserve"> </w:t>
      </w:r>
      <w:r w:rsidR="00CD1FE8" w:rsidRPr="00B074FF">
        <w:rPr>
          <w:rFonts w:cs="Arial"/>
          <w:color w:val="000000"/>
          <w:sz w:val="20"/>
        </w:rPr>
        <w:t>Nebude-li v oznámení odběratele o jednostranném započtení specifik</w:t>
      </w:r>
      <w:r w:rsidR="002B58ED" w:rsidRPr="00B074FF">
        <w:rPr>
          <w:rFonts w:cs="Arial"/>
          <w:color w:val="000000"/>
          <w:sz w:val="20"/>
        </w:rPr>
        <w:t>ována nejstarší faktura a část</w:t>
      </w:r>
      <w:r w:rsidR="00CD1FE8" w:rsidRPr="00B074FF">
        <w:rPr>
          <w:rFonts w:cs="Arial"/>
          <w:color w:val="000000"/>
          <w:sz w:val="20"/>
        </w:rPr>
        <w:t xml:space="preserve"> dluhu odpovídající popisu uvedenému výše, nedochází na základě oznám</w:t>
      </w:r>
      <w:r w:rsidR="002B58ED" w:rsidRPr="00B074FF">
        <w:rPr>
          <w:rFonts w:cs="Arial"/>
          <w:color w:val="000000"/>
          <w:sz w:val="20"/>
        </w:rPr>
        <w:t xml:space="preserve">ení </w:t>
      </w:r>
      <w:r w:rsidR="00CD1FE8" w:rsidRPr="00B074FF">
        <w:rPr>
          <w:rFonts w:cs="Arial"/>
          <w:color w:val="000000"/>
          <w:sz w:val="20"/>
        </w:rPr>
        <w:t>k započtení žádného dluhu.</w:t>
      </w:r>
    </w:p>
    <w:p w14:paraId="63EEABB8" w14:textId="4D97D6DD" w:rsidR="0039029E" w:rsidRPr="009907FF" w:rsidRDefault="00941A77" w:rsidP="007D37B4">
      <w:pPr>
        <w:keepNext w:val="0"/>
        <w:keepLines w:val="0"/>
        <w:numPr>
          <w:ilvl w:val="0"/>
          <w:numId w:val="11"/>
        </w:numPr>
        <w:tabs>
          <w:tab w:val="clear" w:pos="720"/>
        </w:tabs>
        <w:spacing w:before="120"/>
        <w:ind w:left="397" w:hanging="357"/>
        <w:jc w:val="both"/>
        <w:rPr>
          <w:rFonts w:cs="Arial"/>
          <w:sz w:val="20"/>
        </w:rPr>
      </w:pPr>
      <w:r w:rsidRPr="00B074FF">
        <w:rPr>
          <w:rFonts w:cs="Arial"/>
          <w:color w:val="000000"/>
          <w:sz w:val="20"/>
        </w:rPr>
        <w:t xml:space="preserve">Odsouhlasení kalkulace obchodního zvýhodnění se strany </w:t>
      </w:r>
      <w:r w:rsidR="00F56325" w:rsidRPr="00B074FF">
        <w:rPr>
          <w:rFonts w:cs="Arial"/>
          <w:color w:val="000000"/>
          <w:sz w:val="20"/>
        </w:rPr>
        <w:t>této smlouvy</w:t>
      </w:r>
      <w:r w:rsidRPr="00B074FF">
        <w:rPr>
          <w:rFonts w:cs="Arial"/>
          <w:color w:val="000000"/>
          <w:sz w:val="20"/>
        </w:rPr>
        <w:t xml:space="preserve"> zavazují provést tak, že nejpozději </w:t>
      </w:r>
      <w:r w:rsidR="00835958" w:rsidRPr="00B074FF">
        <w:rPr>
          <w:rFonts w:cs="Arial"/>
          <w:color w:val="000000"/>
          <w:sz w:val="20"/>
        </w:rPr>
        <w:t>do 15 dní od konce</w:t>
      </w:r>
      <w:r w:rsidRPr="00B074FF">
        <w:rPr>
          <w:rFonts w:cs="Arial"/>
          <w:color w:val="000000"/>
          <w:sz w:val="20"/>
        </w:rPr>
        <w:t xml:space="preserve"> </w:t>
      </w:r>
      <w:r w:rsidR="00835958" w:rsidRPr="00B074FF">
        <w:rPr>
          <w:rFonts w:cs="Arial"/>
          <w:color w:val="000000"/>
          <w:sz w:val="20"/>
        </w:rPr>
        <w:t xml:space="preserve">uplynulého </w:t>
      </w:r>
      <w:r w:rsidR="000D5F26" w:rsidRPr="00B074FF">
        <w:rPr>
          <w:rFonts w:cs="Arial"/>
          <w:color w:val="000000"/>
          <w:sz w:val="20"/>
        </w:rPr>
        <w:t>referenčního období</w:t>
      </w:r>
      <w:r w:rsidRPr="00B074FF">
        <w:rPr>
          <w:rFonts w:cs="Arial"/>
          <w:color w:val="000000"/>
          <w:sz w:val="20"/>
        </w:rPr>
        <w:t xml:space="preserve"> zašle </w:t>
      </w:r>
      <w:r w:rsidR="00B74F68" w:rsidRPr="00B074FF">
        <w:rPr>
          <w:rFonts w:cs="Arial"/>
          <w:color w:val="000000"/>
          <w:sz w:val="20"/>
        </w:rPr>
        <w:t xml:space="preserve">odběratel </w:t>
      </w:r>
      <w:r w:rsidR="00D0396A" w:rsidRPr="00B074FF">
        <w:rPr>
          <w:rFonts w:cs="Arial"/>
          <w:color w:val="000000"/>
          <w:sz w:val="20"/>
        </w:rPr>
        <w:t>kontaktní osobě</w:t>
      </w:r>
      <w:r w:rsidRPr="00B074FF">
        <w:rPr>
          <w:rFonts w:cs="Arial"/>
          <w:color w:val="000000"/>
          <w:sz w:val="20"/>
        </w:rPr>
        <w:t xml:space="preserve"> </w:t>
      </w:r>
      <w:r w:rsidR="00B74F68" w:rsidRPr="00B074FF">
        <w:rPr>
          <w:rFonts w:cs="Arial"/>
          <w:color w:val="000000"/>
          <w:sz w:val="20"/>
        </w:rPr>
        <w:t>dodav</w:t>
      </w:r>
      <w:r w:rsidRPr="00B074FF">
        <w:rPr>
          <w:rFonts w:cs="Arial"/>
          <w:color w:val="000000"/>
          <w:sz w:val="20"/>
        </w:rPr>
        <w:t>atele uveden</w:t>
      </w:r>
      <w:r w:rsidR="00D0396A" w:rsidRPr="00B074FF">
        <w:rPr>
          <w:rFonts w:cs="Arial"/>
          <w:color w:val="000000"/>
          <w:sz w:val="20"/>
        </w:rPr>
        <w:t>é</w:t>
      </w:r>
      <w:r w:rsidRPr="00B074FF">
        <w:rPr>
          <w:rFonts w:cs="Arial"/>
          <w:color w:val="000000"/>
          <w:sz w:val="20"/>
        </w:rPr>
        <w:t xml:space="preserve"> v čl. I</w:t>
      </w:r>
      <w:r w:rsidR="00180058" w:rsidRPr="00B074FF">
        <w:rPr>
          <w:rFonts w:cs="Arial"/>
          <w:color w:val="000000"/>
          <w:sz w:val="20"/>
        </w:rPr>
        <w:t>V</w:t>
      </w:r>
      <w:r w:rsidRPr="00B074FF">
        <w:rPr>
          <w:rFonts w:cs="Arial"/>
          <w:color w:val="000000"/>
          <w:sz w:val="20"/>
        </w:rPr>
        <w:t xml:space="preserve"> odst. 1</w:t>
      </w:r>
      <w:r w:rsidR="0077407E" w:rsidRPr="00B074FF">
        <w:rPr>
          <w:rFonts w:cs="Arial"/>
          <w:color w:val="000000"/>
          <w:sz w:val="20"/>
        </w:rPr>
        <w:t>7</w:t>
      </w:r>
      <w:r w:rsidRPr="00B074FF">
        <w:rPr>
          <w:rFonts w:cs="Arial"/>
          <w:color w:val="000000"/>
          <w:sz w:val="20"/>
        </w:rPr>
        <w:t xml:space="preserve"> </w:t>
      </w:r>
      <w:r w:rsidR="00F56325" w:rsidRPr="00B074FF">
        <w:rPr>
          <w:rFonts w:cs="Arial"/>
          <w:color w:val="000000"/>
          <w:sz w:val="20"/>
        </w:rPr>
        <w:t>této smlouvy</w:t>
      </w:r>
      <w:r w:rsidRPr="00B074FF">
        <w:rPr>
          <w:rFonts w:cs="Arial"/>
          <w:color w:val="000000"/>
          <w:sz w:val="20"/>
        </w:rPr>
        <w:t xml:space="preserve">, návrh kalkulace obchodního zvýhodnění za dané </w:t>
      </w:r>
      <w:r w:rsidR="000D5F26" w:rsidRPr="00B074FF">
        <w:rPr>
          <w:rFonts w:cs="Arial"/>
          <w:color w:val="000000"/>
          <w:sz w:val="20"/>
        </w:rPr>
        <w:t>referenční</w:t>
      </w:r>
      <w:r w:rsidRPr="00B074FF">
        <w:rPr>
          <w:rFonts w:cs="Arial"/>
          <w:color w:val="000000"/>
          <w:sz w:val="20"/>
        </w:rPr>
        <w:t xml:space="preserve"> období (ve formátu dvou samostatných dokumentů, jednom obsahujícím pouze komoditní kategorie, položky a odebrané množství, a druhém obsahující samotný výpočet obchodního zvýhodnění</w:t>
      </w:r>
      <w:r w:rsidR="00B17375" w:rsidRPr="00B074FF">
        <w:rPr>
          <w:rFonts w:cs="Arial"/>
          <w:color w:val="000000"/>
          <w:sz w:val="20"/>
        </w:rPr>
        <w:t xml:space="preserve"> a to i se zohledněním případných změn přílohy č. 2 v průběhu </w:t>
      </w:r>
      <w:r w:rsidR="000D5F26" w:rsidRPr="00B074FF">
        <w:rPr>
          <w:rFonts w:cs="Arial"/>
          <w:color w:val="000000"/>
          <w:sz w:val="20"/>
        </w:rPr>
        <w:t>referenčního období</w:t>
      </w:r>
      <w:r w:rsidRPr="00B074FF">
        <w:rPr>
          <w:rFonts w:cs="Arial"/>
          <w:color w:val="000000"/>
          <w:sz w:val="20"/>
        </w:rPr>
        <w:t xml:space="preserve">) k odsouhlasení a ten je povinen jej do 5 </w:t>
      </w:r>
      <w:r w:rsidR="00544D5C" w:rsidRPr="00B074FF">
        <w:rPr>
          <w:rFonts w:cs="Arial"/>
          <w:color w:val="000000"/>
          <w:sz w:val="20"/>
        </w:rPr>
        <w:t>pracovních</w:t>
      </w:r>
      <w:r w:rsidRPr="00B074FF">
        <w:rPr>
          <w:rFonts w:cs="Arial"/>
          <w:color w:val="000000"/>
          <w:sz w:val="20"/>
        </w:rPr>
        <w:t xml:space="preserve"> dnů odsouhlasit, nebo jej </w:t>
      </w:r>
      <w:r w:rsidR="00B74F68" w:rsidRPr="00B074FF">
        <w:rPr>
          <w:rFonts w:cs="Arial"/>
          <w:color w:val="000000"/>
          <w:sz w:val="20"/>
        </w:rPr>
        <w:t xml:space="preserve">odběrateli </w:t>
      </w:r>
      <w:r w:rsidRPr="00B074FF">
        <w:rPr>
          <w:rFonts w:cs="Arial"/>
          <w:color w:val="000000"/>
          <w:sz w:val="20"/>
        </w:rPr>
        <w:t>vrátit k přepracování. V případě, že kontakt</w:t>
      </w:r>
      <w:r w:rsidR="00D0396A" w:rsidRPr="00B074FF">
        <w:rPr>
          <w:rFonts w:cs="Arial"/>
          <w:color w:val="000000"/>
          <w:sz w:val="20"/>
        </w:rPr>
        <w:t>ní osoba</w:t>
      </w:r>
      <w:r w:rsidRPr="00B074FF">
        <w:rPr>
          <w:rFonts w:cs="Arial"/>
          <w:color w:val="000000"/>
          <w:sz w:val="20"/>
        </w:rPr>
        <w:t xml:space="preserve"> </w:t>
      </w:r>
      <w:r w:rsidR="00B74F68" w:rsidRPr="00B074FF">
        <w:rPr>
          <w:rFonts w:cs="Arial"/>
          <w:color w:val="000000"/>
          <w:sz w:val="20"/>
        </w:rPr>
        <w:t xml:space="preserve">dodavatele </w:t>
      </w:r>
      <w:r w:rsidRPr="00B074FF">
        <w:rPr>
          <w:rFonts w:cs="Arial"/>
          <w:color w:val="000000"/>
          <w:sz w:val="20"/>
        </w:rPr>
        <w:t>kalkulaci odsouhlasí, zavazuje se dodavate</w:t>
      </w:r>
      <w:r w:rsidR="009907FF">
        <w:rPr>
          <w:rFonts w:cs="Arial"/>
          <w:color w:val="000000"/>
          <w:sz w:val="20"/>
        </w:rPr>
        <w:t>l postupovat v souladu s čl. II</w:t>
      </w:r>
      <w:r w:rsidRPr="00B074FF">
        <w:rPr>
          <w:rFonts w:cs="Arial"/>
          <w:color w:val="000000"/>
          <w:sz w:val="20"/>
        </w:rPr>
        <w:t xml:space="preserve"> odst. </w:t>
      </w:r>
      <w:r w:rsidR="003810E1" w:rsidRPr="00B074FF">
        <w:rPr>
          <w:rFonts w:cs="Arial"/>
          <w:color w:val="000000"/>
          <w:sz w:val="20"/>
        </w:rPr>
        <w:t>4</w:t>
      </w:r>
      <w:r w:rsidRPr="00B074FF">
        <w:rPr>
          <w:rFonts w:cs="Arial"/>
          <w:color w:val="000000"/>
          <w:sz w:val="20"/>
        </w:rPr>
        <w:t xml:space="preserve"> </w:t>
      </w:r>
      <w:r w:rsidR="00F56325" w:rsidRPr="00B074FF">
        <w:rPr>
          <w:rFonts w:cs="Arial"/>
          <w:color w:val="000000"/>
          <w:sz w:val="20"/>
        </w:rPr>
        <w:t>této smlouvy</w:t>
      </w:r>
      <w:r w:rsidR="003810E1" w:rsidRPr="00B074FF">
        <w:rPr>
          <w:rFonts w:cs="Arial"/>
          <w:color w:val="000000"/>
          <w:sz w:val="20"/>
        </w:rPr>
        <w:t xml:space="preserve"> a vystaví</w:t>
      </w:r>
      <w:r w:rsidRPr="00B074FF">
        <w:rPr>
          <w:rFonts w:cs="Arial"/>
          <w:color w:val="000000"/>
          <w:sz w:val="20"/>
        </w:rPr>
        <w:t xml:space="preserve"> příslušný opravný daňový doklad. V opačném případě je povinen </w:t>
      </w:r>
      <w:r w:rsidR="003A23F8" w:rsidRPr="00B074FF">
        <w:rPr>
          <w:rFonts w:cs="Arial"/>
          <w:color w:val="000000"/>
          <w:sz w:val="20"/>
        </w:rPr>
        <w:t xml:space="preserve">odběratel </w:t>
      </w:r>
      <w:r w:rsidRPr="00B074FF">
        <w:rPr>
          <w:rFonts w:cs="Arial"/>
          <w:color w:val="000000"/>
          <w:sz w:val="20"/>
        </w:rPr>
        <w:t>kalkulaci do 10 dnů od vrácení pře</w:t>
      </w:r>
      <w:r w:rsidR="003810E1" w:rsidRPr="00B074FF">
        <w:rPr>
          <w:rFonts w:cs="Arial"/>
          <w:color w:val="000000"/>
          <w:sz w:val="20"/>
        </w:rPr>
        <w:t>pracovat dle připomínek</w:t>
      </w:r>
      <w:r w:rsidRPr="00B074FF">
        <w:rPr>
          <w:rFonts w:cs="Arial"/>
          <w:color w:val="000000"/>
          <w:sz w:val="20"/>
        </w:rPr>
        <w:t xml:space="preserve"> </w:t>
      </w:r>
      <w:r w:rsidR="003A23F8" w:rsidRPr="00B074FF">
        <w:rPr>
          <w:rFonts w:cs="Arial"/>
          <w:color w:val="000000"/>
          <w:sz w:val="20"/>
        </w:rPr>
        <w:t xml:space="preserve">dodavatele </w:t>
      </w:r>
      <w:r w:rsidRPr="00B074FF">
        <w:rPr>
          <w:rFonts w:cs="Arial"/>
          <w:color w:val="000000"/>
          <w:sz w:val="20"/>
        </w:rPr>
        <w:t>a opětovně zaslat přepracovaný návrh</w:t>
      </w:r>
      <w:r w:rsidRPr="00B452E3">
        <w:rPr>
          <w:rFonts w:cs="Arial"/>
          <w:color w:val="000000"/>
          <w:sz w:val="20"/>
        </w:rPr>
        <w:t xml:space="preserve"> kontakt</w:t>
      </w:r>
      <w:r w:rsidR="00A93E5F" w:rsidRPr="00B452E3">
        <w:rPr>
          <w:rFonts w:cs="Arial"/>
          <w:color w:val="000000"/>
          <w:sz w:val="20"/>
        </w:rPr>
        <w:t>ní osobě</w:t>
      </w:r>
      <w:r w:rsidRPr="00B452E3">
        <w:rPr>
          <w:rFonts w:cs="Arial"/>
          <w:color w:val="000000"/>
          <w:sz w:val="20"/>
        </w:rPr>
        <w:t xml:space="preserve"> </w:t>
      </w:r>
      <w:r w:rsidR="003A23F8">
        <w:rPr>
          <w:rFonts w:cs="Arial"/>
          <w:color w:val="000000"/>
          <w:sz w:val="20"/>
        </w:rPr>
        <w:t>dodava</w:t>
      </w:r>
      <w:r w:rsidR="003A23F8" w:rsidRPr="00B452E3">
        <w:rPr>
          <w:rFonts w:cs="Arial"/>
          <w:color w:val="000000"/>
          <w:sz w:val="20"/>
        </w:rPr>
        <w:t xml:space="preserve">tele </w:t>
      </w:r>
      <w:r w:rsidRPr="00B452E3">
        <w:rPr>
          <w:rFonts w:cs="Arial"/>
          <w:color w:val="000000"/>
          <w:sz w:val="20"/>
        </w:rPr>
        <w:t>k odsouhlasení postupem uvedeným výše</w:t>
      </w:r>
      <w:r w:rsidRPr="00B452E3">
        <w:rPr>
          <w:rFonts w:cs="Arial"/>
          <w:b/>
          <w:color w:val="000000"/>
          <w:sz w:val="20"/>
        </w:rPr>
        <w:t>.</w:t>
      </w:r>
      <w:r w:rsidRPr="00B452E3">
        <w:rPr>
          <w:rFonts w:cs="Arial"/>
          <w:color w:val="000000"/>
          <w:sz w:val="20"/>
        </w:rPr>
        <w:t xml:space="preserve"> </w:t>
      </w:r>
    </w:p>
    <w:p w14:paraId="563E8B15" w14:textId="77777777" w:rsidR="00653726" w:rsidRPr="00B452E3" w:rsidRDefault="00653726" w:rsidP="007D37B4">
      <w:pPr>
        <w:spacing w:before="240"/>
        <w:jc w:val="center"/>
        <w:rPr>
          <w:rFonts w:cs="Arial"/>
          <w:b/>
          <w:sz w:val="20"/>
        </w:rPr>
      </w:pPr>
      <w:r w:rsidRPr="00B452E3">
        <w:rPr>
          <w:rFonts w:cs="Arial"/>
          <w:b/>
          <w:sz w:val="20"/>
        </w:rPr>
        <w:t>III.</w:t>
      </w:r>
    </w:p>
    <w:p w14:paraId="386A8B48" w14:textId="77777777" w:rsidR="00653726" w:rsidRPr="00B452E3" w:rsidRDefault="003146E2" w:rsidP="00653726">
      <w:pPr>
        <w:autoSpaceDE w:val="0"/>
        <w:autoSpaceDN w:val="0"/>
        <w:adjustRightInd w:val="0"/>
        <w:jc w:val="center"/>
        <w:rPr>
          <w:rFonts w:cs="Arial"/>
          <w:b/>
          <w:sz w:val="20"/>
        </w:rPr>
      </w:pPr>
      <w:r w:rsidRPr="00B452E3">
        <w:rPr>
          <w:rFonts w:cs="Arial"/>
          <w:b/>
          <w:sz w:val="20"/>
        </w:rPr>
        <w:t>Trvání smlouvy</w:t>
      </w:r>
    </w:p>
    <w:p w14:paraId="6A6E1D26" w14:textId="551AB29A" w:rsidR="003B79A7" w:rsidRPr="00B452E3" w:rsidRDefault="003B79A7" w:rsidP="007D37B4">
      <w:pPr>
        <w:keepNext w:val="0"/>
        <w:keepLines w:val="0"/>
        <w:numPr>
          <w:ilvl w:val="0"/>
          <w:numId w:val="15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 xml:space="preserve">Tato smlouva nabývá platnosti </w:t>
      </w:r>
      <w:r w:rsidR="002568AA" w:rsidRPr="00B452E3">
        <w:rPr>
          <w:rFonts w:cs="Arial"/>
          <w:sz w:val="20"/>
        </w:rPr>
        <w:t xml:space="preserve">dnem jejího uzavření </w:t>
      </w:r>
      <w:r w:rsidRPr="00B452E3">
        <w:rPr>
          <w:rFonts w:cs="Arial"/>
          <w:sz w:val="20"/>
        </w:rPr>
        <w:t xml:space="preserve">a účinnosti dnem jejího </w:t>
      </w:r>
      <w:r w:rsidR="002568AA" w:rsidRPr="00B452E3">
        <w:rPr>
          <w:rFonts w:cs="Arial"/>
          <w:sz w:val="20"/>
        </w:rPr>
        <w:t>uveřejnění v registru smluv</w:t>
      </w:r>
      <w:r w:rsidRPr="00B452E3">
        <w:rPr>
          <w:rFonts w:cs="Arial"/>
          <w:sz w:val="20"/>
        </w:rPr>
        <w:t>.</w:t>
      </w:r>
      <w:r w:rsidR="00E3362D" w:rsidRPr="00E3362D">
        <w:rPr>
          <w:rFonts w:cs="Arial"/>
          <w:sz w:val="20"/>
        </w:rPr>
        <w:t xml:space="preserve"> Smluvní strany vzájemně potvrzují, že ujednání této smlouvy se použijí i na právní poměry vzniklé mezi smluvními stranami dle této smlouvy od 1. 1. 202</w:t>
      </w:r>
      <w:r w:rsidR="0007656F">
        <w:rPr>
          <w:rFonts w:cs="Arial"/>
          <w:sz w:val="20"/>
        </w:rPr>
        <w:t>3</w:t>
      </w:r>
      <w:r w:rsidR="00E3362D" w:rsidRPr="00E3362D">
        <w:rPr>
          <w:rFonts w:cs="Arial"/>
          <w:sz w:val="20"/>
        </w:rPr>
        <w:t xml:space="preserve"> do okamžiku nabytí účinnosti této smlouvy dle registru smluv</w:t>
      </w:r>
      <w:r w:rsidR="00E3362D">
        <w:rPr>
          <w:rFonts w:cs="Arial"/>
          <w:sz w:val="20"/>
        </w:rPr>
        <w:t>.</w:t>
      </w:r>
    </w:p>
    <w:p w14:paraId="1D612C66" w14:textId="7C42A15F" w:rsidR="00653726" w:rsidRPr="00B452E3" w:rsidRDefault="00653726" w:rsidP="007D37B4">
      <w:pPr>
        <w:keepNext w:val="0"/>
        <w:keepLines w:val="0"/>
        <w:numPr>
          <w:ilvl w:val="0"/>
          <w:numId w:val="15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 xml:space="preserve">Tato smlouva se uzavírá na dobu </w:t>
      </w:r>
      <w:r w:rsidR="0039029E" w:rsidRPr="00B452E3">
        <w:rPr>
          <w:rFonts w:cs="Arial"/>
          <w:sz w:val="20"/>
        </w:rPr>
        <w:t>určitou</w:t>
      </w:r>
      <w:r w:rsidR="00717BC8" w:rsidRPr="00B452E3">
        <w:rPr>
          <w:rFonts w:cs="Arial"/>
          <w:sz w:val="20"/>
        </w:rPr>
        <w:t>, a to do 31.</w:t>
      </w:r>
      <w:r w:rsidR="00B074FF">
        <w:rPr>
          <w:rFonts w:cs="Arial"/>
          <w:sz w:val="20"/>
        </w:rPr>
        <w:t xml:space="preserve"> </w:t>
      </w:r>
      <w:r w:rsidR="00717BC8" w:rsidRPr="00B452E3">
        <w:rPr>
          <w:rFonts w:cs="Arial"/>
          <w:sz w:val="20"/>
        </w:rPr>
        <w:t>12.</w:t>
      </w:r>
      <w:r w:rsidR="00B074FF">
        <w:rPr>
          <w:rFonts w:cs="Arial"/>
          <w:sz w:val="20"/>
        </w:rPr>
        <w:t xml:space="preserve"> </w:t>
      </w:r>
      <w:r w:rsidR="00717BC8" w:rsidRPr="00B452E3">
        <w:rPr>
          <w:rFonts w:cs="Arial"/>
          <w:sz w:val="20"/>
        </w:rPr>
        <w:t>20</w:t>
      </w:r>
      <w:r w:rsidR="000C2C96">
        <w:rPr>
          <w:rFonts w:cs="Arial"/>
          <w:sz w:val="20"/>
        </w:rPr>
        <w:t>2</w:t>
      </w:r>
      <w:r w:rsidR="0007656F">
        <w:rPr>
          <w:rFonts w:cs="Arial"/>
          <w:sz w:val="20"/>
        </w:rPr>
        <w:t>3</w:t>
      </w:r>
      <w:r w:rsidRPr="00B452E3">
        <w:rPr>
          <w:rFonts w:cs="Arial"/>
          <w:sz w:val="20"/>
        </w:rPr>
        <w:t xml:space="preserve">. </w:t>
      </w:r>
    </w:p>
    <w:p w14:paraId="33F1069E" w14:textId="77777777" w:rsidR="00F56325" w:rsidRPr="00B452E3" w:rsidRDefault="00653726" w:rsidP="007D37B4">
      <w:pPr>
        <w:keepNext w:val="0"/>
        <w:keepLines w:val="0"/>
        <w:numPr>
          <w:ilvl w:val="0"/>
          <w:numId w:val="15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Tuto smlouvu lze ukončit písemnou výpovědí kterékoli smluvní strany</w:t>
      </w:r>
      <w:r w:rsidR="00B259C7" w:rsidRPr="00B452E3">
        <w:rPr>
          <w:rFonts w:cs="Arial"/>
          <w:sz w:val="20"/>
        </w:rPr>
        <w:t xml:space="preserve"> a to bez uvedení důvodu. Výpovědní </w:t>
      </w:r>
      <w:r w:rsidR="00A93E5F" w:rsidRPr="00B452E3">
        <w:rPr>
          <w:rFonts w:cs="Arial"/>
          <w:sz w:val="20"/>
        </w:rPr>
        <w:t>doba</w:t>
      </w:r>
      <w:r w:rsidR="00B259C7" w:rsidRPr="00B452E3">
        <w:rPr>
          <w:rFonts w:cs="Arial"/>
          <w:sz w:val="20"/>
        </w:rPr>
        <w:t xml:space="preserve"> končí vždy poslední den příslušného kalendářního čtvrtletí, ve kterém byl</w:t>
      </w:r>
      <w:r w:rsidR="00F56325" w:rsidRPr="00B452E3">
        <w:rPr>
          <w:rFonts w:cs="Arial"/>
          <w:sz w:val="20"/>
        </w:rPr>
        <w:t>a tato doručena druhé smluvní straně</w:t>
      </w:r>
      <w:r w:rsidRPr="00B452E3">
        <w:rPr>
          <w:rFonts w:cs="Arial"/>
          <w:sz w:val="20"/>
        </w:rPr>
        <w:t>.</w:t>
      </w:r>
      <w:r w:rsidR="00F56325" w:rsidRPr="00B452E3">
        <w:rPr>
          <w:rFonts w:cs="Arial"/>
          <w:sz w:val="20"/>
        </w:rPr>
        <w:t xml:space="preserve"> </w:t>
      </w:r>
    </w:p>
    <w:p w14:paraId="4097B2C4" w14:textId="77777777" w:rsidR="00AB21BB" w:rsidRPr="00B452E3" w:rsidRDefault="00653726" w:rsidP="007D37B4">
      <w:pPr>
        <w:keepNext w:val="0"/>
        <w:keepLines w:val="0"/>
        <w:numPr>
          <w:ilvl w:val="0"/>
          <w:numId w:val="15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Tuto smlouvu lze ukončit též písemnou dohodou smluvních stran.</w:t>
      </w:r>
    </w:p>
    <w:p w14:paraId="16B1DB1A" w14:textId="2A8C6B00" w:rsidR="002C3605" w:rsidRPr="009907FF" w:rsidRDefault="00C94EDA" w:rsidP="007D37B4">
      <w:pPr>
        <w:keepNext w:val="0"/>
        <w:keepLines w:val="0"/>
        <w:numPr>
          <w:ilvl w:val="0"/>
          <w:numId w:val="15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Smluvní strany se dohodly, že porušení jakékoliv</w:t>
      </w:r>
      <w:r w:rsidR="001C6DE8" w:rsidRPr="00B452E3">
        <w:rPr>
          <w:rFonts w:cs="Arial"/>
          <w:sz w:val="20"/>
        </w:rPr>
        <w:t xml:space="preserve"> povinnost</w:t>
      </w:r>
      <w:r w:rsidRPr="00B452E3">
        <w:rPr>
          <w:rFonts w:cs="Arial"/>
          <w:sz w:val="20"/>
        </w:rPr>
        <w:t>i</w:t>
      </w:r>
      <w:r w:rsidR="001C6DE8" w:rsidRPr="00B452E3">
        <w:rPr>
          <w:rFonts w:cs="Arial"/>
          <w:sz w:val="20"/>
        </w:rPr>
        <w:t xml:space="preserve"> uveden</w:t>
      </w:r>
      <w:r w:rsidR="009907FF">
        <w:rPr>
          <w:rFonts w:cs="Arial"/>
          <w:sz w:val="20"/>
        </w:rPr>
        <w:t>é</w:t>
      </w:r>
      <w:r w:rsidR="001C6DE8" w:rsidRPr="00B452E3">
        <w:rPr>
          <w:rFonts w:cs="Arial"/>
          <w:sz w:val="20"/>
        </w:rPr>
        <w:t xml:space="preserve"> v </w:t>
      </w:r>
      <w:r w:rsidR="00AB21BB" w:rsidRPr="00B452E3">
        <w:rPr>
          <w:rFonts w:cs="Arial"/>
          <w:sz w:val="20"/>
        </w:rPr>
        <w:t xml:space="preserve">článku IV odst. </w:t>
      </w:r>
      <w:r w:rsidR="001C6DE8" w:rsidRPr="00B452E3">
        <w:rPr>
          <w:rFonts w:cs="Arial"/>
          <w:sz w:val="20"/>
        </w:rPr>
        <w:t>4, 5</w:t>
      </w:r>
      <w:r w:rsidR="00022968" w:rsidRPr="00B452E3">
        <w:rPr>
          <w:rFonts w:cs="Arial"/>
          <w:sz w:val="20"/>
        </w:rPr>
        <w:t>, 6</w:t>
      </w:r>
      <w:r w:rsidR="0077407E" w:rsidRPr="00B452E3">
        <w:rPr>
          <w:rFonts w:cs="Arial"/>
          <w:sz w:val="20"/>
        </w:rPr>
        <w:t>, 7</w:t>
      </w:r>
      <w:r w:rsidR="001C6DE8" w:rsidRPr="00B452E3">
        <w:rPr>
          <w:rFonts w:cs="Arial"/>
          <w:sz w:val="20"/>
        </w:rPr>
        <w:t xml:space="preserve"> nebo </w:t>
      </w:r>
      <w:r w:rsidR="0077407E" w:rsidRPr="00B452E3">
        <w:rPr>
          <w:rFonts w:cs="Arial"/>
          <w:sz w:val="20"/>
        </w:rPr>
        <w:t>8</w:t>
      </w:r>
      <w:r w:rsidR="001C6DE8" w:rsidRPr="00B452E3">
        <w:rPr>
          <w:rFonts w:cs="Arial"/>
          <w:sz w:val="20"/>
        </w:rPr>
        <w:t xml:space="preserve"> této smlouvy</w:t>
      </w:r>
      <w:r w:rsidRPr="00B452E3">
        <w:rPr>
          <w:rFonts w:cs="Arial"/>
          <w:sz w:val="20"/>
        </w:rPr>
        <w:t xml:space="preserve"> představuje podstatné porušení této smlouvy</w:t>
      </w:r>
      <w:r w:rsidR="001C6DE8" w:rsidRPr="00B452E3">
        <w:rPr>
          <w:rFonts w:cs="Arial"/>
          <w:sz w:val="20"/>
        </w:rPr>
        <w:t>,</w:t>
      </w:r>
      <w:r w:rsidRPr="00B452E3">
        <w:rPr>
          <w:rFonts w:cs="Arial"/>
          <w:sz w:val="20"/>
        </w:rPr>
        <w:t xml:space="preserve"> pro které </w:t>
      </w:r>
      <w:r w:rsidR="001C6DE8" w:rsidRPr="00B452E3">
        <w:rPr>
          <w:rFonts w:cs="Arial"/>
          <w:sz w:val="20"/>
        </w:rPr>
        <w:t>může dodavatel od této smlouvy odstoupit</w:t>
      </w:r>
      <w:r w:rsidRPr="00B452E3">
        <w:rPr>
          <w:rFonts w:cs="Arial"/>
          <w:sz w:val="20"/>
        </w:rPr>
        <w:t xml:space="preserve"> a domáhat se jakékoliv nápravy</w:t>
      </w:r>
      <w:r w:rsidR="001C6DE8" w:rsidRPr="00B452E3">
        <w:rPr>
          <w:rFonts w:cs="Arial"/>
          <w:sz w:val="20"/>
        </w:rPr>
        <w:t>.</w:t>
      </w:r>
      <w:r w:rsidR="00653726" w:rsidRPr="00B452E3">
        <w:rPr>
          <w:rFonts w:cs="Arial"/>
          <w:sz w:val="20"/>
        </w:rPr>
        <w:t xml:space="preserve"> </w:t>
      </w:r>
    </w:p>
    <w:p w14:paraId="402F3C60" w14:textId="77777777" w:rsidR="00C87B52" w:rsidRPr="00B452E3" w:rsidRDefault="00B259C7" w:rsidP="007D37B4">
      <w:pPr>
        <w:spacing w:before="240"/>
        <w:jc w:val="center"/>
        <w:rPr>
          <w:rFonts w:cs="Arial"/>
          <w:b/>
          <w:sz w:val="20"/>
        </w:rPr>
      </w:pPr>
      <w:r w:rsidRPr="00B452E3">
        <w:rPr>
          <w:rFonts w:cs="Arial"/>
          <w:b/>
          <w:sz w:val="20"/>
        </w:rPr>
        <w:t>IV</w:t>
      </w:r>
      <w:r w:rsidR="00C87B52" w:rsidRPr="00B452E3">
        <w:rPr>
          <w:rFonts w:cs="Arial"/>
          <w:b/>
          <w:sz w:val="20"/>
        </w:rPr>
        <w:t>.</w:t>
      </w:r>
    </w:p>
    <w:p w14:paraId="6F2C1719" w14:textId="77777777" w:rsidR="00F234C4" w:rsidRPr="00B452E3" w:rsidRDefault="00C87B52" w:rsidP="00C87B52">
      <w:pPr>
        <w:autoSpaceDE w:val="0"/>
        <w:autoSpaceDN w:val="0"/>
        <w:adjustRightInd w:val="0"/>
        <w:jc w:val="center"/>
        <w:rPr>
          <w:rFonts w:cs="Arial"/>
          <w:b/>
          <w:sz w:val="20"/>
        </w:rPr>
      </w:pPr>
      <w:r w:rsidRPr="00B452E3">
        <w:rPr>
          <w:rFonts w:cs="Arial"/>
          <w:b/>
          <w:sz w:val="20"/>
        </w:rPr>
        <w:t>Závěrečná ustanovení</w:t>
      </w:r>
    </w:p>
    <w:p w14:paraId="097F0D53" w14:textId="77777777" w:rsidR="005709BC" w:rsidRPr="00B452E3" w:rsidRDefault="00D235EB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bookmarkStart w:id="3" w:name="_Hlk128392955"/>
      <w:r w:rsidRPr="00B452E3">
        <w:rPr>
          <w:rFonts w:cs="Arial"/>
          <w:sz w:val="20"/>
        </w:rPr>
        <w:t xml:space="preserve">Odběrateli </w:t>
      </w:r>
      <w:r w:rsidR="00607830" w:rsidRPr="00B452E3">
        <w:rPr>
          <w:rFonts w:cs="Arial"/>
          <w:sz w:val="20"/>
        </w:rPr>
        <w:t>uzavřením</w:t>
      </w:r>
      <w:r w:rsidRPr="00B452E3">
        <w:rPr>
          <w:rFonts w:cs="Arial"/>
          <w:sz w:val="20"/>
        </w:rPr>
        <w:t xml:space="preserve"> </w:t>
      </w:r>
      <w:r w:rsidR="00F56325" w:rsidRPr="00B452E3">
        <w:rPr>
          <w:rFonts w:cs="Arial"/>
          <w:sz w:val="20"/>
        </w:rPr>
        <w:t>této smlouvy</w:t>
      </w:r>
      <w:r w:rsidR="00704898" w:rsidRPr="00B452E3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>nevzniká povinnost odebrat od dodavatele jakékoliv zboží</w:t>
      </w:r>
      <w:r w:rsidR="00607830" w:rsidRPr="00B452E3">
        <w:rPr>
          <w:rFonts w:cs="Arial"/>
          <w:sz w:val="20"/>
        </w:rPr>
        <w:t>, službu nebo jakékoliv jiné plnění</w:t>
      </w:r>
      <w:r w:rsidR="005709BC" w:rsidRPr="00B452E3">
        <w:rPr>
          <w:rFonts w:cs="Arial"/>
          <w:sz w:val="20"/>
        </w:rPr>
        <w:t xml:space="preserve"> a nadále disponuje absolutní volností co do výběru smluvních partnerů či odběru zboží.</w:t>
      </w:r>
      <w:r w:rsidRPr="00B452E3">
        <w:rPr>
          <w:rFonts w:cs="Arial"/>
          <w:sz w:val="20"/>
        </w:rPr>
        <w:t xml:space="preserve"> </w:t>
      </w:r>
      <w:r w:rsidR="009E65C2" w:rsidRPr="00B452E3">
        <w:rPr>
          <w:rFonts w:cs="Arial"/>
          <w:sz w:val="20"/>
        </w:rPr>
        <w:t xml:space="preserve">Smlouva nezavazuje odběratele k předepisování, nákupu, užívání, doporučování nebo zajištění užívání jakéhokoli výrobku dodavatele nebo </w:t>
      </w:r>
      <w:r w:rsidR="00A93E5F" w:rsidRPr="00B452E3">
        <w:rPr>
          <w:rFonts w:cs="Arial"/>
          <w:sz w:val="20"/>
        </w:rPr>
        <w:t>s ním</w:t>
      </w:r>
      <w:r w:rsidR="009E65C2" w:rsidRPr="00B452E3">
        <w:rPr>
          <w:rFonts w:cs="Arial"/>
          <w:sz w:val="20"/>
        </w:rPr>
        <w:t xml:space="preserve"> spřízněných nebo k němu přidružených osob</w:t>
      </w:r>
      <w:r w:rsidR="000977A4" w:rsidRPr="00B452E3">
        <w:rPr>
          <w:rFonts w:cs="Arial"/>
          <w:sz w:val="20"/>
        </w:rPr>
        <w:t xml:space="preserve"> a jejím účelem není poskytnutí </w:t>
      </w:r>
      <w:r w:rsidR="000977A4" w:rsidRPr="00B452E3">
        <w:rPr>
          <w:rFonts w:cs="Arial"/>
          <w:bCs/>
          <w:sz w:val="20"/>
        </w:rPr>
        <w:t xml:space="preserve">jakékoliv výhody osobě, která je angažována u </w:t>
      </w:r>
      <w:r w:rsidR="000977A4" w:rsidRPr="00B452E3">
        <w:rPr>
          <w:rFonts w:cs="Arial"/>
          <w:sz w:val="20"/>
        </w:rPr>
        <w:t xml:space="preserve">odběratele </w:t>
      </w:r>
      <w:r w:rsidR="000977A4" w:rsidRPr="00B452E3">
        <w:rPr>
          <w:rFonts w:cs="Arial"/>
          <w:bCs/>
          <w:sz w:val="20"/>
        </w:rPr>
        <w:t>a může předepisovat, podávat, vydávat, dodávat či nakupovat jakékoliv léčivé přípravky, nebo o jejich nákupech rozhodovat</w:t>
      </w:r>
      <w:r w:rsidR="009E65C2" w:rsidRPr="00B452E3">
        <w:rPr>
          <w:rFonts w:cs="Arial"/>
          <w:sz w:val="20"/>
        </w:rPr>
        <w:t>.</w:t>
      </w:r>
    </w:p>
    <w:p w14:paraId="6A2EEAB6" w14:textId="2335BB24" w:rsidR="00A52B74" w:rsidRPr="00B074FF" w:rsidRDefault="00A52B74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Smluvní strany</w:t>
      </w:r>
      <w:r w:rsidR="005709BC" w:rsidRPr="00B452E3">
        <w:rPr>
          <w:rFonts w:cs="Arial"/>
          <w:sz w:val="20"/>
        </w:rPr>
        <w:t xml:space="preserve"> prohlašují, že poskytnutí obchodního zvýhodnění není pobídkou či návodem </w:t>
      </w:r>
      <w:r w:rsidR="009907FF">
        <w:rPr>
          <w:rFonts w:cs="Arial"/>
          <w:sz w:val="20"/>
        </w:rPr>
        <w:br/>
      </w:r>
      <w:r w:rsidR="005709BC" w:rsidRPr="00B452E3">
        <w:rPr>
          <w:rFonts w:cs="Arial"/>
          <w:sz w:val="20"/>
        </w:rPr>
        <w:t>na neoprávněné či nehospodárné čerpání prostředků z veřejného zdravotního pojištění a zároveň prohlašují, že jim nejsou známy žádné skutečnosti, které by bránily poskytnutí obchodního zvýhodnění.</w:t>
      </w:r>
      <w:r w:rsidR="009E65C2" w:rsidRPr="00B452E3">
        <w:rPr>
          <w:rFonts w:cs="Arial"/>
          <w:sz w:val="20"/>
        </w:rPr>
        <w:t xml:space="preserve"> </w:t>
      </w:r>
      <w:r w:rsidR="003810E1" w:rsidRPr="00B452E3">
        <w:rPr>
          <w:rFonts w:cs="Arial"/>
          <w:sz w:val="20"/>
        </w:rPr>
        <w:t xml:space="preserve">Strany jsou si vědomy, že při plnění této smlouvy musí být respektována ustanovení </w:t>
      </w:r>
      <w:r w:rsidR="003810E1" w:rsidRPr="00B074FF">
        <w:rPr>
          <w:rFonts w:cs="Arial"/>
          <w:sz w:val="20"/>
        </w:rPr>
        <w:lastRenderedPageBreak/>
        <w:t>z. č. 143/2001 Sb., o ochraně hospodářské soutěže, v platném znění pozdějších předpisů a Smlouvy o fungování Evropské Unie</w:t>
      </w:r>
      <w:r w:rsidR="002568AA" w:rsidRPr="00B074FF">
        <w:rPr>
          <w:rFonts w:cs="Arial"/>
          <w:sz w:val="20"/>
        </w:rPr>
        <w:t>.</w:t>
      </w:r>
      <w:r w:rsidR="00E24771" w:rsidRPr="00B074FF">
        <w:rPr>
          <w:rFonts w:cs="Arial"/>
          <w:sz w:val="20"/>
        </w:rPr>
        <w:t xml:space="preserve"> </w:t>
      </w:r>
    </w:p>
    <w:p w14:paraId="24EF45D9" w14:textId="3213E731" w:rsidR="003810E1" w:rsidRPr="00B074FF" w:rsidRDefault="00A52B74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074FF">
        <w:rPr>
          <w:rFonts w:cs="Arial"/>
          <w:sz w:val="20"/>
        </w:rPr>
        <w:t xml:space="preserve">Smluvní strany, každá samostatně, se zavazují, že pokud by se objevilo důvodné podezření, </w:t>
      </w:r>
      <w:r w:rsidR="009907FF">
        <w:rPr>
          <w:rFonts w:cs="Arial"/>
          <w:sz w:val="20"/>
        </w:rPr>
        <w:br/>
      </w:r>
      <w:r w:rsidRPr="00B074FF">
        <w:rPr>
          <w:rFonts w:cs="Arial"/>
          <w:sz w:val="20"/>
        </w:rPr>
        <w:t xml:space="preserve">že poskytování obchodního zvýhodnění dle této smlouvy, může vyvolat nebo vyvolává účinky omezení účinné hospodářské soutěže, budou podmínky obchodního zvýhodnění stranami neodkladně revidovány. </w:t>
      </w:r>
      <w:r w:rsidR="00E24771" w:rsidRPr="00B074FF">
        <w:rPr>
          <w:rFonts w:cs="Arial"/>
          <w:sz w:val="20"/>
        </w:rPr>
        <w:t>Dodavatel může v takovém případě vypovědět tuto smlouvu s okamžitým účinkem.</w:t>
      </w:r>
      <w:r w:rsidR="00022968" w:rsidRPr="00B074FF">
        <w:rPr>
          <w:rFonts w:cs="Arial"/>
          <w:sz w:val="20"/>
        </w:rPr>
        <w:t xml:space="preserve"> Odběrateli v této souvislosti nevzniká škoda </w:t>
      </w:r>
      <w:r w:rsidR="00C33E76">
        <w:rPr>
          <w:rFonts w:cs="Arial"/>
          <w:sz w:val="20"/>
        </w:rPr>
        <w:t xml:space="preserve">ani nemajetková újma </w:t>
      </w:r>
      <w:r w:rsidR="00022968" w:rsidRPr="00B074FF">
        <w:rPr>
          <w:rFonts w:cs="Arial"/>
          <w:sz w:val="20"/>
        </w:rPr>
        <w:t>a nemá nárok na její náhradu.</w:t>
      </w:r>
    </w:p>
    <w:p w14:paraId="0A5767BB" w14:textId="6AF87E6F" w:rsidR="00BD3E48" w:rsidRPr="00B452E3" w:rsidRDefault="00CD063F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074FF">
        <w:rPr>
          <w:rFonts w:cs="Arial"/>
          <w:sz w:val="20"/>
        </w:rPr>
        <w:t>Odběratel</w:t>
      </w:r>
      <w:r w:rsidRPr="00B452E3">
        <w:rPr>
          <w:rFonts w:cs="Arial"/>
          <w:sz w:val="20"/>
        </w:rPr>
        <w:t xml:space="preserve"> se zavazuje při vykazování zboží od </w:t>
      </w:r>
      <w:r w:rsidR="000977A4" w:rsidRPr="00B452E3">
        <w:rPr>
          <w:rFonts w:cs="Arial"/>
          <w:sz w:val="20"/>
        </w:rPr>
        <w:t>d</w:t>
      </w:r>
      <w:r w:rsidRPr="00B452E3">
        <w:rPr>
          <w:rFonts w:cs="Arial"/>
          <w:sz w:val="20"/>
        </w:rPr>
        <w:t xml:space="preserve">odavatele </w:t>
      </w:r>
      <w:r w:rsidR="0095734E" w:rsidRPr="00B452E3">
        <w:rPr>
          <w:rFonts w:cs="Arial"/>
          <w:sz w:val="20"/>
        </w:rPr>
        <w:t xml:space="preserve">k úhradě z prostředků veřejného zdravotního pojištění </w:t>
      </w:r>
      <w:r w:rsidRPr="00B452E3">
        <w:rPr>
          <w:rFonts w:cs="Arial"/>
          <w:sz w:val="20"/>
        </w:rPr>
        <w:t xml:space="preserve">postupovat vždy v souladu se všemi právními předpisy, zejména zákonem </w:t>
      </w:r>
      <w:r w:rsidR="009907FF">
        <w:rPr>
          <w:rFonts w:cs="Arial"/>
          <w:sz w:val="20"/>
        </w:rPr>
        <w:br/>
      </w:r>
      <w:r w:rsidRPr="00B452E3">
        <w:rPr>
          <w:rFonts w:cs="Arial"/>
          <w:sz w:val="20"/>
        </w:rPr>
        <w:t>o veřejném zdravotním pojištění, jakož i interními předpisy vydanými s nimi v souladu.</w:t>
      </w:r>
      <w:r w:rsidR="00785A89" w:rsidRPr="00785A89">
        <w:rPr>
          <w:rFonts w:cs="Arial"/>
          <w:sz w:val="20"/>
        </w:rPr>
        <w:t xml:space="preserve"> </w:t>
      </w:r>
      <w:r w:rsidR="00785A89">
        <w:rPr>
          <w:rFonts w:cs="Arial"/>
          <w:sz w:val="20"/>
        </w:rPr>
        <w:t>Odběratel zůstává plně odpovědný za své evidenční a daňové povinnosti vůči veřejným orgánům. Případné závazky odběratele vůči zdravotním pojišťovnám a jejich vypořádání jsou výhradní záležitostí odběratele.</w:t>
      </w:r>
    </w:p>
    <w:p w14:paraId="563338DD" w14:textId="67F19C37" w:rsidR="00BD3E48" w:rsidRPr="009907FF" w:rsidRDefault="007912AE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bCs/>
          <w:sz w:val="20"/>
        </w:rPr>
        <w:t xml:space="preserve">Odběratel nebude v souvislosti s touto smlouvou ovlivňovat osoby uvedené </w:t>
      </w:r>
      <w:r w:rsidR="000977A4" w:rsidRPr="00B452E3">
        <w:rPr>
          <w:rFonts w:cs="Arial"/>
          <w:bCs/>
          <w:sz w:val="20"/>
        </w:rPr>
        <w:t xml:space="preserve">v odstavci 1 tohoto článku </w:t>
      </w:r>
      <w:r w:rsidRPr="00B452E3">
        <w:rPr>
          <w:rFonts w:cs="Arial"/>
          <w:bCs/>
          <w:sz w:val="20"/>
        </w:rPr>
        <w:t>výše při předepisování, podávání, prodeji či výdeji léčivých přípravků</w:t>
      </w:r>
      <w:r w:rsidR="00022968" w:rsidRPr="00B452E3">
        <w:rPr>
          <w:rFonts w:cs="Arial"/>
          <w:bCs/>
          <w:sz w:val="20"/>
        </w:rPr>
        <w:t>, včetně zboží,</w:t>
      </w:r>
      <w:r w:rsidRPr="00B452E3">
        <w:rPr>
          <w:rFonts w:cs="Arial"/>
          <w:bCs/>
          <w:sz w:val="20"/>
        </w:rPr>
        <w:t xml:space="preserve"> nebo jiných výrobků a prostředky vyplacené na obchodní zvýhodnění přímo ani nepřímo nepoužije na odměnu pro jakoukoliv osobu, včetně </w:t>
      </w:r>
      <w:r w:rsidR="000977A4" w:rsidRPr="00B452E3">
        <w:rPr>
          <w:rFonts w:cs="Arial"/>
          <w:bCs/>
          <w:sz w:val="20"/>
        </w:rPr>
        <w:t xml:space="preserve">uvedených </w:t>
      </w:r>
      <w:r w:rsidRPr="00B452E3">
        <w:rPr>
          <w:rFonts w:cs="Arial"/>
          <w:bCs/>
          <w:sz w:val="20"/>
        </w:rPr>
        <w:t>osob</w:t>
      </w:r>
      <w:r w:rsidRPr="00B452E3">
        <w:rPr>
          <w:rFonts w:cs="Arial"/>
          <w:sz w:val="20"/>
        </w:rPr>
        <w:t>.</w:t>
      </w:r>
      <w:r w:rsidR="00BD3E48" w:rsidRPr="009907FF">
        <w:rPr>
          <w:rFonts w:ascii="Calibri" w:hAnsi="Calibri"/>
          <w:color w:val="000000"/>
          <w:szCs w:val="28"/>
          <w:lang w:eastAsia="zh-CN"/>
        </w:rPr>
        <w:t xml:space="preserve"> </w:t>
      </w:r>
    </w:p>
    <w:p w14:paraId="7392D473" w14:textId="3484F5A8" w:rsidR="00C33E76" w:rsidRPr="00C33E76" w:rsidRDefault="007912AE" w:rsidP="00C33E76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bCs/>
          <w:sz w:val="20"/>
        </w:rPr>
        <w:t xml:space="preserve">Odběratel </w:t>
      </w:r>
      <w:r w:rsidR="00BD3E48" w:rsidRPr="00E14E35">
        <w:rPr>
          <w:rFonts w:cs="Arial"/>
          <w:bCs/>
          <w:sz w:val="20"/>
        </w:rPr>
        <w:t xml:space="preserve">je srozuměn s tím, že </w:t>
      </w:r>
      <w:r w:rsidR="000977A4" w:rsidRPr="00B452E3">
        <w:rPr>
          <w:rFonts w:cs="Arial"/>
          <w:bCs/>
          <w:sz w:val="20"/>
        </w:rPr>
        <w:t xml:space="preserve">dodavatel </w:t>
      </w:r>
      <w:r w:rsidR="00BD3E48" w:rsidRPr="00E14E35">
        <w:rPr>
          <w:rFonts w:cs="Arial"/>
          <w:bCs/>
          <w:sz w:val="20"/>
        </w:rPr>
        <w:t>podléhá ustanovením zákona USA o zahraničních korupčních praktikách z roku 1977 (dále jen „</w:t>
      </w:r>
      <w:r w:rsidR="00BD3E48" w:rsidRPr="003550E8">
        <w:rPr>
          <w:rFonts w:cs="Arial"/>
          <w:b/>
          <w:sz w:val="20"/>
        </w:rPr>
        <w:t>FCPA</w:t>
      </w:r>
      <w:r w:rsidR="00BD3E48" w:rsidRPr="00E14E35">
        <w:rPr>
          <w:rFonts w:cs="Arial"/>
          <w:bCs/>
          <w:sz w:val="20"/>
        </w:rPr>
        <w:t xml:space="preserve">“), v platném znění. </w:t>
      </w:r>
      <w:r w:rsidRPr="00B452E3">
        <w:rPr>
          <w:rFonts w:cs="Arial"/>
          <w:sz w:val="20"/>
        </w:rPr>
        <w:t>Odběratel</w:t>
      </w:r>
      <w:r w:rsidR="00BD3E48" w:rsidRPr="00E14E35">
        <w:rPr>
          <w:rFonts w:cs="Arial"/>
          <w:bCs/>
          <w:sz w:val="20"/>
        </w:rPr>
        <w:t xml:space="preserve"> bude dodržovat všechny místní, národní a mezinárodní zákony, předpisy a oborové kodexy týkající se státních zakázek, konfliktu zájmů, korupce nebo úplatkářství, včetně FCPA, kde je to relevantní, a zákony přijaté v rámci realizace Úmluvy Organizace pro hospodářskou spolupráci a rozvoj (OECD) o boji s podplácením veřejných činitelů v mezinárodních podnikatelských transakcích a zdrží se jakéhokoliv jednání, které by v dodržování výše uvedeného bránilo </w:t>
      </w:r>
      <w:r w:rsidR="000977A4" w:rsidRPr="00B452E3">
        <w:rPr>
          <w:rFonts w:cs="Arial"/>
          <w:bCs/>
          <w:sz w:val="20"/>
        </w:rPr>
        <w:t>dodavateli</w:t>
      </w:r>
      <w:r w:rsidR="00BD3E48" w:rsidRPr="00E14E35">
        <w:rPr>
          <w:rFonts w:cs="Arial"/>
          <w:bCs/>
          <w:sz w:val="20"/>
        </w:rPr>
        <w:t>.</w:t>
      </w:r>
      <w:r w:rsidR="00C33E76">
        <w:rPr>
          <w:rFonts w:cs="Arial"/>
          <w:bCs/>
          <w:sz w:val="20"/>
        </w:rPr>
        <w:t xml:space="preserve"> </w:t>
      </w:r>
      <w:r w:rsidR="00C33E76" w:rsidRPr="00C33E76">
        <w:rPr>
          <w:rFonts w:cs="Arial"/>
          <w:bCs/>
          <w:sz w:val="20"/>
        </w:rPr>
        <w:t>Odběratel se rovněž zavazuje dodržovat ustanovení o obchodních sankcích stanovená v Příloze č. 3 této smlouvy.</w:t>
      </w:r>
    </w:p>
    <w:p w14:paraId="164B9478" w14:textId="77777777" w:rsidR="003F3736" w:rsidRPr="00B452E3" w:rsidRDefault="003F3736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E14E35">
        <w:rPr>
          <w:sz w:val="20"/>
        </w:rPr>
        <w:t>Odb</w:t>
      </w:r>
      <w:r w:rsidR="00022968" w:rsidRPr="00E14E35">
        <w:rPr>
          <w:sz w:val="20"/>
        </w:rPr>
        <w:t>ěratel</w:t>
      </w:r>
      <w:r w:rsidRPr="00E14E35">
        <w:rPr>
          <w:sz w:val="20"/>
        </w:rPr>
        <w:t xml:space="preserve"> se zavazuje, že povede přesné a</w:t>
      </w:r>
      <w:r w:rsidR="00022968" w:rsidRPr="00E14E35">
        <w:rPr>
          <w:sz w:val="20"/>
        </w:rPr>
        <w:t xml:space="preserve"> úplné záznamy týkající se plnění dle této smlouvy</w:t>
      </w:r>
      <w:r w:rsidRPr="00E14E35">
        <w:rPr>
          <w:sz w:val="20"/>
        </w:rPr>
        <w:t xml:space="preserve"> po dobu pěti (5) let od jej</w:t>
      </w:r>
      <w:r w:rsidR="00022968" w:rsidRPr="00E14E35">
        <w:rPr>
          <w:sz w:val="20"/>
        </w:rPr>
        <w:t>ich</w:t>
      </w:r>
      <w:r w:rsidRPr="00E14E35">
        <w:rPr>
          <w:sz w:val="20"/>
        </w:rPr>
        <w:t xml:space="preserve"> realizace. </w:t>
      </w:r>
      <w:r w:rsidR="00022968" w:rsidRPr="00E14E35">
        <w:rPr>
          <w:sz w:val="20"/>
        </w:rPr>
        <w:t>Odběratel</w:t>
      </w:r>
      <w:r w:rsidRPr="00E14E35">
        <w:rPr>
          <w:sz w:val="20"/>
        </w:rPr>
        <w:t xml:space="preserve"> se dále zavazuje, že bude provádět odpovídající interní kontroly. </w:t>
      </w:r>
      <w:r w:rsidR="00022968" w:rsidRPr="00E14E35">
        <w:rPr>
          <w:sz w:val="20"/>
        </w:rPr>
        <w:t>Odběratel</w:t>
      </w:r>
      <w:r w:rsidRPr="00E14E35">
        <w:rPr>
          <w:sz w:val="20"/>
        </w:rPr>
        <w:t xml:space="preserve"> se zavazuje, že za účelem prokázání plnění tohoto požadavku dá na žádost </w:t>
      </w:r>
      <w:r w:rsidR="00022968" w:rsidRPr="00E14E35">
        <w:rPr>
          <w:sz w:val="20"/>
        </w:rPr>
        <w:t>dodavatele</w:t>
      </w:r>
      <w:r w:rsidRPr="00E14E35">
        <w:rPr>
          <w:sz w:val="20"/>
        </w:rPr>
        <w:t xml:space="preserve"> příslušné dokumenty k dispozici </w:t>
      </w:r>
      <w:r w:rsidR="00022968" w:rsidRPr="00E14E35">
        <w:rPr>
          <w:sz w:val="20"/>
        </w:rPr>
        <w:t>dodavateli</w:t>
      </w:r>
      <w:r w:rsidRPr="00E14E35">
        <w:rPr>
          <w:sz w:val="20"/>
        </w:rPr>
        <w:t xml:space="preserve"> nebo jí</w:t>
      </w:r>
      <w:r w:rsidR="00022968" w:rsidRPr="00E14E35">
        <w:rPr>
          <w:sz w:val="20"/>
        </w:rPr>
        <w:t>m</w:t>
      </w:r>
      <w:r w:rsidRPr="00E14E35">
        <w:rPr>
          <w:sz w:val="20"/>
        </w:rPr>
        <w:t xml:space="preserve"> určené nezávislé straně k nahlédnutí a kontrole</w:t>
      </w:r>
      <w:r w:rsidR="00022968" w:rsidRPr="00E14E35">
        <w:rPr>
          <w:sz w:val="20"/>
        </w:rPr>
        <w:t>.</w:t>
      </w:r>
    </w:p>
    <w:p w14:paraId="6C8B8101" w14:textId="77777777" w:rsidR="00DE20A0" w:rsidRPr="00B452E3" w:rsidRDefault="00DE20A0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Odběratel potvrzuje, že si není vědom žádné nevhodné výhody, o kterou by jakákoliv strana požádala nebo kterou by získala v souvislosti s touto smlouvou.</w:t>
      </w:r>
    </w:p>
    <w:p w14:paraId="3EE0F328" w14:textId="77777777" w:rsidR="005709BC" w:rsidRPr="00B452E3" w:rsidRDefault="002568AA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 xml:space="preserve">Smluvní strana </w:t>
      </w:r>
      <w:r w:rsidR="005709BC" w:rsidRPr="00B452E3">
        <w:rPr>
          <w:rFonts w:cs="Arial"/>
          <w:sz w:val="20"/>
        </w:rPr>
        <w:t>není oprávněn</w:t>
      </w:r>
      <w:r w:rsidRPr="00B452E3">
        <w:rPr>
          <w:rFonts w:cs="Arial"/>
          <w:sz w:val="20"/>
        </w:rPr>
        <w:t>a</w:t>
      </w:r>
      <w:r w:rsidR="005709BC" w:rsidRPr="00B452E3">
        <w:rPr>
          <w:rFonts w:cs="Arial"/>
          <w:sz w:val="20"/>
        </w:rPr>
        <w:t xml:space="preserve"> postoupit svá práva a povinnosti nebo pohledávky plynoucí z této smlouvy nebo její části třetí osobě bez </w:t>
      </w:r>
      <w:r w:rsidRPr="00B452E3">
        <w:rPr>
          <w:rFonts w:cs="Arial"/>
          <w:sz w:val="20"/>
        </w:rPr>
        <w:t xml:space="preserve">předchozího </w:t>
      </w:r>
      <w:r w:rsidR="005709BC" w:rsidRPr="00B452E3">
        <w:rPr>
          <w:rFonts w:cs="Arial"/>
          <w:sz w:val="20"/>
        </w:rPr>
        <w:t>písemného souhlasu</w:t>
      </w:r>
      <w:r w:rsidR="00CB3894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>druhé smluvní strany</w:t>
      </w:r>
      <w:r w:rsidR="005709BC" w:rsidRPr="00B452E3">
        <w:rPr>
          <w:rFonts w:cs="Arial"/>
          <w:sz w:val="20"/>
        </w:rPr>
        <w:t>.</w:t>
      </w:r>
    </w:p>
    <w:p w14:paraId="56DD1FAB" w14:textId="77777777" w:rsidR="005709BC" w:rsidRPr="00B452E3" w:rsidRDefault="005709BC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Touto smlouvou se ruší veškerá předchozí písemná a ústní ujednání mezi smluvními stranami týkající se předmětu této smlouvy.</w:t>
      </w:r>
      <w:r w:rsidR="00CB3894">
        <w:rPr>
          <w:rFonts w:cs="Arial"/>
          <w:sz w:val="20"/>
        </w:rPr>
        <w:t xml:space="preserve"> </w:t>
      </w:r>
    </w:p>
    <w:p w14:paraId="7C14D0AA" w14:textId="77777777" w:rsidR="00A52B74" w:rsidRPr="00B452E3" w:rsidRDefault="005709BC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eastAsia="Calibri" w:cs="Arial"/>
          <w:sz w:val="20"/>
        </w:rPr>
        <w:t xml:space="preserve">Smluvní strany se dohodly, že pro uzavření této smlouvy užijí výhradně písemnou formu </w:t>
      </w:r>
      <w:r w:rsidR="009907FF">
        <w:rPr>
          <w:rFonts w:eastAsia="Calibri" w:cs="Arial"/>
          <w:sz w:val="20"/>
        </w:rPr>
        <w:br/>
      </w:r>
      <w:r w:rsidRPr="00B452E3">
        <w:rPr>
          <w:rFonts w:eastAsia="Calibri" w:cs="Arial"/>
          <w:sz w:val="20"/>
        </w:rPr>
        <w:t>a že nechtějí být vázány, nebude-li tato forma dodržena. Tato smlouva s</w:t>
      </w:r>
      <w:r w:rsidR="009E65C2" w:rsidRPr="00B452E3">
        <w:rPr>
          <w:rFonts w:eastAsia="Calibri" w:cs="Arial"/>
          <w:sz w:val="20"/>
        </w:rPr>
        <w:t xml:space="preserve">e vyhotovuje </w:t>
      </w:r>
      <w:r w:rsidR="009907FF">
        <w:rPr>
          <w:rFonts w:eastAsia="Calibri" w:cs="Arial"/>
          <w:sz w:val="20"/>
        </w:rPr>
        <w:br/>
      </w:r>
      <w:r w:rsidR="009E65C2" w:rsidRPr="00B452E3">
        <w:rPr>
          <w:rFonts w:eastAsia="Calibri" w:cs="Arial"/>
          <w:sz w:val="20"/>
        </w:rPr>
        <w:t xml:space="preserve">ve 2 stejnopisech, </w:t>
      </w:r>
      <w:r w:rsidRPr="00B452E3">
        <w:rPr>
          <w:rFonts w:eastAsia="Calibri" w:cs="Arial"/>
          <w:sz w:val="20"/>
        </w:rPr>
        <w:t>z nichž každá smluvní strana obdrží jedno vyhotovení</w:t>
      </w:r>
      <w:r w:rsidRPr="00B452E3">
        <w:rPr>
          <w:rFonts w:cs="Arial"/>
          <w:sz w:val="20"/>
        </w:rPr>
        <w:t>.</w:t>
      </w:r>
      <w:r w:rsidR="009907FF" w:rsidRPr="009907FF">
        <w:rPr>
          <w:rFonts w:cs="Arial"/>
          <w:sz w:val="20"/>
        </w:rPr>
        <w:t xml:space="preserve"> To neplatí v případě, je-li tato smlouva podepsána elektronickými podpisy v souladu se zákonem č. 297/2016 Sb., </w:t>
      </w:r>
      <w:r w:rsidR="009907FF">
        <w:rPr>
          <w:rFonts w:cs="Arial"/>
          <w:sz w:val="20"/>
        </w:rPr>
        <w:br/>
      </w:r>
      <w:r w:rsidR="009907FF" w:rsidRPr="009907FF">
        <w:rPr>
          <w:rFonts w:cs="Arial"/>
          <w:sz w:val="20"/>
        </w:rPr>
        <w:t>o službách vytvářejících důvěru pro elektronické transakce, ve znění pozdějších předpisů. V takovém případě má každá smluvní strana k dispozici elektronický originál.</w:t>
      </w:r>
    </w:p>
    <w:p w14:paraId="4595F907" w14:textId="77777777" w:rsidR="00A52B74" w:rsidRPr="00B452E3" w:rsidRDefault="00A52B74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18"/>
        </w:rPr>
      </w:pPr>
      <w:r w:rsidRPr="00B452E3">
        <w:rPr>
          <w:rFonts w:cs="Arial"/>
          <w:sz w:val="20"/>
        </w:rPr>
        <w:t xml:space="preserve">Tato Smlouva obsahuje úplné ujednání o povaze, předmětu a podmínkách spolupráce stran </w:t>
      </w:r>
      <w:r w:rsidR="009907FF">
        <w:rPr>
          <w:rFonts w:cs="Arial"/>
          <w:sz w:val="20"/>
        </w:rPr>
        <w:br/>
      </w:r>
      <w:r w:rsidRPr="00B452E3">
        <w:rPr>
          <w:rFonts w:cs="Arial"/>
          <w:sz w:val="20"/>
        </w:rPr>
        <w:t>a o všech náležitostech, které strany měly a chtěly ujednat, a které považují za důležité. Strany se dohodly, že podstatná změna okolností, za nichž byla jejich spolupráce dohodnuta, nezakládá právo žádné ze stran domáhat se obnovení jednání o podmínkách spolupráce ve smyslu §</w:t>
      </w:r>
      <w:r w:rsidR="001C6DE8" w:rsidRPr="00B452E3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>1765 občanského zákoníku, není-li zde stanoveno jinak.</w:t>
      </w:r>
    </w:p>
    <w:p w14:paraId="257F5158" w14:textId="77777777" w:rsidR="00D26960" w:rsidRPr="00B452E3" w:rsidRDefault="00D26960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>Veškeré informace v ústní nebo písemné podobě, které si mezi sebou smluvní strany navzájem poskytly nebo poskytnou v souvislosti s touto smlouvou, mají charakter důvěrných informací („</w:t>
      </w:r>
      <w:r w:rsidRPr="00B452E3">
        <w:rPr>
          <w:rFonts w:cs="Arial"/>
          <w:b/>
          <w:sz w:val="20"/>
        </w:rPr>
        <w:t>Důvěrné informace</w:t>
      </w:r>
      <w:r w:rsidRPr="00B452E3">
        <w:rPr>
          <w:rFonts w:cs="Arial"/>
          <w:sz w:val="20"/>
        </w:rPr>
        <w:t xml:space="preserve">“). Smluvní strany se zavazují Důvěrné informace chránit před jakýmkoliv jejich neoprávněným zpřístupněním třetím osobám (aktivním či pasivním, přímým či nepřímým) </w:t>
      </w:r>
      <w:r w:rsidR="009907FF">
        <w:rPr>
          <w:rFonts w:cs="Arial"/>
          <w:sz w:val="20"/>
        </w:rPr>
        <w:br/>
      </w:r>
      <w:r w:rsidRPr="00B452E3">
        <w:rPr>
          <w:rFonts w:cs="Arial"/>
          <w:sz w:val="20"/>
        </w:rPr>
        <w:t xml:space="preserve">a jejich zneužitím. Smluvní strany mohou poskytovat přístup k Důvěrným informacím pouze svým poradcům či zaměstnancům, kteří mají z povahy své činnosti potřebu tyto informace znát, </w:t>
      </w:r>
      <w:r w:rsidR="009907FF">
        <w:rPr>
          <w:rFonts w:cs="Arial"/>
          <w:sz w:val="20"/>
        </w:rPr>
        <w:br/>
      </w:r>
      <w:r w:rsidRPr="00B452E3">
        <w:rPr>
          <w:rFonts w:cs="Arial"/>
          <w:sz w:val="20"/>
        </w:rPr>
        <w:t xml:space="preserve">a to za předpokladu, že se na ně vztahuje povinnost mlčenlivosti ve stejném rozsahu, jako </w:t>
      </w:r>
      <w:r w:rsidR="009907FF">
        <w:rPr>
          <w:rFonts w:cs="Arial"/>
          <w:sz w:val="20"/>
        </w:rPr>
        <w:br/>
      </w:r>
      <w:r w:rsidRPr="00B452E3">
        <w:rPr>
          <w:rFonts w:cs="Arial"/>
          <w:sz w:val="20"/>
        </w:rPr>
        <w:t>je obsažena v tomto ujednání. Povinnost mlčenlivosti bude trvat i po ukončení jakékoliv spolupráce či jiného vztahu mezi odběratelem a dodavatelem. Za porušení mlčenlivosti dle toho odstavce se nepovažuje poskytnutí informací zřizovateli odběratele, kterým je Ministerstvo zdravotnictví České republiky</w:t>
      </w:r>
      <w:r w:rsidR="006B7033" w:rsidRPr="00B452E3">
        <w:rPr>
          <w:rFonts w:cs="Arial"/>
          <w:sz w:val="20"/>
        </w:rPr>
        <w:t>, pokud je zaručeno, že tyto informace dále nezpřístupní třetím osobám</w:t>
      </w:r>
      <w:r w:rsidRPr="00B452E3">
        <w:rPr>
          <w:rFonts w:cs="Arial"/>
          <w:sz w:val="20"/>
        </w:rPr>
        <w:t>.</w:t>
      </w:r>
    </w:p>
    <w:p w14:paraId="2060619B" w14:textId="405C9BCF" w:rsidR="00D26960" w:rsidRPr="00B452E3" w:rsidRDefault="00D26960" w:rsidP="007D37B4">
      <w:pPr>
        <w:keepNext w:val="0"/>
        <w:keepLines w:val="0"/>
        <w:numPr>
          <w:ilvl w:val="0"/>
          <w:numId w:val="20"/>
        </w:numPr>
        <w:tabs>
          <w:tab w:val="clear" w:pos="720"/>
        </w:tabs>
        <w:spacing w:before="120"/>
        <w:ind w:left="425" w:hanging="357"/>
        <w:jc w:val="both"/>
        <w:rPr>
          <w:rFonts w:cs="Arial"/>
          <w:sz w:val="20"/>
        </w:rPr>
      </w:pPr>
      <w:r w:rsidRPr="00B452E3">
        <w:rPr>
          <w:rFonts w:cs="Arial"/>
          <w:sz w:val="20"/>
        </w:rPr>
        <w:t xml:space="preserve">Smluvní strany </w:t>
      </w:r>
      <w:r w:rsidR="00C33E76">
        <w:rPr>
          <w:rFonts w:cs="Arial"/>
          <w:sz w:val="20"/>
        </w:rPr>
        <w:t>prohlašují</w:t>
      </w:r>
      <w:r w:rsidRPr="00B452E3">
        <w:rPr>
          <w:rFonts w:cs="Arial"/>
          <w:sz w:val="20"/>
        </w:rPr>
        <w:t>, že určité informace obsažené v této smlouvě nebo jejích přílohách, zejména ty týkající se prodeje</w:t>
      </w:r>
      <w:r w:rsidR="00CB3894">
        <w:rPr>
          <w:rFonts w:cs="Arial"/>
          <w:sz w:val="20"/>
        </w:rPr>
        <w:t xml:space="preserve"> </w:t>
      </w:r>
      <w:r w:rsidR="001C6DE8" w:rsidRPr="00B452E3">
        <w:rPr>
          <w:rFonts w:cs="Arial"/>
          <w:sz w:val="20"/>
        </w:rPr>
        <w:t>zboží</w:t>
      </w:r>
      <w:r w:rsidRPr="00B452E3">
        <w:rPr>
          <w:rFonts w:cs="Arial"/>
          <w:sz w:val="20"/>
        </w:rPr>
        <w:t xml:space="preserve">, cenových ujednání, </w:t>
      </w:r>
      <w:r w:rsidR="00FB4561" w:rsidRPr="00B452E3">
        <w:rPr>
          <w:rFonts w:cs="Arial"/>
          <w:sz w:val="20"/>
        </w:rPr>
        <w:t>včetně údajů o jednotkových cenách jak</w:t>
      </w:r>
      <w:r w:rsidR="00201B1C" w:rsidRPr="00B452E3">
        <w:rPr>
          <w:rFonts w:cs="Arial"/>
          <w:sz w:val="20"/>
        </w:rPr>
        <w:t>éhokoliv zboží</w:t>
      </w:r>
      <w:r w:rsidR="00FB4561" w:rsidRPr="00B452E3">
        <w:rPr>
          <w:rFonts w:cs="Arial"/>
          <w:sz w:val="20"/>
        </w:rPr>
        <w:t xml:space="preserve"> dodavatele</w:t>
      </w:r>
      <w:r w:rsidR="001C6DE8" w:rsidRPr="00B452E3">
        <w:rPr>
          <w:rFonts w:cs="Arial"/>
          <w:sz w:val="20"/>
        </w:rPr>
        <w:t>,</w:t>
      </w:r>
      <w:r w:rsidR="00FB4561" w:rsidRPr="00B452E3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 xml:space="preserve">specifikace </w:t>
      </w:r>
      <w:r w:rsidR="00201B1C" w:rsidRPr="00B452E3">
        <w:rPr>
          <w:rFonts w:cs="Arial"/>
          <w:sz w:val="20"/>
        </w:rPr>
        <w:t>zboží</w:t>
      </w:r>
      <w:r w:rsidRPr="00B452E3">
        <w:rPr>
          <w:rFonts w:cs="Arial"/>
          <w:sz w:val="20"/>
        </w:rPr>
        <w:t>, podmínek poskytování obchodního zvýhodnění</w:t>
      </w:r>
      <w:r w:rsidR="006B7033" w:rsidRPr="00B452E3">
        <w:rPr>
          <w:rFonts w:cs="Arial"/>
          <w:sz w:val="20"/>
        </w:rPr>
        <w:t>, výpočtu jeho výše</w:t>
      </w:r>
      <w:r w:rsidRPr="00B452E3">
        <w:rPr>
          <w:rFonts w:cs="Arial"/>
          <w:sz w:val="20"/>
        </w:rPr>
        <w:t xml:space="preserve"> a mechanismu jeho poskytování, považují za obchodní tajemství ve smyslu §</w:t>
      </w:r>
      <w:r w:rsidR="00C33E76">
        <w:rPr>
          <w:rFonts w:cs="Arial"/>
          <w:sz w:val="20"/>
        </w:rPr>
        <w:t> </w:t>
      </w:r>
      <w:r w:rsidRPr="00B452E3">
        <w:rPr>
          <w:rFonts w:cs="Arial"/>
          <w:sz w:val="20"/>
        </w:rPr>
        <w:t>504 Občanského zákoníku („</w:t>
      </w:r>
      <w:r w:rsidRPr="00B452E3">
        <w:rPr>
          <w:rFonts w:cs="Arial"/>
          <w:b/>
          <w:sz w:val="20"/>
        </w:rPr>
        <w:t>Obchodní tajemství</w:t>
      </w:r>
      <w:r w:rsidRPr="00B452E3">
        <w:rPr>
          <w:rFonts w:cs="Arial"/>
          <w:sz w:val="20"/>
        </w:rPr>
        <w:t>“) a že tyto informace budou v této smlouvě řádně označeny. Za porušení obchodního tajemství dle toho odstavce se nepovažuje poskytnutí informací zřizovateli odběratele, kterým je Ministerstvo zdravotnictví České republiky</w:t>
      </w:r>
      <w:r w:rsidR="00CB31BB" w:rsidRPr="00B452E3">
        <w:rPr>
          <w:rFonts w:cs="Arial"/>
          <w:sz w:val="20"/>
        </w:rPr>
        <w:t>, pokud je zaručeno, že tyto informace dále nezpřístupní třetím osobám</w:t>
      </w:r>
      <w:r w:rsidRPr="00B452E3">
        <w:rPr>
          <w:rFonts w:cs="Arial"/>
          <w:sz w:val="20"/>
        </w:rPr>
        <w:t>.</w:t>
      </w:r>
    </w:p>
    <w:p w14:paraId="2C8D3979" w14:textId="77777777" w:rsidR="005709BC" w:rsidRPr="00B452E3" w:rsidRDefault="001417C8" w:rsidP="007D37B4">
      <w:pPr>
        <w:pStyle w:val="BodyText31"/>
        <w:numPr>
          <w:ilvl w:val="0"/>
          <w:numId w:val="20"/>
        </w:numPr>
        <w:tabs>
          <w:tab w:val="clear" w:pos="720"/>
        </w:tabs>
        <w:spacing w:before="120"/>
        <w:ind w:left="425" w:hanging="357"/>
        <w:rPr>
          <w:rFonts w:cs="Arial"/>
          <w:sz w:val="20"/>
        </w:rPr>
      </w:pPr>
      <w:r w:rsidRPr="00B452E3">
        <w:rPr>
          <w:rFonts w:cs="Arial"/>
          <w:color w:val="1F1F1F"/>
          <w:sz w:val="20"/>
        </w:rPr>
        <w:t xml:space="preserve">Přesahuje-li hodnota předmětu nebo plnění </w:t>
      </w:r>
      <w:r w:rsidR="00F56325" w:rsidRPr="00B452E3">
        <w:rPr>
          <w:rFonts w:cs="Arial"/>
          <w:color w:val="1F1F1F"/>
          <w:sz w:val="20"/>
        </w:rPr>
        <w:t>této smlouvy</w:t>
      </w:r>
      <w:r w:rsidRPr="00B452E3">
        <w:rPr>
          <w:rFonts w:cs="Arial"/>
          <w:color w:val="1F1F1F"/>
          <w:sz w:val="20"/>
        </w:rPr>
        <w:t xml:space="preserve"> částku 50.000,- Kč bez DPH, odběratel je povinen </w:t>
      </w:r>
      <w:r w:rsidR="007B7571" w:rsidRPr="00B452E3">
        <w:rPr>
          <w:rFonts w:cs="Arial"/>
          <w:color w:val="1F1F1F"/>
          <w:sz w:val="20"/>
        </w:rPr>
        <w:t>tuto smlouvou</w:t>
      </w:r>
      <w:r w:rsidRPr="00B452E3">
        <w:rPr>
          <w:rFonts w:cs="Arial"/>
          <w:color w:val="1F1F1F"/>
          <w:sz w:val="20"/>
        </w:rPr>
        <w:t xml:space="preserve"> zveřejnit v registru smluv dle zákona č. 340/2015 Sb., o zvláštních podmínkách účinnosti některých smluv, uveřejňování těchto smluv a o registru smluv. </w:t>
      </w:r>
      <w:r w:rsidR="0039029E" w:rsidRPr="00B452E3">
        <w:rPr>
          <w:rFonts w:cs="Arial"/>
          <w:color w:val="1F1F1F"/>
          <w:sz w:val="20"/>
        </w:rPr>
        <w:t>Smluvní strany se dohodly, že z</w:t>
      </w:r>
      <w:r w:rsidRPr="00B452E3">
        <w:rPr>
          <w:rFonts w:cs="Arial"/>
          <w:color w:val="1F1F1F"/>
          <w:sz w:val="20"/>
        </w:rPr>
        <w:t xml:space="preserve">veřejnění </w:t>
      </w:r>
      <w:r w:rsidR="0039029E" w:rsidRPr="00B452E3">
        <w:rPr>
          <w:rFonts w:cs="Arial"/>
          <w:color w:val="1F1F1F"/>
          <w:sz w:val="20"/>
        </w:rPr>
        <w:t xml:space="preserve">provede odběratel </w:t>
      </w:r>
      <w:r w:rsidRPr="00B452E3">
        <w:rPr>
          <w:rFonts w:cs="Arial"/>
          <w:color w:val="1F1F1F"/>
          <w:sz w:val="20"/>
        </w:rPr>
        <w:t xml:space="preserve">bez zbytečného odkladu </w:t>
      </w:r>
      <w:r w:rsidR="0039029E" w:rsidRPr="00B452E3">
        <w:rPr>
          <w:rFonts w:cs="Arial"/>
          <w:color w:val="1F1F1F"/>
          <w:sz w:val="20"/>
        </w:rPr>
        <w:t>po</w:t>
      </w:r>
      <w:r w:rsidRPr="00B452E3">
        <w:rPr>
          <w:rFonts w:cs="Arial"/>
          <w:color w:val="1F1F1F"/>
          <w:sz w:val="20"/>
        </w:rPr>
        <w:t xml:space="preserve"> uzavření</w:t>
      </w:r>
      <w:r w:rsidR="0039029E" w:rsidRPr="00B452E3">
        <w:rPr>
          <w:rFonts w:cs="Arial"/>
          <w:color w:val="1F1F1F"/>
          <w:sz w:val="20"/>
        </w:rPr>
        <w:t xml:space="preserve"> této smlouvy</w:t>
      </w:r>
      <w:r w:rsidR="009E65C2" w:rsidRPr="00B452E3">
        <w:rPr>
          <w:rFonts w:cs="Arial"/>
          <w:sz w:val="20"/>
        </w:rPr>
        <w:t xml:space="preserve"> s tím, </w:t>
      </w:r>
      <w:r w:rsidR="003810E1" w:rsidRPr="00B452E3">
        <w:rPr>
          <w:rFonts w:cs="Arial"/>
          <w:sz w:val="20"/>
        </w:rPr>
        <w:t>že informace, které představují</w:t>
      </w:r>
      <w:r w:rsidR="009E65C2" w:rsidRPr="00B452E3">
        <w:rPr>
          <w:rFonts w:cs="Arial"/>
          <w:sz w:val="20"/>
        </w:rPr>
        <w:t xml:space="preserve"> Obchodní tajemství nebo osobní údaje, budou anonymizovány</w:t>
      </w:r>
      <w:r w:rsidR="0039029E" w:rsidRPr="00B452E3">
        <w:rPr>
          <w:rFonts w:cs="Arial"/>
          <w:color w:val="1F1F1F"/>
          <w:sz w:val="20"/>
        </w:rPr>
        <w:t>.</w:t>
      </w:r>
      <w:r w:rsidR="003D43A8" w:rsidRPr="00B452E3">
        <w:rPr>
          <w:rFonts w:cs="Arial"/>
          <w:color w:val="1F1F1F"/>
          <w:sz w:val="20"/>
        </w:rPr>
        <w:t xml:space="preserve"> Odběratel dodavateli potvrdí řádné zveřejnění této smlouvy v registru smluv bezprostředně po takovém zveřejnění, a to </w:t>
      </w:r>
      <w:r w:rsidR="00A43133">
        <w:rPr>
          <w:rFonts w:cs="Arial"/>
          <w:color w:val="1F1F1F"/>
          <w:sz w:val="20"/>
        </w:rPr>
        <w:t xml:space="preserve">do datové schránky dodavatele </w:t>
      </w:r>
      <w:r w:rsidR="00A43133" w:rsidRPr="00E14E35">
        <w:rPr>
          <w:rFonts w:cs="Arial"/>
          <w:i/>
          <w:color w:val="1F1F1F"/>
          <w:sz w:val="20"/>
        </w:rPr>
        <w:t>fkh3rey</w:t>
      </w:r>
      <w:r w:rsidR="00A43133">
        <w:rPr>
          <w:rFonts w:cs="Arial"/>
          <w:color w:val="1F1F1F"/>
          <w:sz w:val="20"/>
        </w:rPr>
        <w:t>.</w:t>
      </w:r>
      <w:r w:rsidR="005075D4">
        <w:rPr>
          <w:rFonts w:cs="Arial"/>
          <w:color w:val="1F1F1F"/>
          <w:sz w:val="20"/>
        </w:rPr>
        <w:t xml:space="preserve"> Pokud odběratel nezajistí zveřejn</w:t>
      </w:r>
      <w:r w:rsidR="00D30E66">
        <w:rPr>
          <w:rFonts w:cs="Arial"/>
          <w:color w:val="1F1F1F"/>
          <w:sz w:val="20"/>
        </w:rPr>
        <w:t>ě</w:t>
      </w:r>
      <w:r w:rsidR="005075D4">
        <w:rPr>
          <w:rFonts w:cs="Arial"/>
          <w:color w:val="1F1F1F"/>
          <w:sz w:val="20"/>
        </w:rPr>
        <w:t xml:space="preserve">ní smlouvy </w:t>
      </w:r>
      <w:r w:rsidR="00D30E66">
        <w:rPr>
          <w:rFonts w:cs="Arial"/>
          <w:color w:val="1F1F1F"/>
          <w:sz w:val="20"/>
        </w:rPr>
        <w:t xml:space="preserve">a poskytnutí potvrzení o zveřejnění </w:t>
      </w:r>
      <w:r w:rsidR="005075D4">
        <w:rPr>
          <w:rFonts w:cs="Arial"/>
          <w:color w:val="1F1F1F"/>
          <w:sz w:val="20"/>
        </w:rPr>
        <w:t xml:space="preserve">v souladu s tímto ustanovením do 20 dnů od uzavření smlouvy, smluvní strany se dohodly, že smlouvu </w:t>
      </w:r>
      <w:r w:rsidR="00D30E66">
        <w:rPr>
          <w:rFonts w:cs="Arial"/>
          <w:color w:val="1F1F1F"/>
          <w:sz w:val="20"/>
        </w:rPr>
        <w:t xml:space="preserve">může v registru smluv </w:t>
      </w:r>
      <w:r w:rsidR="005075D4">
        <w:rPr>
          <w:rFonts w:cs="Arial"/>
          <w:color w:val="1F1F1F"/>
          <w:sz w:val="20"/>
        </w:rPr>
        <w:t>z</w:t>
      </w:r>
      <w:r w:rsidR="00D30E66">
        <w:rPr>
          <w:rFonts w:cs="Arial"/>
          <w:color w:val="1F1F1F"/>
          <w:sz w:val="20"/>
        </w:rPr>
        <w:t>veřejnit</w:t>
      </w:r>
      <w:r w:rsidR="005075D4">
        <w:rPr>
          <w:rFonts w:cs="Arial"/>
          <w:color w:val="1F1F1F"/>
          <w:sz w:val="20"/>
        </w:rPr>
        <w:t xml:space="preserve"> dodavatel.</w:t>
      </w:r>
    </w:p>
    <w:p w14:paraId="40E29958" w14:textId="77777777" w:rsidR="005709BC" w:rsidRPr="00B452E3" w:rsidRDefault="005709BC" w:rsidP="007D37B4">
      <w:pPr>
        <w:pStyle w:val="BodyText31"/>
        <w:numPr>
          <w:ilvl w:val="0"/>
          <w:numId w:val="20"/>
        </w:numPr>
        <w:tabs>
          <w:tab w:val="clear" w:pos="720"/>
        </w:tabs>
        <w:spacing w:before="120"/>
        <w:ind w:left="425" w:hanging="357"/>
        <w:rPr>
          <w:rFonts w:cs="Arial"/>
          <w:sz w:val="16"/>
        </w:rPr>
      </w:pPr>
      <w:r w:rsidRPr="00B452E3">
        <w:rPr>
          <w:sz w:val="20"/>
        </w:rPr>
        <w:t>Tuto smlouvu lze měnit a doplňovat jen na základě písemných číslovaných a oprávněnými zástupci obou smluvních stran podepsaných dodatků k této smlouvě. Všechny dodatky, které budou označeny jako dodatky této smlouvy, jsou nedílno</w:t>
      </w:r>
      <w:r w:rsidR="009E65C2" w:rsidRPr="00B452E3">
        <w:rPr>
          <w:sz w:val="20"/>
        </w:rPr>
        <w:t xml:space="preserve">u součástí této smlouvy. </w:t>
      </w:r>
      <w:r w:rsidRPr="00B452E3">
        <w:rPr>
          <w:sz w:val="20"/>
        </w:rPr>
        <w:t>Nová příloha musí zachovat strukturu původní přílohy smlouvy, dále musí být označena příslušným číslem verze</w:t>
      </w:r>
      <w:r w:rsidR="006C40AD" w:rsidRPr="00B452E3">
        <w:rPr>
          <w:sz w:val="20"/>
        </w:rPr>
        <w:t xml:space="preserve"> a</w:t>
      </w:r>
      <w:r w:rsidRPr="00B452E3">
        <w:rPr>
          <w:sz w:val="20"/>
        </w:rPr>
        <w:t xml:space="preserve"> datem </w:t>
      </w:r>
      <w:r w:rsidR="006C40AD" w:rsidRPr="00B452E3">
        <w:rPr>
          <w:sz w:val="20"/>
        </w:rPr>
        <w:t>účinnosti</w:t>
      </w:r>
      <w:r w:rsidRPr="00B452E3">
        <w:rPr>
          <w:sz w:val="20"/>
        </w:rPr>
        <w:t>.</w:t>
      </w:r>
      <w:r w:rsidR="00CB3894">
        <w:rPr>
          <w:sz w:val="20"/>
        </w:rPr>
        <w:t xml:space="preserve"> </w:t>
      </w:r>
    </w:p>
    <w:bookmarkEnd w:id="3"/>
    <w:p w14:paraId="50219C42" w14:textId="77777777" w:rsidR="003146E2" w:rsidRPr="00E14E35" w:rsidRDefault="00F70E31" w:rsidP="007D37B4">
      <w:pPr>
        <w:pStyle w:val="BodyText31"/>
        <w:numPr>
          <w:ilvl w:val="0"/>
          <w:numId w:val="20"/>
        </w:numPr>
        <w:tabs>
          <w:tab w:val="clear" w:pos="720"/>
        </w:tabs>
        <w:spacing w:before="120"/>
        <w:ind w:left="425" w:hanging="357"/>
        <w:rPr>
          <w:rFonts w:cs="Arial"/>
          <w:sz w:val="20"/>
        </w:rPr>
      </w:pPr>
      <w:r w:rsidRPr="00E14E35">
        <w:rPr>
          <w:rFonts w:cs="Arial"/>
          <w:sz w:val="20"/>
        </w:rPr>
        <w:t>Smluvní strany pověřily</w:t>
      </w:r>
      <w:r w:rsidR="005709BC" w:rsidRPr="00E14E35">
        <w:rPr>
          <w:rFonts w:cs="Arial"/>
          <w:sz w:val="20"/>
        </w:rPr>
        <w:t xml:space="preserve"> jednáním v rámci plnění předmětu této smlouvy tyto kontaktní osoby</w:t>
      </w:r>
      <w:r w:rsidR="006C40AD" w:rsidRPr="00E14E35">
        <w:rPr>
          <w:rFonts w:cs="Arial"/>
          <w:sz w:val="20"/>
        </w:rPr>
        <w:t xml:space="preserve"> </w:t>
      </w:r>
      <w:r w:rsidR="006C40AD" w:rsidRPr="00E14E35">
        <w:rPr>
          <w:rFonts w:cs="Arial"/>
          <w:b/>
          <w:i/>
          <w:sz w:val="20"/>
        </w:rPr>
        <w:t>(osobní údaje)</w:t>
      </w:r>
      <w:r w:rsidR="005709BC" w:rsidRPr="00E14E35">
        <w:rPr>
          <w:rFonts w:cs="Arial"/>
          <w:b/>
          <w:sz w:val="20"/>
        </w:rPr>
        <w:t>:</w:t>
      </w:r>
      <w:r w:rsidR="003146E2" w:rsidRPr="00E14E35">
        <w:rPr>
          <w:rFonts w:cs="Arial"/>
          <w:sz w:val="20"/>
        </w:rPr>
        <w:t xml:space="preserve"> </w:t>
      </w:r>
      <w:r w:rsidR="003146E2" w:rsidRPr="00E14E35">
        <w:rPr>
          <w:rFonts w:cs="Arial"/>
          <w:sz w:val="20"/>
        </w:rPr>
        <w:tab/>
      </w:r>
      <w:r w:rsidR="003146E2" w:rsidRPr="00E14E35">
        <w:rPr>
          <w:rFonts w:cs="Arial"/>
          <w:sz w:val="20"/>
        </w:rPr>
        <w:tab/>
      </w:r>
      <w:r w:rsidR="003146E2" w:rsidRPr="00E14E35">
        <w:rPr>
          <w:rFonts w:cs="Arial"/>
          <w:sz w:val="20"/>
        </w:rPr>
        <w:tab/>
      </w:r>
    </w:p>
    <w:p w14:paraId="34748145" w14:textId="77777777" w:rsidR="003146E2" w:rsidRPr="00E14E35" w:rsidRDefault="003146E2" w:rsidP="003146E2">
      <w:pPr>
        <w:ind w:left="459"/>
        <w:rPr>
          <w:rFonts w:cs="Arial"/>
          <w:sz w:val="20"/>
        </w:rPr>
      </w:pPr>
    </w:p>
    <w:tbl>
      <w:tblPr>
        <w:tblW w:w="790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977"/>
      </w:tblGrid>
      <w:tr w:rsidR="005709BC" w:rsidRPr="00E151B1" w14:paraId="1F3EDB91" w14:textId="77777777" w:rsidTr="000C2C96">
        <w:trPr>
          <w:trHeight w:val="421"/>
        </w:trPr>
        <w:tc>
          <w:tcPr>
            <w:tcW w:w="1951" w:type="dxa"/>
            <w:shd w:val="clear" w:color="auto" w:fill="auto"/>
          </w:tcPr>
          <w:p w14:paraId="7490001E" w14:textId="77777777" w:rsidR="005709BC" w:rsidRPr="00E151B1" w:rsidRDefault="005709BC" w:rsidP="001D51A0">
            <w:pPr>
              <w:ind w:right="-675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536166C0" w14:textId="77777777" w:rsidR="005709BC" w:rsidRPr="00E151B1" w:rsidRDefault="005709BC" w:rsidP="001D51A0">
            <w:pPr>
              <w:ind w:left="175"/>
              <w:rPr>
                <w:rFonts w:eastAsia="Arial" w:cs="Arial"/>
                <w:sz w:val="20"/>
                <w:lang w:bidi="en-GB"/>
              </w:rPr>
            </w:pPr>
            <w:r w:rsidRPr="00E151B1">
              <w:rPr>
                <w:rFonts w:eastAsia="Arial" w:cs="Arial"/>
                <w:sz w:val="20"/>
                <w:lang w:bidi="en-GB"/>
              </w:rPr>
              <w:t>Za dodavatele</w:t>
            </w:r>
          </w:p>
        </w:tc>
        <w:tc>
          <w:tcPr>
            <w:tcW w:w="2977" w:type="dxa"/>
          </w:tcPr>
          <w:p w14:paraId="5AAFA44C" w14:textId="77777777" w:rsidR="005709BC" w:rsidRPr="00E151B1" w:rsidRDefault="005709BC" w:rsidP="001D51A0">
            <w:pPr>
              <w:ind w:left="175"/>
              <w:rPr>
                <w:rFonts w:eastAsia="Arial" w:cs="Arial"/>
                <w:sz w:val="20"/>
                <w:lang w:bidi="en-GB"/>
              </w:rPr>
            </w:pPr>
            <w:r w:rsidRPr="00E151B1">
              <w:rPr>
                <w:rFonts w:eastAsia="Arial" w:cs="Arial"/>
                <w:sz w:val="20"/>
                <w:lang w:bidi="en-GB"/>
              </w:rPr>
              <w:t>Za odběratele</w:t>
            </w:r>
          </w:p>
        </w:tc>
      </w:tr>
      <w:tr w:rsidR="002E4C8E" w:rsidRPr="00E151B1" w14:paraId="17942567" w14:textId="77777777" w:rsidTr="006C40AD">
        <w:tc>
          <w:tcPr>
            <w:tcW w:w="1951" w:type="dxa"/>
            <w:shd w:val="clear" w:color="auto" w:fill="auto"/>
          </w:tcPr>
          <w:p w14:paraId="497A08FD" w14:textId="77777777" w:rsidR="002E4C8E" w:rsidRPr="00E151B1" w:rsidRDefault="002E4C8E" w:rsidP="002E4C8E">
            <w:pPr>
              <w:ind w:right="-675"/>
              <w:rPr>
                <w:rFonts w:cs="Arial"/>
                <w:sz w:val="20"/>
              </w:rPr>
            </w:pPr>
            <w:r w:rsidRPr="00E151B1">
              <w:rPr>
                <w:rFonts w:cs="Arial"/>
                <w:sz w:val="20"/>
              </w:rPr>
              <w:t>Jméno, příjmení</w:t>
            </w:r>
          </w:p>
        </w:tc>
        <w:tc>
          <w:tcPr>
            <w:tcW w:w="2977" w:type="dxa"/>
          </w:tcPr>
          <w:p w14:paraId="69B7BE67" w14:textId="7F162EBC" w:rsidR="002E4C8E" w:rsidRPr="00E151B1" w:rsidRDefault="007151E4" w:rsidP="002E4C8E">
            <w:pPr>
              <w:ind w:left="175"/>
              <w:rPr>
                <w:rFonts w:eastAsia="Arial" w:cs="Arial"/>
                <w:sz w:val="20"/>
                <w:lang w:bidi="en-GB"/>
              </w:rPr>
            </w:pPr>
            <w:r>
              <w:rPr>
                <w:rFonts w:eastAsia="Arial" w:cs="Arial"/>
                <w:sz w:val="20"/>
                <w:lang w:bidi="en-GB"/>
              </w:rPr>
              <w:t>XXX</w:t>
            </w:r>
          </w:p>
        </w:tc>
        <w:tc>
          <w:tcPr>
            <w:tcW w:w="2977" w:type="dxa"/>
          </w:tcPr>
          <w:p w14:paraId="49107638" w14:textId="772C344B" w:rsidR="002E4C8E" w:rsidRPr="00175C87" w:rsidRDefault="007151E4" w:rsidP="002E4C8E">
            <w:pPr>
              <w:ind w:left="175"/>
              <w:rPr>
                <w:rFonts w:eastAsia="Arial" w:cs="Arial"/>
                <w:sz w:val="20"/>
                <w:lang w:bidi="en-GB"/>
              </w:rPr>
            </w:pPr>
            <w:r>
              <w:rPr>
                <w:rFonts w:eastAsia="Arial" w:cs="Arial"/>
                <w:sz w:val="20"/>
                <w:lang w:bidi="en-GB"/>
              </w:rPr>
              <w:t>XXX</w:t>
            </w:r>
          </w:p>
        </w:tc>
      </w:tr>
      <w:tr w:rsidR="002E4C8E" w:rsidRPr="00E151B1" w14:paraId="2C3DB475" w14:textId="77777777" w:rsidTr="006C40AD">
        <w:tc>
          <w:tcPr>
            <w:tcW w:w="1951" w:type="dxa"/>
            <w:shd w:val="clear" w:color="auto" w:fill="auto"/>
          </w:tcPr>
          <w:p w14:paraId="296B98D7" w14:textId="77777777" w:rsidR="002E4C8E" w:rsidRPr="00E151B1" w:rsidRDefault="002E4C8E" w:rsidP="002E4C8E">
            <w:pPr>
              <w:rPr>
                <w:rFonts w:cs="Arial"/>
                <w:sz w:val="20"/>
              </w:rPr>
            </w:pPr>
            <w:r w:rsidRPr="00E151B1">
              <w:rPr>
                <w:rFonts w:cs="Arial"/>
                <w:sz w:val="20"/>
              </w:rPr>
              <w:t>Funkce</w:t>
            </w:r>
          </w:p>
        </w:tc>
        <w:tc>
          <w:tcPr>
            <w:tcW w:w="2977" w:type="dxa"/>
          </w:tcPr>
          <w:p w14:paraId="1FD34154" w14:textId="77777777" w:rsidR="002E4C8E" w:rsidRPr="00E151B1" w:rsidRDefault="002E4C8E" w:rsidP="002E4C8E">
            <w:pPr>
              <w:ind w:left="175"/>
              <w:rPr>
                <w:rFonts w:eastAsia="Arial" w:cs="Arial"/>
                <w:sz w:val="20"/>
                <w:lang w:bidi="en-GB"/>
              </w:rPr>
            </w:pPr>
            <w:r w:rsidRPr="00E151B1">
              <w:rPr>
                <w:rFonts w:eastAsia="Arial" w:cs="Arial"/>
                <w:sz w:val="20"/>
                <w:lang w:bidi="en-GB"/>
              </w:rPr>
              <w:t>Commercial affairs manager</w:t>
            </w:r>
          </w:p>
        </w:tc>
        <w:tc>
          <w:tcPr>
            <w:tcW w:w="2977" w:type="dxa"/>
          </w:tcPr>
          <w:p w14:paraId="067E0976" w14:textId="1F923ECE" w:rsidR="002E4C8E" w:rsidRPr="00175C87" w:rsidRDefault="002E4C8E" w:rsidP="002E4C8E">
            <w:pPr>
              <w:ind w:left="175"/>
              <w:rPr>
                <w:rFonts w:cs="Arial"/>
                <w:sz w:val="20"/>
              </w:rPr>
            </w:pPr>
            <w:r w:rsidRPr="00E151B1">
              <w:rPr>
                <w:rFonts w:cs="Arial"/>
                <w:sz w:val="20"/>
              </w:rPr>
              <w:t>Vedoucí lékárník</w:t>
            </w:r>
          </w:p>
        </w:tc>
      </w:tr>
      <w:tr w:rsidR="002E4C8E" w:rsidRPr="00E151B1" w14:paraId="6BF18F1D" w14:textId="77777777" w:rsidTr="006C40AD">
        <w:tc>
          <w:tcPr>
            <w:tcW w:w="1951" w:type="dxa"/>
            <w:shd w:val="clear" w:color="auto" w:fill="auto"/>
          </w:tcPr>
          <w:p w14:paraId="5640B602" w14:textId="77777777" w:rsidR="002E4C8E" w:rsidRPr="00E151B1" w:rsidRDefault="002E4C8E" w:rsidP="002E4C8E">
            <w:pPr>
              <w:rPr>
                <w:rFonts w:cs="Arial"/>
                <w:sz w:val="20"/>
              </w:rPr>
            </w:pPr>
            <w:r w:rsidRPr="00E151B1">
              <w:rPr>
                <w:rFonts w:cs="Arial"/>
                <w:sz w:val="20"/>
              </w:rPr>
              <w:t>Telefon</w:t>
            </w:r>
          </w:p>
        </w:tc>
        <w:tc>
          <w:tcPr>
            <w:tcW w:w="2977" w:type="dxa"/>
          </w:tcPr>
          <w:p w14:paraId="0B934BD6" w14:textId="37730C15" w:rsidR="002E4C8E" w:rsidRPr="00E151B1" w:rsidRDefault="007151E4" w:rsidP="002E4C8E">
            <w:pPr>
              <w:ind w:left="175"/>
              <w:rPr>
                <w:rFonts w:eastAsia="Arial" w:cs="Arial"/>
                <w:sz w:val="20"/>
                <w:lang w:bidi="en-GB"/>
              </w:rPr>
            </w:pPr>
            <w:r>
              <w:rPr>
                <w:rFonts w:eastAsia="Arial" w:cs="Arial"/>
                <w:sz w:val="20"/>
                <w:lang w:bidi="en-GB"/>
              </w:rPr>
              <w:t>XXX</w:t>
            </w:r>
          </w:p>
        </w:tc>
        <w:tc>
          <w:tcPr>
            <w:tcW w:w="2977" w:type="dxa"/>
          </w:tcPr>
          <w:p w14:paraId="2CD113CE" w14:textId="7A7DE018" w:rsidR="002E4C8E" w:rsidRPr="00175C87" w:rsidRDefault="007151E4" w:rsidP="002E4C8E">
            <w:pPr>
              <w:ind w:left="175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bidi="en-GB"/>
              </w:rPr>
              <w:t>XXX</w:t>
            </w:r>
          </w:p>
        </w:tc>
      </w:tr>
      <w:tr w:rsidR="002E4C8E" w:rsidRPr="00E151B1" w14:paraId="3162C348" w14:textId="77777777" w:rsidTr="006C40AD">
        <w:tc>
          <w:tcPr>
            <w:tcW w:w="1951" w:type="dxa"/>
            <w:shd w:val="clear" w:color="auto" w:fill="auto"/>
          </w:tcPr>
          <w:p w14:paraId="2D0C3E1A" w14:textId="77777777" w:rsidR="002E4C8E" w:rsidRPr="00E151B1" w:rsidRDefault="002E4C8E" w:rsidP="002E4C8E">
            <w:pPr>
              <w:rPr>
                <w:rFonts w:cs="Arial"/>
                <w:sz w:val="20"/>
              </w:rPr>
            </w:pPr>
            <w:r w:rsidRPr="00E151B1">
              <w:rPr>
                <w:rFonts w:cs="Arial"/>
                <w:sz w:val="20"/>
              </w:rPr>
              <w:t>Email</w:t>
            </w:r>
          </w:p>
        </w:tc>
        <w:tc>
          <w:tcPr>
            <w:tcW w:w="2977" w:type="dxa"/>
          </w:tcPr>
          <w:p w14:paraId="49B73AF2" w14:textId="6209FA11" w:rsidR="002E4C8E" w:rsidRPr="00E151B1" w:rsidRDefault="007151E4" w:rsidP="002E4C8E">
            <w:pPr>
              <w:ind w:left="175"/>
              <w:rPr>
                <w:rFonts w:eastAsia="Arial" w:cs="Arial"/>
                <w:sz w:val="20"/>
                <w:lang w:bidi="en-GB"/>
              </w:rPr>
            </w:pPr>
            <w:r>
              <w:rPr>
                <w:rFonts w:eastAsia="Arial" w:cs="Arial"/>
                <w:sz w:val="20"/>
                <w:lang w:bidi="en-GB"/>
              </w:rPr>
              <w:t>XXX</w:t>
            </w:r>
          </w:p>
        </w:tc>
        <w:tc>
          <w:tcPr>
            <w:tcW w:w="2977" w:type="dxa"/>
          </w:tcPr>
          <w:p w14:paraId="155D250B" w14:textId="53F4D4A5" w:rsidR="002E4C8E" w:rsidRPr="00175C87" w:rsidRDefault="007151E4" w:rsidP="002E4C8E">
            <w:pPr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  <w:lang w:bidi="en-GB"/>
              </w:rPr>
              <w:t xml:space="preserve">   XXX</w:t>
            </w:r>
          </w:p>
        </w:tc>
      </w:tr>
    </w:tbl>
    <w:p w14:paraId="34EA620C" w14:textId="77777777" w:rsidR="002C530C" w:rsidRPr="00B452E3" w:rsidRDefault="002C530C" w:rsidP="007D37B4">
      <w:pPr>
        <w:pStyle w:val="BodyText31"/>
        <w:numPr>
          <w:ilvl w:val="0"/>
          <w:numId w:val="20"/>
        </w:numPr>
        <w:spacing w:before="120"/>
        <w:ind w:left="397" w:hanging="357"/>
        <w:rPr>
          <w:rFonts w:cs="Arial"/>
          <w:sz w:val="20"/>
        </w:rPr>
      </w:pPr>
      <w:r w:rsidRPr="00B452E3">
        <w:rPr>
          <w:rFonts w:cs="Arial"/>
          <w:sz w:val="20"/>
        </w:rPr>
        <w:t>Nedílnou so</w:t>
      </w:r>
      <w:r w:rsidR="006D7A53" w:rsidRPr="00B452E3">
        <w:rPr>
          <w:rFonts w:cs="Arial"/>
          <w:sz w:val="20"/>
        </w:rPr>
        <w:t>učástí této smlouvy jsou i její</w:t>
      </w:r>
      <w:r w:rsidRPr="00B452E3">
        <w:rPr>
          <w:rFonts w:cs="Arial"/>
          <w:sz w:val="20"/>
        </w:rPr>
        <w:t xml:space="preserve"> přílohy a to: </w:t>
      </w:r>
    </w:p>
    <w:p w14:paraId="1EC02560" w14:textId="77777777" w:rsidR="002C530C" w:rsidRPr="00E14E35" w:rsidRDefault="002C530C" w:rsidP="007D37B4">
      <w:pPr>
        <w:pStyle w:val="BodyText31"/>
        <w:spacing w:before="120"/>
        <w:ind w:left="1440"/>
        <w:rPr>
          <w:rFonts w:cs="Arial"/>
          <w:sz w:val="20"/>
        </w:rPr>
      </w:pPr>
      <w:r w:rsidRPr="00E14E35">
        <w:rPr>
          <w:rFonts w:cs="Arial"/>
          <w:sz w:val="20"/>
        </w:rPr>
        <w:t xml:space="preserve">příloha č. 1 – seznam zboží </w:t>
      </w:r>
      <w:r w:rsidRPr="00E14E35">
        <w:rPr>
          <w:rFonts w:cs="Arial"/>
          <w:b/>
          <w:i/>
          <w:sz w:val="20"/>
        </w:rPr>
        <w:t>(obchodní tajemství)</w:t>
      </w:r>
    </w:p>
    <w:p w14:paraId="4C66A47F" w14:textId="77777777" w:rsidR="002C530C" w:rsidRPr="00B452E3" w:rsidRDefault="002C530C" w:rsidP="002C530C">
      <w:pPr>
        <w:pStyle w:val="BodyText31"/>
        <w:ind w:left="1440"/>
        <w:rPr>
          <w:rFonts w:cs="Arial"/>
          <w:sz w:val="20"/>
        </w:rPr>
      </w:pPr>
      <w:r w:rsidRPr="00E14E35">
        <w:rPr>
          <w:rFonts w:cs="Arial"/>
          <w:sz w:val="20"/>
        </w:rPr>
        <w:t xml:space="preserve">příloha č. 2 – výpočet obchodního zvýhodnění </w:t>
      </w:r>
      <w:r w:rsidRPr="00E14E35">
        <w:rPr>
          <w:rFonts w:cs="Arial"/>
          <w:b/>
          <w:i/>
          <w:sz w:val="20"/>
        </w:rPr>
        <w:t>(obchodní tajemství)</w:t>
      </w:r>
    </w:p>
    <w:p w14:paraId="18C18710" w14:textId="3C5DC436" w:rsidR="000953C0" w:rsidRPr="00B452E3" w:rsidRDefault="000953C0" w:rsidP="007D37B4">
      <w:pPr>
        <w:spacing w:before="240"/>
        <w:rPr>
          <w:rFonts w:cs="Arial"/>
          <w:sz w:val="20"/>
        </w:rPr>
      </w:pPr>
      <w:r w:rsidRPr="00B452E3">
        <w:rPr>
          <w:rFonts w:cs="Arial"/>
          <w:sz w:val="20"/>
        </w:rPr>
        <w:t>V</w:t>
      </w:r>
      <w:r w:rsidR="00CB3894">
        <w:rPr>
          <w:rFonts w:cs="Arial"/>
          <w:sz w:val="20"/>
        </w:rPr>
        <w:t xml:space="preserve"> </w:t>
      </w:r>
      <w:r w:rsidRPr="00B452E3">
        <w:rPr>
          <w:rFonts w:cs="Arial"/>
          <w:sz w:val="20"/>
        </w:rPr>
        <w:t xml:space="preserve">………… dne </w:t>
      </w:r>
      <w:r w:rsidR="007151E4">
        <w:rPr>
          <w:rFonts w:cs="Arial"/>
          <w:sz w:val="20"/>
        </w:rPr>
        <w:t>7. 6. 2023</w:t>
      </w:r>
      <w:r w:rsidR="00CB3894">
        <w:rPr>
          <w:rFonts w:cs="Arial"/>
          <w:sz w:val="20"/>
        </w:rPr>
        <w:t xml:space="preserve">                        </w:t>
      </w:r>
      <w:r w:rsidRPr="00B452E3">
        <w:rPr>
          <w:rFonts w:cs="Arial"/>
          <w:sz w:val="20"/>
        </w:rPr>
        <w:t xml:space="preserve"> </w:t>
      </w:r>
      <w:r w:rsidR="003F2806">
        <w:rPr>
          <w:rFonts w:cs="Arial"/>
          <w:sz w:val="20"/>
        </w:rPr>
        <w:t xml:space="preserve">         </w:t>
      </w:r>
      <w:r w:rsidRPr="00B452E3">
        <w:rPr>
          <w:rFonts w:cs="Arial"/>
          <w:sz w:val="20"/>
        </w:rPr>
        <w:t xml:space="preserve">V Brně dne </w:t>
      </w:r>
      <w:r w:rsidR="007151E4">
        <w:rPr>
          <w:rFonts w:cs="Arial"/>
          <w:sz w:val="20"/>
        </w:rPr>
        <w:t>9. 6. 2023</w:t>
      </w:r>
    </w:p>
    <w:p w14:paraId="53672C01" w14:textId="77777777" w:rsidR="000953C0" w:rsidRPr="00B452E3" w:rsidRDefault="000953C0" w:rsidP="007D37B4">
      <w:pPr>
        <w:spacing w:before="240"/>
        <w:rPr>
          <w:rFonts w:cs="Arial"/>
          <w:sz w:val="20"/>
        </w:rPr>
      </w:pPr>
      <w:r w:rsidRPr="00B452E3">
        <w:rPr>
          <w:rFonts w:cs="Arial"/>
          <w:sz w:val="20"/>
        </w:rPr>
        <w:t>Za dodavatele:</w:t>
      </w:r>
      <w:r w:rsidR="00CB3894">
        <w:rPr>
          <w:rFonts w:cs="Arial"/>
          <w:sz w:val="20"/>
        </w:rPr>
        <w:t xml:space="preserve">                                </w:t>
      </w:r>
      <w:r w:rsidRPr="00B452E3">
        <w:rPr>
          <w:rFonts w:cs="Arial"/>
          <w:sz w:val="20"/>
        </w:rPr>
        <w:t xml:space="preserve"> </w:t>
      </w:r>
      <w:r w:rsidR="003F2806">
        <w:rPr>
          <w:rFonts w:cs="Arial"/>
          <w:sz w:val="20"/>
        </w:rPr>
        <w:t xml:space="preserve">                  </w:t>
      </w:r>
      <w:r w:rsidRPr="00B452E3">
        <w:rPr>
          <w:rFonts w:cs="Arial"/>
          <w:sz w:val="20"/>
        </w:rPr>
        <w:t>Za odběratele:</w:t>
      </w:r>
    </w:p>
    <w:p w14:paraId="38100F3C" w14:textId="77777777" w:rsidR="000953C0" w:rsidRPr="00B452E3" w:rsidRDefault="000953C0" w:rsidP="007D37B4">
      <w:pPr>
        <w:spacing w:before="1000"/>
        <w:rPr>
          <w:rFonts w:cs="Arial"/>
          <w:sz w:val="20"/>
        </w:rPr>
      </w:pPr>
      <w:r w:rsidRPr="00B452E3">
        <w:rPr>
          <w:rFonts w:cs="Arial"/>
          <w:sz w:val="20"/>
        </w:rPr>
        <w:t>...........................................................</w:t>
      </w:r>
      <w:r w:rsidR="00CB3894">
        <w:rPr>
          <w:rFonts w:cs="Arial"/>
          <w:sz w:val="20"/>
        </w:rPr>
        <w:t xml:space="preserve">               </w:t>
      </w:r>
      <w:r w:rsidRPr="00B452E3">
        <w:rPr>
          <w:rFonts w:cs="Arial"/>
          <w:sz w:val="20"/>
        </w:rPr>
        <w:t>...........................................................</w:t>
      </w:r>
    </w:p>
    <w:p w14:paraId="5B2547B6" w14:textId="77777777" w:rsidR="000953C0" w:rsidRPr="00175C87" w:rsidRDefault="00CB31BB" w:rsidP="000953C0">
      <w:pPr>
        <w:rPr>
          <w:rFonts w:cs="Arial"/>
          <w:sz w:val="20"/>
        </w:rPr>
      </w:pPr>
      <w:r w:rsidRPr="00E14E35">
        <w:rPr>
          <w:rFonts w:cs="Arial"/>
          <w:sz w:val="20"/>
        </w:rPr>
        <w:t>Miha Kline</w:t>
      </w:r>
      <w:r w:rsidR="000953C0" w:rsidRPr="00B452E3">
        <w:rPr>
          <w:rFonts w:cs="Arial"/>
          <w:sz w:val="20"/>
        </w:rPr>
        <w:tab/>
      </w:r>
      <w:r w:rsidR="000953C0" w:rsidRPr="00B452E3">
        <w:rPr>
          <w:rFonts w:cs="Arial"/>
          <w:sz w:val="20"/>
        </w:rPr>
        <w:tab/>
      </w:r>
      <w:r w:rsidR="000953C0" w:rsidRPr="00B452E3">
        <w:rPr>
          <w:rFonts w:cs="Arial"/>
          <w:sz w:val="20"/>
        </w:rPr>
        <w:tab/>
      </w:r>
      <w:r w:rsidR="000953C0" w:rsidRPr="00B452E3">
        <w:rPr>
          <w:rFonts w:cs="Arial"/>
          <w:sz w:val="20"/>
        </w:rPr>
        <w:tab/>
      </w:r>
      <w:r w:rsidR="000953C0" w:rsidRPr="00B452E3">
        <w:rPr>
          <w:rFonts w:cs="Arial"/>
          <w:sz w:val="20"/>
        </w:rPr>
        <w:tab/>
      </w:r>
      <w:r w:rsidR="004A1E1B" w:rsidRPr="00175C87">
        <w:rPr>
          <w:rFonts w:cs="Arial"/>
          <w:sz w:val="20"/>
        </w:rPr>
        <w:t>Ing. Vlastimil Vajdák</w:t>
      </w:r>
    </w:p>
    <w:p w14:paraId="403D05EE" w14:textId="77777777" w:rsidR="000953C0" w:rsidRPr="00B452E3" w:rsidRDefault="00CB31BB" w:rsidP="000953C0">
      <w:pPr>
        <w:rPr>
          <w:rFonts w:cs="Arial"/>
          <w:sz w:val="20"/>
        </w:rPr>
      </w:pPr>
      <w:r w:rsidRPr="00175C87">
        <w:rPr>
          <w:rFonts w:cs="Arial"/>
          <w:sz w:val="20"/>
        </w:rPr>
        <w:t>jednatel</w:t>
      </w:r>
      <w:r w:rsidR="000953C0" w:rsidRPr="00175C87">
        <w:rPr>
          <w:rFonts w:cs="Arial"/>
          <w:sz w:val="20"/>
        </w:rPr>
        <w:tab/>
      </w:r>
      <w:r w:rsidR="000953C0" w:rsidRPr="00175C87">
        <w:rPr>
          <w:rFonts w:cs="Arial"/>
          <w:sz w:val="20"/>
        </w:rPr>
        <w:tab/>
      </w:r>
      <w:r w:rsidR="000953C0" w:rsidRPr="00175C87">
        <w:rPr>
          <w:rFonts w:cs="Arial"/>
          <w:sz w:val="20"/>
        </w:rPr>
        <w:tab/>
      </w:r>
      <w:r w:rsidR="000953C0" w:rsidRPr="00175C87">
        <w:rPr>
          <w:rFonts w:cs="Arial"/>
          <w:sz w:val="20"/>
        </w:rPr>
        <w:tab/>
      </w:r>
      <w:r w:rsidR="000953C0" w:rsidRPr="00175C87">
        <w:rPr>
          <w:rFonts w:cs="Arial"/>
          <w:sz w:val="20"/>
        </w:rPr>
        <w:tab/>
      </w:r>
      <w:r w:rsidRPr="00175C87">
        <w:rPr>
          <w:rFonts w:cs="Arial"/>
          <w:sz w:val="20"/>
        </w:rPr>
        <w:tab/>
      </w:r>
      <w:r w:rsidR="000953C0" w:rsidRPr="00175C87">
        <w:rPr>
          <w:rFonts w:cs="Arial"/>
          <w:sz w:val="20"/>
        </w:rPr>
        <w:t>ředitel</w:t>
      </w:r>
    </w:p>
    <w:p w14:paraId="00195C1F" w14:textId="77777777" w:rsidR="000953C0" w:rsidRPr="00B452E3" w:rsidRDefault="00CB31BB" w:rsidP="000953C0">
      <w:pPr>
        <w:rPr>
          <w:rFonts w:cs="Arial"/>
          <w:sz w:val="20"/>
        </w:rPr>
      </w:pPr>
      <w:r w:rsidRPr="00B452E3">
        <w:rPr>
          <w:rFonts w:cs="Arial"/>
          <w:sz w:val="20"/>
        </w:rPr>
        <w:t>Eli Lilly ČR, s.r.o.</w:t>
      </w:r>
      <w:r w:rsidR="000953C0" w:rsidRPr="00B452E3">
        <w:rPr>
          <w:rFonts w:cs="Arial"/>
          <w:b/>
          <w:bCs/>
          <w:sz w:val="20"/>
        </w:rPr>
        <w:tab/>
      </w:r>
      <w:r w:rsidR="00CB3894">
        <w:rPr>
          <w:rFonts w:cs="Arial"/>
          <w:sz w:val="20"/>
        </w:rPr>
        <w:t xml:space="preserve">  </w:t>
      </w:r>
      <w:r w:rsidR="000953C0" w:rsidRPr="00B452E3">
        <w:rPr>
          <w:rFonts w:cs="Arial"/>
          <w:sz w:val="20"/>
        </w:rPr>
        <w:tab/>
      </w:r>
      <w:r w:rsidR="000953C0" w:rsidRPr="00B452E3">
        <w:rPr>
          <w:rFonts w:cs="Arial"/>
          <w:sz w:val="20"/>
        </w:rPr>
        <w:tab/>
      </w:r>
      <w:r w:rsidR="000953C0" w:rsidRPr="00B452E3">
        <w:rPr>
          <w:rFonts w:cs="Arial"/>
          <w:sz w:val="20"/>
        </w:rPr>
        <w:tab/>
        <w:t>Fakultní nemocnice u sv. Anny v Brně</w:t>
      </w:r>
    </w:p>
    <w:p w14:paraId="67EFD0E0" w14:textId="77777777" w:rsidR="000953C0" w:rsidRPr="00E151B1" w:rsidRDefault="000953C0" w:rsidP="000953C0">
      <w:pPr>
        <w:pStyle w:val="BodyText31"/>
        <w:rPr>
          <w:rFonts w:cs="Arial"/>
          <w:sz w:val="20"/>
        </w:rPr>
      </w:pPr>
    </w:p>
    <w:p w14:paraId="762D0361" w14:textId="77777777" w:rsidR="006168D0" w:rsidRPr="00E151B1" w:rsidRDefault="006168D0" w:rsidP="000953C0">
      <w:pPr>
        <w:pStyle w:val="BodyText31"/>
        <w:rPr>
          <w:rFonts w:cs="Arial"/>
          <w:sz w:val="20"/>
        </w:rPr>
        <w:sectPr w:rsidR="006168D0" w:rsidRPr="00E151B1"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708" w:footer="708" w:gutter="0"/>
          <w:cols w:space="708"/>
        </w:sectPr>
      </w:pPr>
    </w:p>
    <w:p w14:paraId="37E79E32" w14:textId="712A5391" w:rsidR="006168D0" w:rsidRPr="00E151B1" w:rsidRDefault="006168D0" w:rsidP="006168D0">
      <w:pPr>
        <w:rPr>
          <w:rFonts w:cs="Arial"/>
          <w:i/>
          <w:sz w:val="20"/>
        </w:rPr>
      </w:pPr>
      <w:r w:rsidRPr="007D37B4">
        <w:rPr>
          <w:b/>
        </w:rPr>
        <w:t xml:space="preserve">Příloha č. 1 – Seznam zboží (verze č. 1, </w:t>
      </w:r>
      <w:r w:rsidR="00A87592" w:rsidRPr="007D37B4">
        <w:rPr>
          <w:b/>
        </w:rPr>
        <w:t xml:space="preserve">účinná od 1. 1. </w:t>
      </w:r>
      <w:r w:rsidR="00EF317B" w:rsidRPr="007D37B4">
        <w:rPr>
          <w:b/>
        </w:rPr>
        <w:t>202</w:t>
      </w:r>
      <w:r w:rsidR="00EF317B">
        <w:rPr>
          <w:b/>
        </w:rPr>
        <w:t>3</w:t>
      </w:r>
      <w:r w:rsidR="00EF317B" w:rsidRPr="007D37B4">
        <w:rPr>
          <w:b/>
        </w:rPr>
        <w:t xml:space="preserve"> </w:t>
      </w:r>
      <w:r w:rsidR="002E6298" w:rsidRPr="007D37B4">
        <w:rPr>
          <w:b/>
        </w:rPr>
        <w:t xml:space="preserve">do 31. 12. </w:t>
      </w:r>
      <w:r w:rsidR="00EF317B" w:rsidRPr="007D37B4">
        <w:rPr>
          <w:b/>
        </w:rPr>
        <w:t>202</w:t>
      </w:r>
      <w:r w:rsidR="00EF317B">
        <w:rPr>
          <w:b/>
        </w:rPr>
        <w:t>3</w:t>
      </w:r>
      <w:r w:rsidR="00A87592" w:rsidRPr="007D37B4">
        <w:rPr>
          <w:b/>
        </w:rPr>
        <w:t xml:space="preserve">) </w:t>
      </w:r>
      <w:r w:rsidR="00A87592" w:rsidRPr="007D37B4">
        <w:rPr>
          <w:b/>
          <w:i/>
        </w:rPr>
        <w:t>(obchodní tajemství)</w:t>
      </w:r>
    </w:p>
    <w:p w14:paraId="4BACA4AD" w14:textId="77777777" w:rsidR="006168D0" w:rsidRPr="007D37B4" w:rsidRDefault="006168D0" w:rsidP="006168D0">
      <w:pPr>
        <w:rPr>
          <w:b/>
          <w:sz w:val="20"/>
        </w:rPr>
      </w:pPr>
    </w:p>
    <w:p w14:paraId="71231582" w14:textId="77777777" w:rsidR="007151E4" w:rsidRDefault="007151E4" w:rsidP="006F4E9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XXX</w:t>
      </w:r>
    </w:p>
    <w:p w14:paraId="2AA0C169" w14:textId="77777777" w:rsidR="007151E4" w:rsidRDefault="007151E4" w:rsidP="006F4E9E">
      <w:pPr>
        <w:rPr>
          <w:rFonts w:cs="Arial"/>
          <w:b/>
          <w:sz w:val="20"/>
        </w:rPr>
      </w:pPr>
    </w:p>
    <w:p w14:paraId="40E63A26" w14:textId="5CEA7BEB" w:rsidR="006F4E9E" w:rsidRPr="007151E4" w:rsidRDefault="00E151B1" w:rsidP="006F4E9E">
      <w:pPr>
        <w:rPr>
          <w:rFonts w:cs="Arial"/>
          <w:b/>
          <w:sz w:val="20"/>
        </w:rPr>
      </w:pPr>
      <w:r w:rsidRPr="009907FF">
        <w:rPr>
          <w:rFonts w:cs="Arial"/>
          <w:b/>
        </w:rPr>
        <w:t>P</w:t>
      </w:r>
      <w:r w:rsidR="006F4E9E" w:rsidRPr="009907FF">
        <w:rPr>
          <w:rFonts w:cs="Arial"/>
          <w:b/>
        </w:rPr>
        <w:t>říloha</w:t>
      </w:r>
      <w:r w:rsidR="006F4E9E" w:rsidRPr="007D37B4">
        <w:rPr>
          <w:b/>
        </w:rPr>
        <w:t xml:space="preserve"> č. 2 – výpočet obchodního zvýhodnění (verze č. 1, účinná od 1. 1. </w:t>
      </w:r>
      <w:r w:rsidR="00EF317B" w:rsidRPr="007D37B4">
        <w:rPr>
          <w:b/>
        </w:rPr>
        <w:t>202</w:t>
      </w:r>
      <w:r w:rsidR="00EF317B">
        <w:rPr>
          <w:b/>
        </w:rPr>
        <w:t>3</w:t>
      </w:r>
      <w:r w:rsidR="00EF317B" w:rsidRPr="007D37B4">
        <w:rPr>
          <w:b/>
        </w:rPr>
        <w:t xml:space="preserve"> </w:t>
      </w:r>
      <w:r w:rsidR="006F4E9E" w:rsidRPr="007D37B4">
        <w:rPr>
          <w:b/>
        </w:rPr>
        <w:t xml:space="preserve">do 31. 12. </w:t>
      </w:r>
      <w:r w:rsidR="00EF317B" w:rsidRPr="007D37B4">
        <w:rPr>
          <w:b/>
        </w:rPr>
        <w:t>202</w:t>
      </w:r>
      <w:r w:rsidR="00EF317B">
        <w:rPr>
          <w:b/>
        </w:rPr>
        <w:t>3</w:t>
      </w:r>
      <w:r w:rsidR="006F4E9E" w:rsidRPr="007D37B4">
        <w:rPr>
          <w:b/>
        </w:rPr>
        <w:t xml:space="preserve">) </w:t>
      </w:r>
      <w:r w:rsidR="006F4E9E" w:rsidRPr="007D37B4">
        <w:rPr>
          <w:b/>
          <w:i/>
        </w:rPr>
        <w:t>(obchodní tajemství)</w:t>
      </w:r>
    </w:p>
    <w:p w14:paraId="5B51AB81" w14:textId="77777777" w:rsidR="006F4E9E" w:rsidRPr="007D37B4" w:rsidRDefault="006F4E9E" w:rsidP="006F4E9E">
      <w:pPr>
        <w:rPr>
          <w:sz w:val="20"/>
        </w:rPr>
      </w:pPr>
    </w:p>
    <w:p w14:paraId="729B4F6E" w14:textId="095B78BC" w:rsidR="00063505" w:rsidRDefault="007151E4" w:rsidP="003F2806">
      <w:pPr>
        <w:keepNext w:val="0"/>
        <w:keepLines w:val="0"/>
        <w:widowControl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XXX</w:t>
      </w:r>
    </w:p>
    <w:p w14:paraId="153379CC" w14:textId="77777777" w:rsidR="007151E4" w:rsidRDefault="007151E4" w:rsidP="003F2806">
      <w:pPr>
        <w:keepNext w:val="0"/>
        <w:keepLines w:val="0"/>
        <w:widowControl w:val="0"/>
        <w:jc w:val="both"/>
        <w:rPr>
          <w:rFonts w:cs="Arial"/>
          <w:sz w:val="20"/>
        </w:rPr>
      </w:pPr>
    </w:p>
    <w:p w14:paraId="317F7B72" w14:textId="307012F2" w:rsidR="004D5353" w:rsidRDefault="00063505" w:rsidP="003F2806">
      <w:pPr>
        <w:keepNext w:val="0"/>
        <w:keepLines w:val="0"/>
        <w:widowControl w:val="0"/>
        <w:jc w:val="both"/>
        <w:rPr>
          <w:b/>
          <w:szCs w:val="22"/>
        </w:rPr>
      </w:pPr>
      <w:r w:rsidRPr="009907FF">
        <w:rPr>
          <w:rFonts w:cs="Arial"/>
          <w:b/>
        </w:rPr>
        <w:t>Příloha</w:t>
      </w:r>
      <w:r w:rsidRPr="007D37B4">
        <w:rPr>
          <w:b/>
        </w:rPr>
        <w:t xml:space="preserve"> č. </w:t>
      </w:r>
      <w:r>
        <w:rPr>
          <w:b/>
        </w:rPr>
        <w:t>3</w:t>
      </w:r>
      <w:r w:rsidRPr="007D37B4">
        <w:rPr>
          <w:b/>
        </w:rPr>
        <w:t xml:space="preserve"> –</w:t>
      </w:r>
      <w:r w:rsidRPr="00063505">
        <w:rPr>
          <w:b/>
          <w:szCs w:val="22"/>
        </w:rPr>
        <w:t xml:space="preserve"> </w:t>
      </w:r>
      <w:r w:rsidRPr="00A53F35">
        <w:rPr>
          <w:b/>
          <w:szCs w:val="22"/>
        </w:rPr>
        <w:t>Obchodní sankce</w:t>
      </w:r>
    </w:p>
    <w:p w14:paraId="56938EBA" w14:textId="75D753FA" w:rsidR="00063505" w:rsidRPr="00063505" w:rsidRDefault="00063505" w:rsidP="00063505">
      <w:pPr>
        <w:keepNext w:val="0"/>
        <w:keepLines w:val="0"/>
        <w:widowControl w:val="0"/>
        <w:spacing w:after="120"/>
        <w:jc w:val="both"/>
        <w:rPr>
          <w:rFonts w:cs="Arial"/>
          <w:sz w:val="20"/>
        </w:rPr>
      </w:pPr>
    </w:p>
    <w:p w14:paraId="26FFB581" w14:textId="26349581" w:rsidR="00063505" w:rsidRPr="00063505" w:rsidRDefault="00063505" w:rsidP="00063505">
      <w:pPr>
        <w:keepNext w:val="0"/>
        <w:keepLines w:val="0"/>
        <w:widowControl w:val="0"/>
        <w:numPr>
          <w:ilvl w:val="0"/>
          <w:numId w:val="25"/>
        </w:numPr>
        <w:spacing w:after="120"/>
        <w:jc w:val="both"/>
        <w:rPr>
          <w:rFonts w:cs="Arial"/>
          <w:sz w:val="20"/>
        </w:rPr>
      </w:pPr>
      <w:r w:rsidRPr="00063505">
        <w:rPr>
          <w:rFonts w:cs="Arial"/>
          <w:sz w:val="20"/>
        </w:rPr>
        <w:t xml:space="preserve">Odběratel se zavazuje dodržovat veškeré příslušné obchodní sankce a zákony a předpisy týkající se kontroly vývozu, včetně, pokud jsou aplikovatelné, případných obchodních sankcí Spojených států amerických, ukládaných Úřadem Ministerstva financí Spojených států amerických pro kontrolu zahraničních aktiv </w:t>
      </w:r>
      <w:r w:rsidRPr="00063505">
        <w:rPr>
          <w:rFonts w:cs="Arial"/>
          <w:i/>
          <w:sz w:val="20"/>
        </w:rPr>
        <w:t>(Office of Foreign Assets Control)</w:t>
      </w:r>
      <w:r w:rsidRPr="00063505">
        <w:rPr>
          <w:rFonts w:cs="Arial"/>
          <w:sz w:val="20"/>
        </w:rPr>
        <w:t xml:space="preserve"> (31 C.F.R. část 501 a násl.), předpisů Spojených států amerických o správě vývozu (15 C.F.R. část 734 a násl.) a obchodních sankcí a</w:t>
      </w:r>
      <w:r w:rsidR="007B25C5">
        <w:rPr>
          <w:rFonts w:cs="Arial"/>
          <w:sz w:val="20"/>
        </w:rPr>
        <w:t> </w:t>
      </w:r>
      <w:r w:rsidRPr="00063505">
        <w:rPr>
          <w:rFonts w:cs="Arial"/>
          <w:sz w:val="20"/>
        </w:rPr>
        <w:t>vývozních předpisů Evropské unie (zejména Nařízení Rady (ES) č. 428/2009 (ve znění pozdějších předpisů)).</w:t>
      </w:r>
    </w:p>
    <w:p w14:paraId="767EDE3E" w14:textId="628D6B09" w:rsidR="00063505" w:rsidRPr="006D0F30" w:rsidRDefault="00063505" w:rsidP="00063505">
      <w:pPr>
        <w:keepNext w:val="0"/>
        <w:keepLines w:val="0"/>
        <w:widowControl w:val="0"/>
        <w:numPr>
          <w:ilvl w:val="0"/>
          <w:numId w:val="25"/>
        </w:numPr>
        <w:spacing w:after="120"/>
        <w:jc w:val="both"/>
        <w:rPr>
          <w:rFonts w:cs="Arial"/>
          <w:sz w:val="20"/>
        </w:rPr>
      </w:pPr>
      <w:r w:rsidRPr="00063505">
        <w:rPr>
          <w:rFonts w:cs="Arial"/>
          <w:sz w:val="20"/>
        </w:rPr>
        <w:t xml:space="preserve">Odběratel prohlašuje a zaručuje, že on sám, jeho členové představenstva, výkonní vedoucí pracovníci, zástupci, akcionáři ani žádná osoba, která má na </w:t>
      </w:r>
      <w:r>
        <w:rPr>
          <w:rFonts w:cs="Arial"/>
          <w:sz w:val="20"/>
        </w:rPr>
        <w:t>o</w:t>
      </w:r>
      <w:r w:rsidRPr="00063505">
        <w:rPr>
          <w:rFonts w:cs="Arial"/>
          <w:sz w:val="20"/>
        </w:rPr>
        <w:t>dběrateli kontrolní podíl, nejsou (i)</w:t>
      </w:r>
      <w:r>
        <w:rPr>
          <w:rFonts w:cs="Arial"/>
          <w:sz w:val="20"/>
        </w:rPr>
        <w:t> </w:t>
      </w:r>
      <w:r w:rsidRPr="00063505">
        <w:rPr>
          <w:rFonts w:cs="Arial"/>
          <w:sz w:val="20"/>
        </w:rPr>
        <w:t xml:space="preserve">osobami, na které se vztahují obchodní nebo finanční sankce podle zákonů a předpisů Organizace spojených národů, Spojených států amerických, Evropské unie a jejích členských států, Spojeného království Velké Británie a Severního Irska či jakékoliv jiné jurisdikce, které se mohou vztahovat na práva a povinnosti dle této smlouvy, zejména že nejsou osobami, které byly zařazeny na seznam speciálně určených státních příslušníků a dalších blokovaných osob </w:t>
      </w:r>
      <w:r w:rsidRPr="006D0F30">
        <w:rPr>
          <w:rFonts w:cs="Arial"/>
          <w:i/>
          <w:sz w:val="20"/>
        </w:rPr>
        <w:t>(Specially Designated Nationals and Other Blocked Persons)</w:t>
      </w:r>
      <w:r w:rsidRPr="006D0F30">
        <w:rPr>
          <w:rFonts w:cs="Arial"/>
          <w:sz w:val="20"/>
        </w:rPr>
        <w:t xml:space="preserve"> a konsolidovaný sankční seznam </w:t>
      </w:r>
      <w:r w:rsidRPr="006D0F30">
        <w:rPr>
          <w:rFonts w:cs="Arial"/>
          <w:i/>
          <w:sz w:val="20"/>
        </w:rPr>
        <w:t>(Consolidated Sanctions List)</w:t>
      </w:r>
      <w:r w:rsidRPr="006D0F30">
        <w:rPr>
          <w:rFonts w:cs="Arial"/>
          <w:sz w:val="20"/>
        </w:rPr>
        <w:t xml:space="preserve"> Úřadu Ministerstva financí Spojených států amerických pro kontrolu zahraničních aktiv, sankční seznam Ministerstva zahraničních věcí Spojených států amerických pro kontrolu nešíření zbraní hromadného ničení </w:t>
      </w:r>
      <w:r w:rsidRPr="006D0F30">
        <w:rPr>
          <w:rFonts w:cs="Arial"/>
          <w:i/>
          <w:sz w:val="20"/>
        </w:rPr>
        <w:t>(Non-Proliferation Sanctions Lists)</w:t>
      </w:r>
      <w:r w:rsidRPr="006D0F30">
        <w:rPr>
          <w:rFonts w:cs="Arial"/>
          <w:sz w:val="20"/>
        </w:rPr>
        <w:t xml:space="preserve">, seznamy finančních sankcí OSN </w:t>
      </w:r>
      <w:r w:rsidRPr="006D0F30">
        <w:rPr>
          <w:rFonts w:cs="Arial"/>
          <w:i/>
          <w:sz w:val="20"/>
        </w:rPr>
        <w:t>(UN Financial Sanctions Lists)</w:t>
      </w:r>
      <w:r w:rsidRPr="006D0F30">
        <w:rPr>
          <w:rFonts w:cs="Arial"/>
          <w:sz w:val="20"/>
        </w:rPr>
        <w:t xml:space="preserve">, konsolidovaný seznam osob, skupin a subjektů podléhajících finančním sankcím EU </w:t>
      </w:r>
      <w:r w:rsidRPr="006D0F30">
        <w:rPr>
          <w:rFonts w:cs="Arial"/>
          <w:i/>
          <w:sz w:val="20"/>
        </w:rPr>
        <w:t>(Consolidated List of Persons, Groups and Entities Subject to EU Financial Sanctions)</w:t>
      </w:r>
      <w:r w:rsidRPr="006D0F30">
        <w:rPr>
          <w:rFonts w:cs="Arial"/>
          <w:sz w:val="20"/>
        </w:rPr>
        <w:t xml:space="preserve"> a konsolidované seznamy cílů finančních sankcí Ministerstva financí Spojeného království Velké Británie a Severního Irska </w:t>
      </w:r>
      <w:r w:rsidRPr="006D0F30">
        <w:rPr>
          <w:rFonts w:cs="Arial"/>
          <w:i/>
          <w:sz w:val="20"/>
        </w:rPr>
        <w:t>(UK HM Treasury Consolidated Lists of Financial Sanctions Targets)</w:t>
      </w:r>
      <w:r w:rsidRPr="006D0F30">
        <w:rPr>
          <w:rFonts w:cs="Arial"/>
          <w:sz w:val="20"/>
        </w:rPr>
        <w:t>, (ii) osobami registrovanými nebo majícími sídlo na území, které podléhá komplexním sankcím Spojených států amerických (každé jednotlivě „</w:t>
      </w:r>
      <w:r w:rsidRPr="006D0F30">
        <w:rPr>
          <w:rFonts w:cs="Arial"/>
          <w:b/>
          <w:sz w:val="20"/>
        </w:rPr>
        <w:t>Území, na které se vztahují sankce</w:t>
      </w:r>
      <w:r w:rsidRPr="006D0F30">
        <w:rPr>
          <w:rFonts w:cs="Arial"/>
          <w:sz w:val="20"/>
        </w:rPr>
        <w:t>“) (v současné době se jedná o Kubu, Írán, Krym, Severní Koreu, Sýrii a Venezuelu, ale seznam se může kdykoliv změnit), nebo založenými podle právního řádu takového území nebo (iii)</w:t>
      </w:r>
      <w:r>
        <w:rPr>
          <w:rFonts w:cs="Arial"/>
          <w:sz w:val="20"/>
        </w:rPr>
        <w:t> </w:t>
      </w:r>
      <w:r w:rsidRPr="00063505">
        <w:rPr>
          <w:rFonts w:cs="Arial"/>
          <w:sz w:val="20"/>
        </w:rPr>
        <w:t>osobami přímo či nepřímo vlastněnými nebo ovládanými takovými osobami (společně dále jen „</w:t>
      </w:r>
      <w:r w:rsidRPr="006D0F30">
        <w:rPr>
          <w:rFonts w:cs="Arial"/>
          <w:b/>
          <w:sz w:val="20"/>
        </w:rPr>
        <w:t>Zakázané osoby</w:t>
      </w:r>
      <w:r w:rsidRPr="006D0F30">
        <w:rPr>
          <w:rFonts w:cs="Arial"/>
          <w:sz w:val="20"/>
        </w:rPr>
        <w:t xml:space="preserve">“). Odběratel dále prohlašuje a zaručuje, že bude Lilly neprodleně písemně informovat v případě, že by se on sám nebo kterýkoliv jeho člen představenstva, výkonný vedoucí pracovník, zástupce, akcionář nebo jakákoliv osoba mající na </w:t>
      </w:r>
      <w:r>
        <w:rPr>
          <w:rFonts w:cs="Arial"/>
          <w:sz w:val="20"/>
        </w:rPr>
        <w:t>o</w:t>
      </w:r>
      <w:r w:rsidRPr="00063505">
        <w:rPr>
          <w:rFonts w:cs="Arial"/>
          <w:sz w:val="20"/>
        </w:rPr>
        <w:t>dběrateli kontrolní podíl stala Zakázanou osobou nebo že by se jedna či více Zakázaných osob staly přímým nebo nepřímým ma</w:t>
      </w:r>
      <w:r w:rsidRPr="006D0F30">
        <w:rPr>
          <w:rFonts w:cs="Arial"/>
          <w:sz w:val="20"/>
        </w:rPr>
        <w:t xml:space="preserve">jitelem či ovládající osobou </w:t>
      </w:r>
      <w:r w:rsidR="00CA2749">
        <w:rPr>
          <w:rFonts w:cs="Arial"/>
          <w:sz w:val="20"/>
        </w:rPr>
        <w:t>o</w:t>
      </w:r>
      <w:r w:rsidRPr="006D0F30">
        <w:rPr>
          <w:rFonts w:cs="Arial"/>
          <w:sz w:val="20"/>
        </w:rPr>
        <w:t>dběratele.</w:t>
      </w:r>
    </w:p>
    <w:p w14:paraId="60BD98ED" w14:textId="77777777" w:rsidR="00063505" w:rsidRPr="00E151B1" w:rsidRDefault="00063505" w:rsidP="00063505">
      <w:pPr>
        <w:keepNext w:val="0"/>
        <w:keepLines w:val="0"/>
        <w:widowControl w:val="0"/>
        <w:spacing w:after="120"/>
        <w:jc w:val="both"/>
        <w:rPr>
          <w:rFonts w:cs="Arial"/>
          <w:sz w:val="20"/>
        </w:rPr>
      </w:pPr>
    </w:p>
    <w:p w14:paraId="4B4312C4" w14:textId="77777777" w:rsidR="004D5353" w:rsidRPr="00063505" w:rsidRDefault="004D5353" w:rsidP="00063505">
      <w:pPr>
        <w:keepNext w:val="0"/>
        <w:keepLines w:val="0"/>
        <w:widowControl w:val="0"/>
        <w:spacing w:after="120"/>
        <w:jc w:val="both"/>
        <w:rPr>
          <w:rFonts w:cs="Arial"/>
          <w:sz w:val="20"/>
        </w:rPr>
      </w:pPr>
    </w:p>
    <w:sectPr w:rsidR="004D5353" w:rsidRPr="00063505" w:rsidSect="006F4E9E">
      <w:pgSz w:w="11906" w:h="16838"/>
      <w:pgMar w:top="1418" w:right="1418" w:bottom="1418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9EB5" w14:textId="77777777" w:rsidR="006B17FB" w:rsidRDefault="006B17FB">
      <w:r>
        <w:separator/>
      </w:r>
    </w:p>
  </w:endnote>
  <w:endnote w:type="continuationSeparator" w:id="0">
    <w:p w14:paraId="590BD243" w14:textId="77777777" w:rsidR="006B17FB" w:rsidRDefault="006B17FB">
      <w:r>
        <w:continuationSeparator/>
      </w:r>
    </w:p>
  </w:endnote>
  <w:endnote w:type="continuationNotice" w:id="1">
    <w:p w14:paraId="2DD8A67E" w14:textId="77777777" w:rsidR="006B17FB" w:rsidRDefault="006B1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DD23" w14:textId="2B536969" w:rsidR="00E151B1" w:rsidRDefault="00BB6EB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403F69">
      <w:rPr>
        <w:rStyle w:val="slostrnky"/>
        <w:noProof/>
        <w:sz w:val="18"/>
      </w:rPr>
      <w:t>4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</w:t>
    </w:r>
    <w:r w:rsidR="00E151B1">
      <w:rPr>
        <w:rStyle w:val="slostrnky"/>
        <w:sz w:val="18"/>
      </w:rPr>
      <w:t> 6</w:t>
    </w:r>
  </w:p>
  <w:p w14:paraId="6A586958" w14:textId="77777777" w:rsidR="00657A51" w:rsidRDefault="00657A51">
    <w:pPr>
      <w:pStyle w:val="Zpat"/>
      <w:jc w:val="both"/>
      <w:rPr>
        <w:snapToGrid w:val="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FFFE" w14:textId="1E9BF66D" w:rsidR="00BB6EBD" w:rsidRDefault="00BB6EBD">
    <w:pPr>
      <w:pStyle w:val="Zpat"/>
      <w:rPr>
        <w:rStyle w:val="slostrnky"/>
        <w:sz w:val="18"/>
      </w:rPr>
    </w:pPr>
    <w:r>
      <w:tab/>
    </w:r>
    <w:r>
      <w:rPr>
        <w:sz w:val="18"/>
      </w:rPr>
      <w:t xml:space="preserve">Strana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403F69">
      <w:rPr>
        <w:rStyle w:val="slostrnky"/>
        <w:noProof/>
        <w:sz w:val="18"/>
      </w:rPr>
      <w:t>5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9907FF">
      <w:rPr>
        <w:rStyle w:val="slostrnky"/>
        <w:sz w:val="18"/>
      </w:rPr>
      <w:t>5</w:t>
    </w:r>
  </w:p>
  <w:p w14:paraId="5D28A876" w14:textId="77777777" w:rsidR="00657A51" w:rsidRDefault="00657A51">
    <w:pPr>
      <w:pStyle w:val="Zpat"/>
      <w:jc w:val="both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898FA" w14:textId="77777777" w:rsidR="006B17FB" w:rsidRDefault="006B17FB">
      <w:r>
        <w:separator/>
      </w:r>
    </w:p>
  </w:footnote>
  <w:footnote w:type="continuationSeparator" w:id="0">
    <w:p w14:paraId="32F40649" w14:textId="77777777" w:rsidR="006B17FB" w:rsidRDefault="006B17FB">
      <w:r>
        <w:continuationSeparator/>
      </w:r>
    </w:p>
  </w:footnote>
  <w:footnote w:type="continuationNotice" w:id="1">
    <w:p w14:paraId="1E62D75D" w14:textId="77777777" w:rsidR="006B17FB" w:rsidRDefault="006B1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C0F1" w14:textId="079558F8" w:rsidR="00941A77" w:rsidRPr="007D37B4" w:rsidRDefault="00941A77" w:rsidP="00941A77">
    <w:pPr>
      <w:pStyle w:val="Zhlav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lear" w:pos="4536"/>
        <w:tab w:val="clear" w:pos="9072"/>
      </w:tabs>
      <w:rPr>
        <w:b/>
        <w:sz w:val="20"/>
      </w:rPr>
    </w:pPr>
    <w:r w:rsidRPr="007D37B4">
      <w:rPr>
        <w:b/>
        <w:sz w:val="20"/>
      </w:rPr>
      <w:t>Číslo dodavatele:</w:t>
    </w:r>
    <w:r w:rsidR="00CB3894" w:rsidRPr="007D37B4">
      <w:rPr>
        <w:b/>
        <w:sz w:val="20"/>
      </w:rPr>
      <w:t xml:space="preserve">                               </w:t>
    </w:r>
    <w:r w:rsidR="003F2806" w:rsidRPr="007D37B4">
      <w:rPr>
        <w:b/>
        <w:sz w:val="20"/>
      </w:rPr>
      <w:t xml:space="preserve">                                    </w:t>
    </w:r>
    <w:r w:rsidRPr="007D37B4">
      <w:rPr>
        <w:b/>
        <w:sz w:val="20"/>
      </w:rPr>
      <w:t>Číslo odběratele:</w:t>
    </w:r>
    <w:r w:rsidR="009907FF" w:rsidRPr="007D37B4">
      <w:rPr>
        <w:b/>
        <w:sz w:val="20"/>
      </w:rPr>
      <w:t xml:space="preserve"> </w:t>
    </w:r>
    <w:r w:rsidR="009907FF" w:rsidRPr="009907FF">
      <w:rPr>
        <w:b/>
        <w:sz w:val="20"/>
      </w:rPr>
      <w:t>BL/</w:t>
    </w:r>
    <w:r w:rsidR="004A17F1">
      <w:rPr>
        <w:b/>
        <w:sz w:val="20"/>
      </w:rPr>
      <w:t>2023/006</w:t>
    </w:r>
  </w:p>
  <w:p w14:paraId="477DD24A" w14:textId="77777777" w:rsidR="00941A77" w:rsidRPr="007D37B4" w:rsidRDefault="00941A77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6AED"/>
    <w:multiLevelType w:val="hybridMultilevel"/>
    <w:tmpl w:val="D8889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3EA"/>
    <w:multiLevelType w:val="hybridMultilevel"/>
    <w:tmpl w:val="419EA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294D"/>
    <w:multiLevelType w:val="multilevel"/>
    <w:tmpl w:val="7D72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F3420"/>
    <w:multiLevelType w:val="hybridMultilevel"/>
    <w:tmpl w:val="C95E931E"/>
    <w:lvl w:ilvl="0" w:tplc="432C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24E27"/>
    <w:multiLevelType w:val="hybridMultilevel"/>
    <w:tmpl w:val="F45E3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A92CD8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23C2B"/>
    <w:multiLevelType w:val="hybridMultilevel"/>
    <w:tmpl w:val="2096A22A"/>
    <w:lvl w:ilvl="0" w:tplc="DDC443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67888"/>
    <w:multiLevelType w:val="hybridMultilevel"/>
    <w:tmpl w:val="5C022B8C"/>
    <w:lvl w:ilvl="0" w:tplc="56A2F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B5B3905"/>
    <w:multiLevelType w:val="hybridMultilevel"/>
    <w:tmpl w:val="7D72E77E"/>
    <w:lvl w:ilvl="0" w:tplc="AACAA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91572D"/>
    <w:multiLevelType w:val="hybridMultilevel"/>
    <w:tmpl w:val="32A09C00"/>
    <w:lvl w:ilvl="0" w:tplc="56A2F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551A79"/>
    <w:multiLevelType w:val="hybridMultilevel"/>
    <w:tmpl w:val="47C6E3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639F0A07"/>
    <w:multiLevelType w:val="hybridMultilevel"/>
    <w:tmpl w:val="5308B342"/>
    <w:lvl w:ilvl="0" w:tplc="9DD6B9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9" w15:restartNumberingAfterBreak="0">
    <w:nsid w:val="6A7B3A1C"/>
    <w:multiLevelType w:val="hybridMultilevel"/>
    <w:tmpl w:val="01708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21" w15:restartNumberingAfterBreak="0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477B2"/>
    <w:multiLevelType w:val="hybridMultilevel"/>
    <w:tmpl w:val="60B46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20"/>
  </w:num>
  <w:num w:numId="5">
    <w:abstractNumId w:val="18"/>
  </w:num>
  <w:num w:numId="6">
    <w:abstractNumId w:val="22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  <w:num w:numId="15">
    <w:abstractNumId w:val="6"/>
  </w:num>
  <w:num w:numId="16">
    <w:abstractNumId w:val="17"/>
  </w:num>
  <w:num w:numId="17">
    <w:abstractNumId w:val="4"/>
  </w:num>
  <w:num w:numId="18">
    <w:abstractNumId w:val="14"/>
  </w:num>
  <w:num w:numId="19">
    <w:abstractNumId w:val="7"/>
  </w:num>
  <w:num w:numId="20">
    <w:abstractNumId w:val="9"/>
  </w:num>
  <w:num w:numId="21">
    <w:abstractNumId w:val="1"/>
  </w:num>
  <w:num w:numId="22">
    <w:abstractNumId w:val="0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DocumentId" w:val="EMEA_DMS!415596636.2"/>
    <w:docVar w:name="DMDocumentLibraryName" w:val="EMEA_DMS"/>
    <w:docVar w:name="DMReference" w:val="415596636-v2\EMEA_DMS"/>
    <w:docVar w:name="OfficeIni" w:val="Prague - CZECH.ini"/>
  </w:docVars>
  <w:rsids>
    <w:rsidRoot w:val="00651922"/>
    <w:rsid w:val="00000F23"/>
    <w:rsid w:val="00022968"/>
    <w:rsid w:val="000320AE"/>
    <w:rsid w:val="00035191"/>
    <w:rsid w:val="00040420"/>
    <w:rsid w:val="00040B85"/>
    <w:rsid w:val="00042161"/>
    <w:rsid w:val="0004392E"/>
    <w:rsid w:val="000439D6"/>
    <w:rsid w:val="00063505"/>
    <w:rsid w:val="00066181"/>
    <w:rsid w:val="0007656F"/>
    <w:rsid w:val="0008020A"/>
    <w:rsid w:val="000953C0"/>
    <w:rsid w:val="000977A4"/>
    <w:rsid w:val="000A7C03"/>
    <w:rsid w:val="000B0BE1"/>
    <w:rsid w:val="000C2C96"/>
    <w:rsid w:val="000D1D09"/>
    <w:rsid w:val="000D20E6"/>
    <w:rsid w:val="000D5F26"/>
    <w:rsid w:val="000E44C4"/>
    <w:rsid w:val="000F0580"/>
    <w:rsid w:val="000F4AE5"/>
    <w:rsid w:val="001074E2"/>
    <w:rsid w:val="00117CDE"/>
    <w:rsid w:val="001262B5"/>
    <w:rsid w:val="0013631D"/>
    <w:rsid w:val="00141764"/>
    <w:rsid w:val="001417C8"/>
    <w:rsid w:val="00143AB1"/>
    <w:rsid w:val="001525C7"/>
    <w:rsid w:val="001625C1"/>
    <w:rsid w:val="0016401D"/>
    <w:rsid w:val="00167A10"/>
    <w:rsid w:val="00175C87"/>
    <w:rsid w:val="00176A47"/>
    <w:rsid w:val="00180058"/>
    <w:rsid w:val="00180279"/>
    <w:rsid w:val="001874B1"/>
    <w:rsid w:val="00187BE6"/>
    <w:rsid w:val="001900B7"/>
    <w:rsid w:val="00191965"/>
    <w:rsid w:val="0019435E"/>
    <w:rsid w:val="00195744"/>
    <w:rsid w:val="001A62F1"/>
    <w:rsid w:val="001A7700"/>
    <w:rsid w:val="001A7935"/>
    <w:rsid w:val="001A7BA9"/>
    <w:rsid w:val="001B04CD"/>
    <w:rsid w:val="001B5266"/>
    <w:rsid w:val="001C52C1"/>
    <w:rsid w:val="001C6DE8"/>
    <w:rsid w:val="001D51A0"/>
    <w:rsid w:val="001E44D5"/>
    <w:rsid w:val="001E4AFC"/>
    <w:rsid w:val="00201B1C"/>
    <w:rsid w:val="002034BA"/>
    <w:rsid w:val="002101CC"/>
    <w:rsid w:val="00211F5D"/>
    <w:rsid w:val="002127BC"/>
    <w:rsid w:val="002324FC"/>
    <w:rsid w:val="00232DAE"/>
    <w:rsid w:val="00235DBE"/>
    <w:rsid w:val="002379F2"/>
    <w:rsid w:val="00247B68"/>
    <w:rsid w:val="002568AA"/>
    <w:rsid w:val="0029054C"/>
    <w:rsid w:val="00295C45"/>
    <w:rsid w:val="002A33B0"/>
    <w:rsid w:val="002A4522"/>
    <w:rsid w:val="002A519F"/>
    <w:rsid w:val="002A5401"/>
    <w:rsid w:val="002A7E15"/>
    <w:rsid w:val="002B23E9"/>
    <w:rsid w:val="002B322E"/>
    <w:rsid w:val="002B3A07"/>
    <w:rsid w:val="002B58ED"/>
    <w:rsid w:val="002C1C4D"/>
    <w:rsid w:val="002C3605"/>
    <w:rsid w:val="002C530C"/>
    <w:rsid w:val="002C639D"/>
    <w:rsid w:val="002D1140"/>
    <w:rsid w:val="002D3FCE"/>
    <w:rsid w:val="002E0A09"/>
    <w:rsid w:val="002E36DE"/>
    <w:rsid w:val="002E409D"/>
    <w:rsid w:val="002E4C8E"/>
    <w:rsid w:val="002E6298"/>
    <w:rsid w:val="002E6BAE"/>
    <w:rsid w:val="002F7E3D"/>
    <w:rsid w:val="003042A4"/>
    <w:rsid w:val="00305C80"/>
    <w:rsid w:val="003061A6"/>
    <w:rsid w:val="00311812"/>
    <w:rsid w:val="003146E2"/>
    <w:rsid w:val="003215F6"/>
    <w:rsid w:val="00324E9F"/>
    <w:rsid w:val="00330BB3"/>
    <w:rsid w:val="003431C8"/>
    <w:rsid w:val="00346797"/>
    <w:rsid w:val="003550E8"/>
    <w:rsid w:val="00376CB6"/>
    <w:rsid w:val="003810E1"/>
    <w:rsid w:val="0039029E"/>
    <w:rsid w:val="00397EBF"/>
    <w:rsid w:val="003A23F8"/>
    <w:rsid w:val="003A402E"/>
    <w:rsid w:val="003A59F2"/>
    <w:rsid w:val="003A655F"/>
    <w:rsid w:val="003B79A7"/>
    <w:rsid w:val="003B7B3C"/>
    <w:rsid w:val="003C58C9"/>
    <w:rsid w:val="003D43A8"/>
    <w:rsid w:val="003E6F28"/>
    <w:rsid w:val="003F2806"/>
    <w:rsid w:val="003F3736"/>
    <w:rsid w:val="003F3E59"/>
    <w:rsid w:val="003F4322"/>
    <w:rsid w:val="003F4715"/>
    <w:rsid w:val="00403F69"/>
    <w:rsid w:val="00412B2A"/>
    <w:rsid w:val="00415B3F"/>
    <w:rsid w:val="004173D4"/>
    <w:rsid w:val="00424E46"/>
    <w:rsid w:val="0043119A"/>
    <w:rsid w:val="0043391E"/>
    <w:rsid w:val="00434E73"/>
    <w:rsid w:val="004458A9"/>
    <w:rsid w:val="004532AB"/>
    <w:rsid w:val="004556CA"/>
    <w:rsid w:val="00460B4C"/>
    <w:rsid w:val="0046129B"/>
    <w:rsid w:val="00466A59"/>
    <w:rsid w:val="004729BA"/>
    <w:rsid w:val="00473504"/>
    <w:rsid w:val="004859EE"/>
    <w:rsid w:val="004859FB"/>
    <w:rsid w:val="00493329"/>
    <w:rsid w:val="00497E51"/>
    <w:rsid w:val="004A061B"/>
    <w:rsid w:val="004A0D8F"/>
    <w:rsid w:val="004A17F1"/>
    <w:rsid w:val="004A1E1B"/>
    <w:rsid w:val="004A4067"/>
    <w:rsid w:val="004B32C9"/>
    <w:rsid w:val="004B6B81"/>
    <w:rsid w:val="004C214E"/>
    <w:rsid w:val="004D52CC"/>
    <w:rsid w:val="004D5353"/>
    <w:rsid w:val="004D7939"/>
    <w:rsid w:val="004D7CC2"/>
    <w:rsid w:val="004E0066"/>
    <w:rsid w:val="004E022B"/>
    <w:rsid w:val="004E0665"/>
    <w:rsid w:val="004E4719"/>
    <w:rsid w:val="004F3F3D"/>
    <w:rsid w:val="004F4A4B"/>
    <w:rsid w:val="00501D03"/>
    <w:rsid w:val="00503ECC"/>
    <w:rsid w:val="005075D4"/>
    <w:rsid w:val="00510182"/>
    <w:rsid w:val="0051162F"/>
    <w:rsid w:val="005203B3"/>
    <w:rsid w:val="00531809"/>
    <w:rsid w:val="005331FC"/>
    <w:rsid w:val="00533B90"/>
    <w:rsid w:val="00535F51"/>
    <w:rsid w:val="00542D82"/>
    <w:rsid w:val="00544D5C"/>
    <w:rsid w:val="00551016"/>
    <w:rsid w:val="00555E15"/>
    <w:rsid w:val="0055748E"/>
    <w:rsid w:val="00565059"/>
    <w:rsid w:val="005709BC"/>
    <w:rsid w:val="005736E5"/>
    <w:rsid w:val="005749BD"/>
    <w:rsid w:val="00586D8E"/>
    <w:rsid w:val="00590287"/>
    <w:rsid w:val="00596841"/>
    <w:rsid w:val="005B2B68"/>
    <w:rsid w:val="005B3097"/>
    <w:rsid w:val="005B3D8B"/>
    <w:rsid w:val="005C18A4"/>
    <w:rsid w:val="005C1DC2"/>
    <w:rsid w:val="005C2550"/>
    <w:rsid w:val="005C37D0"/>
    <w:rsid w:val="005D3792"/>
    <w:rsid w:val="005D4BCA"/>
    <w:rsid w:val="005D7F3C"/>
    <w:rsid w:val="005E673E"/>
    <w:rsid w:val="005F5143"/>
    <w:rsid w:val="005F6F71"/>
    <w:rsid w:val="006037D9"/>
    <w:rsid w:val="00607830"/>
    <w:rsid w:val="006168D0"/>
    <w:rsid w:val="00625092"/>
    <w:rsid w:val="00627252"/>
    <w:rsid w:val="00634B7A"/>
    <w:rsid w:val="006423DB"/>
    <w:rsid w:val="00651922"/>
    <w:rsid w:val="00653726"/>
    <w:rsid w:val="00657A51"/>
    <w:rsid w:val="00661786"/>
    <w:rsid w:val="006634E2"/>
    <w:rsid w:val="00671006"/>
    <w:rsid w:val="0067442C"/>
    <w:rsid w:val="006808FF"/>
    <w:rsid w:val="00686399"/>
    <w:rsid w:val="00686404"/>
    <w:rsid w:val="00690EAF"/>
    <w:rsid w:val="006A3544"/>
    <w:rsid w:val="006A7FDB"/>
    <w:rsid w:val="006B068E"/>
    <w:rsid w:val="006B17FB"/>
    <w:rsid w:val="006B2D07"/>
    <w:rsid w:val="006B7033"/>
    <w:rsid w:val="006C204B"/>
    <w:rsid w:val="006C21DC"/>
    <w:rsid w:val="006C40AD"/>
    <w:rsid w:val="006D0F30"/>
    <w:rsid w:val="006D2B89"/>
    <w:rsid w:val="006D2FFC"/>
    <w:rsid w:val="006D3B37"/>
    <w:rsid w:val="006D57BF"/>
    <w:rsid w:val="006D6793"/>
    <w:rsid w:val="006D7A53"/>
    <w:rsid w:val="006D7B99"/>
    <w:rsid w:val="006E6436"/>
    <w:rsid w:val="006F00AD"/>
    <w:rsid w:val="006F4E9E"/>
    <w:rsid w:val="0070196C"/>
    <w:rsid w:val="007020F2"/>
    <w:rsid w:val="00704898"/>
    <w:rsid w:val="00706E5D"/>
    <w:rsid w:val="00712907"/>
    <w:rsid w:val="00712BDC"/>
    <w:rsid w:val="007151E4"/>
    <w:rsid w:val="00717BC8"/>
    <w:rsid w:val="0072389C"/>
    <w:rsid w:val="00725518"/>
    <w:rsid w:val="007265A4"/>
    <w:rsid w:val="00726D5C"/>
    <w:rsid w:val="00731D1B"/>
    <w:rsid w:val="00741D47"/>
    <w:rsid w:val="00742108"/>
    <w:rsid w:val="00752199"/>
    <w:rsid w:val="007541B5"/>
    <w:rsid w:val="00754E2D"/>
    <w:rsid w:val="00763A6E"/>
    <w:rsid w:val="0076422C"/>
    <w:rsid w:val="00766545"/>
    <w:rsid w:val="0077407E"/>
    <w:rsid w:val="00780CB6"/>
    <w:rsid w:val="007841CC"/>
    <w:rsid w:val="00785A89"/>
    <w:rsid w:val="007912AE"/>
    <w:rsid w:val="007912FE"/>
    <w:rsid w:val="0079240E"/>
    <w:rsid w:val="00793BE1"/>
    <w:rsid w:val="007A126A"/>
    <w:rsid w:val="007B0EAE"/>
    <w:rsid w:val="007B25C5"/>
    <w:rsid w:val="007B64FE"/>
    <w:rsid w:val="007B7571"/>
    <w:rsid w:val="007C0246"/>
    <w:rsid w:val="007C186E"/>
    <w:rsid w:val="007C1AE3"/>
    <w:rsid w:val="007D37B4"/>
    <w:rsid w:val="007F2D57"/>
    <w:rsid w:val="007F34F9"/>
    <w:rsid w:val="008316C3"/>
    <w:rsid w:val="00831C08"/>
    <w:rsid w:val="00832B16"/>
    <w:rsid w:val="00833EAC"/>
    <w:rsid w:val="0083584B"/>
    <w:rsid w:val="00835958"/>
    <w:rsid w:val="00850D99"/>
    <w:rsid w:val="0085600E"/>
    <w:rsid w:val="00856C05"/>
    <w:rsid w:val="0086085C"/>
    <w:rsid w:val="00870F2F"/>
    <w:rsid w:val="008812C1"/>
    <w:rsid w:val="00885AF0"/>
    <w:rsid w:val="00896B9E"/>
    <w:rsid w:val="008A0F25"/>
    <w:rsid w:val="008A638D"/>
    <w:rsid w:val="008A711E"/>
    <w:rsid w:val="008B5335"/>
    <w:rsid w:val="008D0081"/>
    <w:rsid w:val="008D0E48"/>
    <w:rsid w:val="008F0890"/>
    <w:rsid w:val="00901B5B"/>
    <w:rsid w:val="00906B9B"/>
    <w:rsid w:val="00927D1C"/>
    <w:rsid w:val="00927D4F"/>
    <w:rsid w:val="00932F7D"/>
    <w:rsid w:val="009418D6"/>
    <w:rsid w:val="00941A77"/>
    <w:rsid w:val="00942E64"/>
    <w:rsid w:val="00953982"/>
    <w:rsid w:val="00953B44"/>
    <w:rsid w:val="00953FF2"/>
    <w:rsid w:val="0095535B"/>
    <w:rsid w:val="00956F02"/>
    <w:rsid w:val="0095734E"/>
    <w:rsid w:val="00973C3B"/>
    <w:rsid w:val="009764AC"/>
    <w:rsid w:val="00980E52"/>
    <w:rsid w:val="009907FF"/>
    <w:rsid w:val="009946B0"/>
    <w:rsid w:val="009B44B1"/>
    <w:rsid w:val="009B66F5"/>
    <w:rsid w:val="009C249C"/>
    <w:rsid w:val="009C45EB"/>
    <w:rsid w:val="009C5DA2"/>
    <w:rsid w:val="009E5694"/>
    <w:rsid w:val="009E65C2"/>
    <w:rsid w:val="009E6DED"/>
    <w:rsid w:val="00A06E22"/>
    <w:rsid w:val="00A07AC7"/>
    <w:rsid w:val="00A11007"/>
    <w:rsid w:val="00A16B0D"/>
    <w:rsid w:val="00A17411"/>
    <w:rsid w:val="00A219CE"/>
    <w:rsid w:val="00A25FEC"/>
    <w:rsid w:val="00A42962"/>
    <w:rsid w:val="00A43133"/>
    <w:rsid w:val="00A45F18"/>
    <w:rsid w:val="00A51DBC"/>
    <w:rsid w:val="00A52B74"/>
    <w:rsid w:val="00A60E78"/>
    <w:rsid w:val="00A61F88"/>
    <w:rsid w:val="00A72104"/>
    <w:rsid w:val="00A72843"/>
    <w:rsid w:val="00A87592"/>
    <w:rsid w:val="00A87652"/>
    <w:rsid w:val="00A93E5F"/>
    <w:rsid w:val="00AA1C69"/>
    <w:rsid w:val="00AB21BB"/>
    <w:rsid w:val="00AB363C"/>
    <w:rsid w:val="00AD1A3C"/>
    <w:rsid w:val="00AD2EC1"/>
    <w:rsid w:val="00AD6675"/>
    <w:rsid w:val="00AE53CF"/>
    <w:rsid w:val="00AF0A84"/>
    <w:rsid w:val="00AF3D30"/>
    <w:rsid w:val="00AF401D"/>
    <w:rsid w:val="00B02F54"/>
    <w:rsid w:val="00B04200"/>
    <w:rsid w:val="00B074FF"/>
    <w:rsid w:val="00B121DF"/>
    <w:rsid w:val="00B166BE"/>
    <w:rsid w:val="00B17375"/>
    <w:rsid w:val="00B2278B"/>
    <w:rsid w:val="00B259C7"/>
    <w:rsid w:val="00B26432"/>
    <w:rsid w:val="00B32F35"/>
    <w:rsid w:val="00B35B1D"/>
    <w:rsid w:val="00B35FFC"/>
    <w:rsid w:val="00B452E3"/>
    <w:rsid w:val="00B6368E"/>
    <w:rsid w:val="00B67A12"/>
    <w:rsid w:val="00B74F68"/>
    <w:rsid w:val="00B83F7C"/>
    <w:rsid w:val="00B8670E"/>
    <w:rsid w:val="00B959AE"/>
    <w:rsid w:val="00BA14C0"/>
    <w:rsid w:val="00BA4C52"/>
    <w:rsid w:val="00BB6EBD"/>
    <w:rsid w:val="00BD2C53"/>
    <w:rsid w:val="00BD3E48"/>
    <w:rsid w:val="00BD6C28"/>
    <w:rsid w:val="00BE1791"/>
    <w:rsid w:val="00BE3E5C"/>
    <w:rsid w:val="00BF0D35"/>
    <w:rsid w:val="00BF49C1"/>
    <w:rsid w:val="00BF5003"/>
    <w:rsid w:val="00C1398B"/>
    <w:rsid w:val="00C173B8"/>
    <w:rsid w:val="00C21D54"/>
    <w:rsid w:val="00C23FC5"/>
    <w:rsid w:val="00C30123"/>
    <w:rsid w:val="00C33E76"/>
    <w:rsid w:val="00C36DE0"/>
    <w:rsid w:val="00C43463"/>
    <w:rsid w:val="00C443B3"/>
    <w:rsid w:val="00C53A58"/>
    <w:rsid w:val="00C57D94"/>
    <w:rsid w:val="00C635CF"/>
    <w:rsid w:val="00C67052"/>
    <w:rsid w:val="00C677C4"/>
    <w:rsid w:val="00C82B1D"/>
    <w:rsid w:val="00C87B52"/>
    <w:rsid w:val="00C94EDA"/>
    <w:rsid w:val="00CA2749"/>
    <w:rsid w:val="00CB31BB"/>
    <w:rsid w:val="00CB3894"/>
    <w:rsid w:val="00CB6DA7"/>
    <w:rsid w:val="00CD063F"/>
    <w:rsid w:val="00CD1FE8"/>
    <w:rsid w:val="00CD697D"/>
    <w:rsid w:val="00CE27AD"/>
    <w:rsid w:val="00CE2D3A"/>
    <w:rsid w:val="00CF074E"/>
    <w:rsid w:val="00CF0CD5"/>
    <w:rsid w:val="00CF29AA"/>
    <w:rsid w:val="00D0396A"/>
    <w:rsid w:val="00D110EB"/>
    <w:rsid w:val="00D13089"/>
    <w:rsid w:val="00D15A17"/>
    <w:rsid w:val="00D15E74"/>
    <w:rsid w:val="00D16EBC"/>
    <w:rsid w:val="00D217F1"/>
    <w:rsid w:val="00D235EB"/>
    <w:rsid w:val="00D24498"/>
    <w:rsid w:val="00D26960"/>
    <w:rsid w:val="00D27E8C"/>
    <w:rsid w:val="00D30E66"/>
    <w:rsid w:val="00D33E43"/>
    <w:rsid w:val="00D406D3"/>
    <w:rsid w:val="00D41A21"/>
    <w:rsid w:val="00D42CCD"/>
    <w:rsid w:val="00D457CC"/>
    <w:rsid w:val="00D45A56"/>
    <w:rsid w:val="00D471A1"/>
    <w:rsid w:val="00D51648"/>
    <w:rsid w:val="00D62022"/>
    <w:rsid w:val="00D701F0"/>
    <w:rsid w:val="00D70C02"/>
    <w:rsid w:val="00D74B0A"/>
    <w:rsid w:val="00D87C0E"/>
    <w:rsid w:val="00D94973"/>
    <w:rsid w:val="00DA4FDF"/>
    <w:rsid w:val="00DB34CE"/>
    <w:rsid w:val="00DB7449"/>
    <w:rsid w:val="00DC5C03"/>
    <w:rsid w:val="00DD1872"/>
    <w:rsid w:val="00DD4120"/>
    <w:rsid w:val="00DE20A0"/>
    <w:rsid w:val="00DE38DE"/>
    <w:rsid w:val="00DE6276"/>
    <w:rsid w:val="00DF078B"/>
    <w:rsid w:val="00DF2F20"/>
    <w:rsid w:val="00DF32E6"/>
    <w:rsid w:val="00DF37E1"/>
    <w:rsid w:val="00DF48BC"/>
    <w:rsid w:val="00DF5354"/>
    <w:rsid w:val="00E043F7"/>
    <w:rsid w:val="00E14E35"/>
    <w:rsid w:val="00E151B1"/>
    <w:rsid w:val="00E15BA5"/>
    <w:rsid w:val="00E24771"/>
    <w:rsid w:val="00E3362D"/>
    <w:rsid w:val="00E369EF"/>
    <w:rsid w:val="00E409C3"/>
    <w:rsid w:val="00E447C0"/>
    <w:rsid w:val="00E46CAB"/>
    <w:rsid w:val="00E47CF0"/>
    <w:rsid w:val="00E503A1"/>
    <w:rsid w:val="00E517D5"/>
    <w:rsid w:val="00E62D26"/>
    <w:rsid w:val="00E62DCF"/>
    <w:rsid w:val="00E67C63"/>
    <w:rsid w:val="00E7516D"/>
    <w:rsid w:val="00E85610"/>
    <w:rsid w:val="00E86016"/>
    <w:rsid w:val="00E902A6"/>
    <w:rsid w:val="00E91573"/>
    <w:rsid w:val="00E928E7"/>
    <w:rsid w:val="00E92B14"/>
    <w:rsid w:val="00E94C46"/>
    <w:rsid w:val="00E9720E"/>
    <w:rsid w:val="00EC0A34"/>
    <w:rsid w:val="00EC5B21"/>
    <w:rsid w:val="00EE07DF"/>
    <w:rsid w:val="00EF317B"/>
    <w:rsid w:val="00F0576F"/>
    <w:rsid w:val="00F10F2A"/>
    <w:rsid w:val="00F21E40"/>
    <w:rsid w:val="00F234C4"/>
    <w:rsid w:val="00F26444"/>
    <w:rsid w:val="00F35EA4"/>
    <w:rsid w:val="00F37484"/>
    <w:rsid w:val="00F37C92"/>
    <w:rsid w:val="00F37EF0"/>
    <w:rsid w:val="00F413BF"/>
    <w:rsid w:val="00F420C7"/>
    <w:rsid w:val="00F42717"/>
    <w:rsid w:val="00F4518F"/>
    <w:rsid w:val="00F55B28"/>
    <w:rsid w:val="00F56325"/>
    <w:rsid w:val="00F56568"/>
    <w:rsid w:val="00F64068"/>
    <w:rsid w:val="00F64B36"/>
    <w:rsid w:val="00F705EA"/>
    <w:rsid w:val="00F70E31"/>
    <w:rsid w:val="00F74CC9"/>
    <w:rsid w:val="00F77423"/>
    <w:rsid w:val="00F77F4E"/>
    <w:rsid w:val="00F81F22"/>
    <w:rsid w:val="00F87CA6"/>
    <w:rsid w:val="00F915C0"/>
    <w:rsid w:val="00F95BD8"/>
    <w:rsid w:val="00FB1202"/>
    <w:rsid w:val="00FB425E"/>
    <w:rsid w:val="00FB4561"/>
    <w:rsid w:val="00FC1E8C"/>
    <w:rsid w:val="00FC4573"/>
    <w:rsid w:val="00FD084D"/>
    <w:rsid w:val="00FD20B4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639C5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BodyText21">
    <w:name w:val="Body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nadpis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BodyText31">
    <w:name w:val="Body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character" w:customStyle="1" w:styleId="ZhlavChar">
    <w:name w:val="Záhlaví Char"/>
    <w:link w:val="Zhlav"/>
    <w:rsid w:val="00F420C7"/>
    <w:rPr>
      <w:rFonts w:ascii="Arial" w:hAnsi="Arial"/>
      <w:sz w:val="22"/>
    </w:rPr>
  </w:style>
  <w:style w:type="paragraph" w:customStyle="1" w:styleId="Default">
    <w:name w:val="Default"/>
    <w:rsid w:val="00AF40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6">
    <w:name w:val="Font Style16"/>
    <w:rsid w:val="005B3097"/>
    <w:rPr>
      <w:rFonts w:ascii="Times New Roman" w:hAnsi="Times New Roman" w:cs="Times New Roman" w:hint="default"/>
      <w:sz w:val="22"/>
      <w:szCs w:val="22"/>
    </w:rPr>
  </w:style>
  <w:style w:type="character" w:styleId="Hypertextovodkaz">
    <w:name w:val="Hyperlink"/>
    <w:rsid w:val="00941A7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53726"/>
    <w:pPr>
      <w:keepNext w:val="0"/>
      <w:keepLines w:val="0"/>
      <w:widowControl w:val="0"/>
      <w:tabs>
        <w:tab w:val="left" w:pos="180"/>
        <w:tab w:val="left" w:pos="5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40"/>
    </w:rPr>
  </w:style>
  <w:style w:type="character" w:customStyle="1" w:styleId="NzevChar">
    <w:name w:val="Název Char"/>
    <w:link w:val="Nzev"/>
    <w:rsid w:val="00653726"/>
    <w:rPr>
      <w:b/>
      <w:sz w:val="40"/>
    </w:rPr>
  </w:style>
  <w:style w:type="paragraph" w:styleId="Revize">
    <w:name w:val="Revision"/>
    <w:hidden/>
    <w:uiPriority w:val="99"/>
    <w:semiHidden/>
    <w:rsid w:val="006B2D07"/>
    <w:rPr>
      <w:rFonts w:ascii="Arial" w:hAnsi="Arial"/>
      <w:sz w:val="22"/>
    </w:rPr>
  </w:style>
  <w:style w:type="table" w:styleId="Mkatabulky">
    <w:name w:val="Table Grid"/>
    <w:basedOn w:val="Normlntabulka"/>
    <w:rsid w:val="007C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F5143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C2C96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 E M E A _ D M S ! 4 1 5 5 9 6 6 3 6 . 2 < / d o c u m e n t i d >  
     < s e n d e r i d > P R A L X B < / s e n d e r i d >  
     < s e n d e r e m a i l > L E N K A . B E S T A K O V A @ B A K E R M C K E N Z I E . C O M < / s e n d e r e m a i l >  
     < l a s t m o d i f i e d > 2 0 2 3 - 0 3 - 0 1 T 1 4 : 0 6 : 0 0 . 0 0 0 0 0 0 0 + 0 1 : 0 0 < / l a s t m o d i f i e d >  
     < d a t a b a s e > E M E A _ D M S 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26DB-588B-4893-9DAC-5B9F712D11C6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D7B5CA5-458A-495E-A452-7B00EA8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2587</Words>
  <Characters>15865</Characters>
  <Application>Microsoft Office Word</Application>
  <DocSecurity>4</DocSecurity>
  <Lines>132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18416</CharactersWithSpaces>
  <SharedDoc>false</SharedDoc>
  <HLinks>
    <vt:vector size="18" baseType="variant">
      <vt:variant>
        <vt:i4>4718634</vt:i4>
      </vt:variant>
      <vt:variant>
        <vt:i4>6</vt:i4>
      </vt:variant>
      <vt:variant>
        <vt:i4>0</vt:i4>
      </vt:variant>
      <vt:variant>
        <vt:i4>5</vt:i4>
      </vt:variant>
      <vt:variant>
        <vt:lpwstr>mailto:vladimir.holub@fnusa.cz</vt:lpwstr>
      </vt:variant>
      <vt:variant>
        <vt:lpwstr/>
      </vt:variant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mailto:novak_jan@lilly.com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mailto:vladimir.holub@fnusa.cz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2023-06-12T10:30:00Z</dcterms:created>
  <dcterms:modified xsi:type="dcterms:W3CDTF">2023-06-12T10:30:00Z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#415596636v2&lt;EMEA_DMS&gt; - Eli Lilly_FN USA_Smlouva o obchodním zvýhodnění_2023</vt:lpwstr>
  </property>
</Properties>
</file>