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</w:t>
        <w:br/>
        <w:t>ke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servisní smlouvě ze dne 21. 5. 2015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8" w:val="left"/>
        </w:tabs>
        <w:bidi w:val="0"/>
        <w:spacing w:before="0" w:after="0" w:line="271" w:lineRule="auto"/>
        <w:ind w:left="0" w:right="0" w:firstLine="3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Národní památkový ústav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Valdštejnské náměstí 162/3, 118 01 Praha1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720" w:right="0" w:firstLine="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IČO: 750 32 333, DIČ: CZ75032333, je plátce DPH zastoupen: Ing. arch. Naděždou Goryczkovou, generální ředitelkou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(dále jako „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PORTA DESIGN s.r.o.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Hrotovice, Sokolská 547, PSČ 67555 zapsaná v obchodním rejstříku vedeném U Krajského soudu v Brně, oddíl C, vložka 54960, IČO: 27726789, DIČ: CZ27726789,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zastoupen: Bc. Waltrem Piskem, jednatelem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76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(dále jako „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zhotovitel“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 uzavírají tento: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servisní smlouvě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Dodatek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strany, vědomy si svých závazků v tomto Dodatku obsažených a s úmyslem být tímto</w:t>
        <w:br/>
        <w:t>Dodatkem a dále servisní smlouvou ze dne 21. 5. 2015 vázány, dohodly se na následujícím znění</w:t>
        <w:br/>
        <w:t>Dodatku: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 Předmět Dodatku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21. 5. 2015 uzavřely smluvní strany servisní smlouvu, jejímž předmětem je poskytování služeb souvisejících s provozem aplikace webové prezentace pro objednatele (dále jen „smlouva“).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 na tomto dodatku za účelem nápravy zjevné chyby v psaní, ke které došlo při finalizaci návrhu smlouvu po proběhlé veřejné zakázce „Vytvoření nové webové prezentace Národního památkového ústavu </w:t>
      </w:r>
      <w:r>
        <w:fldChar w:fldCharType="begin"/>
      </w:r>
      <w:r>
        <w:rPr/>
        <w:instrText> HYPERLINK "http://www.npu.cz"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www.npu.cz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její správa a údržba“ (dále jen „veřejná zakázka“). Tato chyba v psaní spočívá v neuvedení paušální ceny za webhosting oproti nabídce zhotovitele podané v rámci veřejné zakázky, která byla rovněž předmětem hodnocení doručených nabídek v rámci této zakázky. Nabídka zhotovitele tvoří přílohu tohoto Dodatku.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změně čl. V odst. 1 smlouvy, který nově zní: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76" w:lineRule="auto"/>
        <w:ind w:left="440" w:right="0" w:hanging="440"/>
        <w:jc w:val="both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1. Cena plnění pro předmět smlouvy podle čl. II., odst. 1, písm. a), b), c) a d) této smlouvy je stanovena paušální částkou ve výši 41 000,- Kč bez DPH za 3 kalendářní měsíce, přičemž k ceně bude připočteno DPH v sazbě platné v den uskutečnění zdanitelného plnění.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0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svýše uvedenými změnami smlouvy souhlasí.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0" w:val="left"/>
        </w:tabs>
        <w:bidi w:val="0"/>
        <w:spacing w:before="0" w:after="5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beze změn.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 Závěrečná ustanovení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Tento Dodatek se vyhotovuje ve dvou (2) stejnopisech, z nichž každý má platnost originálu. Každá smluvní strana obdrží po jednom (1) vyhotovení.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a účinnosti dnem jeho podpisu oběma smluvními stranami s tím, že se smluvní strany dohodly, že dojde ke zpětné úhradě ceny za webhosting za období ode dne účinnosti smlouvy do dne účinnosti tohoto dodatku, a to plně v souladu s podmínkami veřejné zakázky a v souladu s nabídkou zhotovitele. Tato částku bude uhrazena v rámci standardního čtvrtletního vyúčtování.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5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pečlivě přečetly, jeho obsahu porozuměly a nemají k němu žádné výhrady. Dále prohlašují, že tento Dodatek neuzavřely v tísni za nápadně nevýhodných podmínek a že tento Dodatek je projevem jejich svobodné vůle a na důkaz tohoto strany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054" w:val="left"/>
          <w:tab w:leader="dot" w:pos="6480" w:val="left"/>
          <w:tab w:leader="dot" w:pos="7944" w:val="left"/>
        </w:tabs>
        <w:bidi w:val="0"/>
        <w:spacing w:before="0" w:after="52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ragraph">
                  <wp:posOffset>508000</wp:posOffset>
                </wp:positionV>
                <wp:extent cx="664210" cy="1612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pt;margin-top:40.pt;width:52.299999999999997pt;height:12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</w:t>
        <w:tab/>
        <w:t xml:space="preserve"> V</w:t>
        <w:tab/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sectPr>
      <w:footerReference w:type="default" r:id="rId5"/>
      <w:footerReference w:type="even" r:id="rId6"/>
      <w:footnotePr>
        <w:pos w:val="pageBottom"/>
        <w:numFmt w:val="decimal"/>
        <w:numRestart w:val="continuous"/>
      </w:footnotePr>
      <w:pgSz w:w="11900" w:h="16840"/>
      <w:pgMar w:top="1434" w:left="1371" w:right="1371" w:bottom="280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10258425</wp:posOffset>
              </wp:positionV>
              <wp:extent cx="7620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0.700000000000003pt;margin-top:807.75pt;width:6.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Nadpis #2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40"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120" w:line="305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spacing w:after="180" w:line="254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SMLOUVA O SMLOUVĚ BUDOUCÍ</dc:title>
  <dc:subject/>
  <dc:creator>Janoščíková Markéta</dc:creator>
  <cp:keywords/>
</cp:coreProperties>
</file>