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870A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5C54406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BCF9FA1" w14:textId="0F9BA969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CA6BDF">
        <w:rPr>
          <w:rFonts w:ascii="Palatino Linotype" w:hAnsi="Palatino Linotype"/>
          <w:sz w:val="18"/>
          <w:szCs w:val="18"/>
        </w:rPr>
        <w:t xml:space="preserve">Č.j. NG </w:t>
      </w:r>
      <w:r w:rsidR="00CA6BDF" w:rsidRPr="00CA6BDF">
        <w:rPr>
          <w:rFonts w:ascii="Palatino Linotype" w:hAnsi="Palatino Linotype"/>
          <w:sz w:val="18"/>
          <w:szCs w:val="18"/>
        </w:rPr>
        <w:t>934</w:t>
      </w:r>
      <w:r w:rsidRPr="00CA6BDF">
        <w:rPr>
          <w:rFonts w:ascii="Palatino Linotype" w:hAnsi="Palatino Linotype"/>
          <w:sz w:val="18"/>
          <w:szCs w:val="18"/>
        </w:rPr>
        <w:t>/</w:t>
      </w:r>
      <w:r w:rsidR="009F3252" w:rsidRPr="00CA6BDF">
        <w:rPr>
          <w:rFonts w:ascii="Palatino Linotype" w:hAnsi="Palatino Linotype"/>
          <w:sz w:val="18"/>
          <w:szCs w:val="18"/>
        </w:rPr>
        <w:t>202</w:t>
      </w:r>
      <w:r w:rsidR="00CA6BDF" w:rsidRPr="00CA6BDF">
        <w:rPr>
          <w:rFonts w:ascii="Palatino Linotype" w:hAnsi="Palatino Linotype"/>
          <w:sz w:val="18"/>
          <w:szCs w:val="18"/>
        </w:rPr>
        <w:t>3</w:t>
      </w:r>
    </w:p>
    <w:p w14:paraId="572BB5D5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38DC573" w14:textId="77777777" w:rsidR="007E3E20" w:rsidRDefault="007E3E20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67A3DE9A" w14:textId="77777777" w:rsidR="007E3E20" w:rsidRDefault="007E3E20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42EB9E1F" w14:textId="40DC89EB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CA6BDF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641DDAC2" w14:textId="735C4D60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CA6BDF" w:rsidRPr="007E3E20">
        <w:rPr>
          <w:rFonts w:ascii="Palatino Linotype" w:hAnsi="Palatino Linotype"/>
          <w:b/>
          <w:bCs/>
          <w:smallCaps/>
          <w:sz w:val="18"/>
          <w:szCs w:val="18"/>
        </w:rPr>
        <w:t>307</w:t>
      </w:r>
      <w:r w:rsidRPr="007E3E20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CA6BDF" w:rsidRPr="007E3E20">
        <w:rPr>
          <w:rFonts w:ascii="Palatino Linotype" w:hAnsi="Palatino Linotype"/>
          <w:b/>
          <w:bCs/>
          <w:smallCaps/>
          <w:sz w:val="18"/>
          <w:szCs w:val="18"/>
        </w:rPr>
        <w:t>23</w:t>
      </w:r>
      <w:r w:rsidRPr="007E3E20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CA6BDF" w:rsidRPr="007E3E20">
        <w:rPr>
          <w:rFonts w:ascii="Palatino Linotype" w:hAnsi="Palatino Linotype"/>
          <w:b/>
          <w:bCs/>
          <w:smallCaps/>
          <w:sz w:val="18"/>
          <w:szCs w:val="18"/>
        </w:rPr>
        <w:t>13</w:t>
      </w:r>
      <w:r w:rsidRPr="007E3E20">
        <w:rPr>
          <w:rFonts w:ascii="Palatino Linotype" w:hAnsi="Palatino Linotype"/>
          <w:b/>
          <w:bCs/>
          <w:smallCaps/>
          <w:sz w:val="18"/>
          <w:szCs w:val="18"/>
        </w:rPr>
        <w:t>. června 20</w:t>
      </w:r>
      <w:r w:rsidR="00CA6BDF" w:rsidRPr="007E3E20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685E39F6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01E28B61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B09C920" w14:textId="1400E4D3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175B601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BD42BFD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5A86AD8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2AE681D1" w14:textId="37D9A05F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  <w:r w:rsidR="001C2B62">
        <w:rPr>
          <w:rFonts w:ascii="Palatino Linotype" w:hAnsi="Palatino Linotype"/>
          <w:sz w:val="18"/>
          <w:szCs w:val="18"/>
        </w:rPr>
        <w:t xml:space="preserve">, </w:t>
      </w: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680EFF3F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263094D" w14:textId="77777777" w:rsidR="00CC4247" w:rsidRPr="00953E13" w:rsidRDefault="00CC4247" w:rsidP="00C877AB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025027DA" w14:textId="77777777" w:rsidR="00CA6BDF" w:rsidRDefault="00CA6BDF" w:rsidP="00CA6BDF">
      <w:pPr>
        <w:rPr>
          <w:rFonts w:ascii="Palatino Linotype" w:hAnsi="Palatino Linotype"/>
          <w:b/>
          <w:sz w:val="18"/>
          <w:szCs w:val="18"/>
        </w:rPr>
      </w:pPr>
      <w:r w:rsidRPr="00CC6EAD">
        <w:rPr>
          <w:rFonts w:ascii="Palatino Linotype" w:hAnsi="Palatino Linotype"/>
          <w:b/>
          <w:sz w:val="18"/>
          <w:szCs w:val="18"/>
        </w:rPr>
        <w:t xml:space="preserve">Obecní dům, a.s. </w:t>
      </w:r>
    </w:p>
    <w:p w14:paraId="5815907D" w14:textId="77777777" w:rsidR="00CA6BDF" w:rsidRPr="00CC6EAD" w:rsidRDefault="00CA6BDF" w:rsidP="00CA6BDF">
      <w:pPr>
        <w:rPr>
          <w:rFonts w:ascii="Palatino Linotype" w:hAnsi="Palatino Linotype"/>
          <w:bCs/>
          <w:sz w:val="18"/>
          <w:szCs w:val="18"/>
        </w:rPr>
      </w:pPr>
      <w:r w:rsidRPr="00CC6EAD">
        <w:rPr>
          <w:rFonts w:ascii="Palatino Linotype" w:hAnsi="Palatino Linotype"/>
          <w:bCs/>
          <w:sz w:val="18"/>
          <w:szCs w:val="18"/>
        </w:rPr>
        <w:t>náměstí Republiky 1090/5, 111 21, Praha 1 – Staré Město</w:t>
      </w:r>
    </w:p>
    <w:p w14:paraId="4E54F164" w14:textId="77777777" w:rsidR="00CA6BDF" w:rsidRPr="00587EC6" w:rsidRDefault="00CA6BDF" w:rsidP="00CA6BDF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>
        <w:rPr>
          <w:rFonts w:ascii="Palatino Linotype" w:hAnsi="Palatino Linotype"/>
          <w:snapToGrid w:val="0"/>
          <w:sz w:val="18"/>
          <w:szCs w:val="18"/>
        </w:rPr>
        <w:t>ý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CC6EAD">
        <w:rPr>
          <w:rFonts w:ascii="Palatino Linotype" w:hAnsi="Palatino Linotype"/>
          <w:sz w:val="18"/>
          <w:szCs w:val="18"/>
        </w:rPr>
        <w:t>Mgr. Vlastimilem Ježkem</w:t>
      </w:r>
      <w:r>
        <w:rPr>
          <w:rFonts w:ascii="Palatino Linotype" w:hAnsi="Palatino Linotype"/>
          <w:sz w:val="18"/>
          <w:szCs w:val="18"/>
        </w:rPr>
        <w:t xml:space="preserve">, předsedou </w:t>
      </w:r>
      <w:r w:rsidRPr="00587EC6">
        <w:rPr>
          <w:rFonts w:ascii="Palatino Linotype" w:hAnsi="Palatino Linotype"/>
          <w:sz w:val="18"/>
          <w:szCs w:val="18"/>
        </w:rPr>
        <w:t>představenstva a Janem Lacinou, místopředsedou představenstva</w:t>
      </w:r>
    </w:p>
    <w:p w14:paraId="1A7E46B6" w14:textId="1CCA3285" w:rsidR="00CA6BDF" w:rsidRDefault="00CA6BDF" w:rsidP="00CA6BDF">
      <w:pPr>
        <w:rPr>
          <w:rFonts w:ascii="Palatino Linotype" w:hAnsi="Palatino Linotype"/>
          <w:sz w:val="18"/>
          <w:szCs w:val="18"/>
        </w:rPr>
      </w:pPr>
      <w:r w:rsidRPr="00587EC6">
        <w:rPr>
          <w:rFonts w:ascii="Palatino Linotype" w:hAnsi="Palatino Linotype"/>
          <w:sz w:val="18"/>
          <w:szCs w:val="18"/>
        </w:rPr>
        <w:t>IČ: 27251918</w:t>
      </w:r>
      <w:r>
        <w:rPr>
          <w:rFonts w:ascii="Palatino Linotype" w:hAnsi="Palatino Linotype"/>
          <w:sz w:val="18"/>
          <w:szCs w:val="18"/>
        </w:rPr>
        <w:t>,</w:t>
      </w:r>
      <w:r w:rsidR="009E0064">
        <w:rPr>
          <w:rFonts w:ascii="Palatino Linotype" w:hAnsi="Palatino Linotype"/>
          <w:sz w:val="18"/>
          <w:szCs w:val="18"/>
        </w:rPr>
        <w:t xml:space="preserve"> </w:t>
      </w:r>
      <w:r w:rsidRPr="00CC6EAD">
        <w:rPr>
          <w:rFonts w:ascii="Palatino Linotype" w:hAnsi="Palatino Linotype"/>
          <w:sz w:val="18"/>
          <w:szCs w:val="18"/>
        </w:rPr>
        <w:t>DIČ: CZ27251918</w:t>
      </w:r>
    </w:p>
    <w:p w14:paraId="796B7321" w14:textId="77777777" w:rsidR="00CA6BDF" w:rsidRPr="001D381F" w:rsidRDefault="00CA6BDF" w:rsidP="00CA6BDF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0F2A75E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524BF49C" w14:textId="5AE745D0" w:rsidR="00C877AB" w:rsidRDefault="00C877AB" w:rsidP="001C2B62">
      <w:pPr>
        <w:spacing w:before="12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</w:p>
    <w:p w14:paraId="37F7442D" w14:textId="77777777" w:rsidR="007E3E20" w:rsidRDefault="007E3E20" w:rsidP="001C2B62">
      <w:pPr>
        <w:spacing w:before="12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</w:p>
    <w:p w14:paraId="380B8C01" w14:textId="5FA4D9FF" w:rsidR="00394D05" w:rsidRPr="00953E13" w:rsidRDefault="00394D05" w:rsidP="001C2B62">
      <w:pPr>
        <w:spacing w:before="12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E06C773" w14:textId="46075803" w:rsidR="00B127CA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C877AB" w:rsidRPr="007E3E20">
        <w:rPr>
          <w:rFonts w:ascii="Palatino Linotype" w:hAnsi="Palatino Linotype"/>
          <w:sz w:val="18"/>
          <w:szCs w:val="18"/>
        </w:rPr>
        <w:t>2</w:t>
      </w:r>
      <w:r w:rsidR="00CC4247" w:rsidRPr="007E3E20">
        <w:rPr>
          <w:rFonts w:ascii="Palatino Linotype" w:hAnsi="Palatino Linotype"/>
          <w:sz w:val="18"/>
          <w:szCs w:val="18"/>
        </w:rPr>
        <w:t xml:space="preserve"> list</w:t>
      </w:r>
      <w:r w:rsidR="00C877AB" w:rsidRPr="007E3E20">
        <w:rPr>
          <w:rFonts w:ascii="Palatino Linotype" w:hAnsi="Palatino Linotype"/>
          <w:sz w:val="18"/>
          <w:szCs w:val="18"/>
        </w:rPr>
        <w:t>y</w:t>
      </w:r>
      <w:r w:rsidR="00CC4247" w:rsidRPr="007E3E20">
        <w:rPr>
          <w:rFonts w:ascii="Palatino Linotype" w:hAnsi="Palatino Linotype"/>
          <w:sz w:val="18"/>
          <w:szCs w:val="18"/>
        </w:rPr>
        <w:t>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6A0775A1" w14:textId="77777777" w:rsidR="00C877AB" w:rsidRPr="00953E13" w:rsidRDefault="00C877AB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1667940A" w14:textId="36146EB5" w:rsidR="001C2B62" w:rsidRDefault="004F64C7" w:rsidP="00C877AB">
      <w:pPr>
        <w:pStyle w:val="Nadpis1"/>
        <w:spacing w:before="1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78F7837C" w14:textId="635E0C4E" w:rsidR="001C2B62" w:rsidRDefault="001C2B62" w:rsidP="001C2B62">
      <w:pPr>
        <w:pStyle w:val="Nadpis1"/>
        <w:numPr>
          <w:ilvl w:val="0"/>
          <w:numId w:val="0"/>
        </w:numPr>
        <w:spacing w:before="240"/>
        <w:jc w:val="both"/>
        <w:rPr>
          <w:rFonts w:ascii="Palatino Linotype" w:hAnsi="Palatino Linotype"/>
          <w:b w:val="0"/>
          <w:sz w:val="18"/>
          <w:szCs w:val="18"/>
        </w:rPr>
      </w:pPr>
      <w:r w:rsidRPr="001C2B62">
        <w:rPr>
          <w:rFonts w:ascii="Palatino Linotype" w:hAnsi="Palatino Linotype"/>
          <w:b w:val="0"/>
          <w:sz w:val="18"/>
          <w:szCs w:val="18"/>
        </w:rPr>
        <w:t>Tímto dodatkem se ze Smlouvy o výpůjčce č. j. NG 307/2023 ze dne 13. června 2023 vyjímá níže uvedený sbírkový předmět:</w:t>
      </w:r>
    </w:p>
    <w:p w14:paraId="2A0AF649" w14:textId="77777777" w:rsidR="00C877AB" w:rsidRPr="00C877AB" w:rsidRDefault="00C877AB" w:rsidP="00C877AB"/>
    <w:p w14:paraId="4A701D9B" w14:textId="77777777" w:rsidR="00CA6BDF" w:rsidRDefault="00CA6BDF" w:rsidP="001C2B62">
      <w:pPr>
        <w:spacing w:line="240" w:lineRule="auto"/>
        <w:jc w:val="center"/>
        <w:rPr>
          <w:rFonts w:ascii="Palatino Linotype" w:hAnsi="Palatino Linotype"/>
          <w:b/>
          <w:bCs/>
          <w:snapToGrid w:val="0"/>
          <w:sz w:val="18"/>
          <w:szCs w:val="18"/>
        </w:rPr>
      </w:pPr>
    </w:p>
    <w:p w14:paraId="7919062A" w14:textId="604D2BE3" w:rsidR="001C2B62" w:rsidRPr="00587EC6" w:rsidRDefault="00571013" w:rsidP="00C877AB">
      <w:pPr>
        <w:jc w:val="center"/>
        <w:rPr>
          <w:rFonts w:ascii="Palatino Linotype" w:hAnsi="Palatino Linotype"/>
          <w:b/>
          <w:bCs/>
          <w:snapToGrid w:val="0"/>
          <w:sz w:val="18"/>
          <w:szCs w:val="18"/>
        </w:rPr>
      </w:pPr>
      <w:r>
        <w:rPr>
          <w:rFonts w:ascii="Palatino Linotype" w:hAnsi="Palatino Linotype"/>
          <w:b/>
          <w:bCs/>
          <w:snapToGrid w:val="0"/>
          <w:sz w:val="18"/>
          <w:szCs w:val="18"/>
        </w:rPr>
        <w:t>XXXX</w:t>
      </w:r>
    </w:p>
    <w:p w14:paraId="500E7138" w14:textId="50C01E60" w:rsidR="001C2B62" w:rsidRPr="00587EC6" w:rsidRDefault="00571013" w:rsidP="00C877AB">
      <w:pPr>
        <w:jc w:val="center"/>
        <w:rPr>
          <w:rFonts w:ascii="Palatino Linotype" w:hAnsi="Palatino Linotype"/>
          <w:i/>
          <w:iCs/>
          <w:snapToGrid w:val="0"/>
          <w:sz w:val="18"/>
          <w:szCs w:val="18"/>
        </w:rPr>
      </w:pPr>
      <w:proofErr w:type="spellStart"/>
      <w:r>
        <w:rPr>
          <w:rFonts w:ascii="Palatino Linotype" w:hAnsi="Palatino Linotype"/>
          <w:i/>
          <w:iCs/>
          <w:snapToGrid w:val="0"/>
          <w:sz w:val="18"/>
          <w:szCs w:val="18"/>
        </w:rPr>
        <w:t>xxx</w:t>
      </w:r>
      <w:proofErr w:type="spellEnd"/>
    </w:p>
    <w:p w14:paraId="551A43D7" w14:textId="19A55757" w:rsidR="001C2B62" w:rsidRPr="00867905" w:rsidRDefault="00571013" w:rsidP="00C877AB">
      <w:pPr>
        <w:jc w:val="center"/>
        <w:rPr>
          <w:rFonts w:ascii="Palatino Linotype" w:hAnsi="Palatino Linotype"/>
          <w:snapToGrid w:val="0"/>
          <w:sz w:val="18"/>
          <w:szCs w:val="18"/>
        </w:rPr>
      </w:pPr>
      <w:proofErr w:type="spellStart"/>
      <w:r>
        <w:rPr>
          <w:rFonts w:ascii="Palatino Linotype" w:hAnsi="Palatino Linotype"/>
          <w:snapToGrid w:val="0"/>
          <w:sz w:val="18"/>
          <w:szCs w:val="18"/>
        </w:rPr>
        <w:t>xxxxxxxxxxxxxxxx</w:t>
      </w:r>
      <w:proofErr w:type="spellEnd"/>
    </w:p>
    <w:p w14:paraId="6BA9686B" w14:textId="5D33F982" w:rsidR="001C2B62" w:rsidRPr="00867905" w:rsidRDefault="00571013" w:rsidP="00C877AB">
      <w:pPr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</w:t>
      </w:r>
    </w:p>
    <w:p w14:paraId="4E127891" w14:textId="2D03CC92" w:rsidR="001C2B62" w:rsidRDefault="00571013" w:rsidP="00C877AB">
      <w:pPr>
        <w:jc w:val="center"/>
        <w:rPr>
          <w:rFonts w:ascii="Palatino Linotype" w:hAnsi="Palatino Linotype"/>
          <w:snapToGrid w:val="0"/>
          <w:sz w:val="18"/>
          <w:szCs w:val="18"/>
        </w:rPr>
      </w:pPr>
      <w:proofErr w:type="spellStart"/>
      <w:r>
        <w:rPr>
          <w:rFonts w:ascii="Palatino Linotype" w:hAnsi="Palatino Linotype"/>
          <w:snapToGrid w:val="0"/>
          <w:sz w:val="18"/>
          <w:szCs w:val="18"/>
        </w:rPr>
        <w:t>xxxxxxxxxxxxx</w:t>
      </w:r>
      <w:proofErr w:type="spellEnd"/>
    </w:p>
    <w:p w14:paraId="4804EDE6" w14:textId="72A36FF3" w:rsidR="00C877AB" w:rsidRDefault="00C877AB" w:rsidP="001C2B62">
      <w:pPr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</w:p>
    <w:p w14:paraId="030AA907" w14:textId="77777777" w:rsidR="00C877AB" w:rsidRDefault="00C877AB" w:rsidP="001C2B62">
      <w:pPr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</w:p>
    <w:p w14:paraId="75A16072" w14:textId="257A62BB" w:rsidR="00B127CA" w:rsidRPr="00953E13" w:rsidRDefault="004F64C7" w:rsidP="00CA6BDF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4AFDF7F0" w14:textId="16B79754" w:rsidR="00BC08D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1C2B62">
        <w:rPr>
          <w:rFonts w:ascii="Palatino Linotype" w:hAnsi="Palatino Linotype"/>
          <w:sz w:val="18"/>
          <w:szCs w:val="18"/>
        </w:rPr>
        <w:t>platností a účinností ode dne jeho podpisu oběma stranami, na dobu určitou. Tento Dodatek nabývá účinnosti dnem uveřejnění v registru smluv.</w:t>
      </w:r>
    </w:p>
    <w:p w14:paraId="127FEBFC" w14:textId="02835142" w:rsidR="007E3E20" w:rsidRDefault="007E3E20" w:rsidP="00BC08D3">
      <w:pPr>
        <w:pStyle w:val="jNormln"/>
        <w:rPr>
          <w:rFonts w:ascii="Palatino Linotype" w:hAnsi="Palatino Linotype"/>
          <w:sz w:val="18"/>
          <w:szCs w:val="18"/>
        </w:rPr>
      </w:pPr>
    </w:p>
    <w:p w14:paraId="02D0F060" w14:textId="77777777" w:rsidR="007E3E20" w:rsidRPr="001C2B62" w:rsidRDefault="007E3E20" w:rsidP="00BC08D3">
      <w:pPr>
        <w:pStyle w:val="jNormln"/>
        <w:rPr>
          <w:rFonts w:ascii="Palatino Linotype" w:hAnsi="Palatino Linotype"/>
          <w:sz w:val="18"/>
          <w:szCs w:val="18"/>
        </w:rPr>
      </w:pPr>
    </w:p>
    <w:p w14:paraId="0C1D9C37" w14:textId="77777777" w:rsidR="004F64C7" w:rsidRPr="001C2B62" w:rsidRDefault="004F64C7" w:rsidP="00CA6BDF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1C2B62">
        <w:rPr>
          <w:rFonts w:ascii="Palatino Linotype" w:hAnsi="Palatino Linotype"/>
          <w:sz w:val="18"/>
          <w:szCs w:val="18"/>
        </w:rPr>
        <w:t>Uveřejnění v registru smluv</w:t>
      </w:r>
    </w:p>
    <w:p w14:paraId="66FE9E47" w14:textId="7D70D846" w:rsidR="004F64C7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1C2B62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1C2B62">
        <w:rPr>
          <w:rFonts w:ascii="Palatino Linotype" w:hAnsi="Palatino Linotype"/>
          <w:sz w:val="18"/>
          <w:szCs w:val="18"/>
        </w:rPr>
        <w:t>s</w:t>
      </w:r>
      <w:r w:rsidRPr="001C2B62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1C2B62">
        <w:rPr>
          <w:rFonts w:ascii="Palatino Linotype" w:hAnsi="Palatino Linotype"/>
          <w:sz w:val="18"/>
          <w:szCs w:val="18"/>
        </w:rPr>
        <w:t>Článek č. 1</w:t>
      </w:r>
      <w:r w:rsidRPr="001C2B62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1C2B62">
        <w:rPr>
          <w:rFonts w:ascii="Palatino Linotype" w:hAnsi="Palatino Linotype"/>
          <w:sz w:val="18"/>
          <w:szCs w:val="18"/>
        </w:rPr>
        <w:t xml:space="preserve"> má důvěrnou povahu </w:t>
      </w:r>
      <w:r w:rsidRPr="001C2B62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1C2B62">
        <w:rPr>
          <w:rFonts w:ascii="Palatino Linotype" w:hAnsi="Palatino Linotype"/>
          <w:sz w:val="18"/>
          <w:szCs w:val="18"/>
        </w:rPr>
        <w:t>článku č. 1</w:t>
      </w:r>
      <w:r w:rsidRPr="001C2B62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1C2B62">
        <w:rPr>
          <w:rFonts w:ascii="Palatino Linotype" w:hAnsi="Palatino Linotype"/>
          <w:sz w:val="18"/>
          <w:szCs w:val="18"/>
        </w:rPr>
        <w:t xml:space="preserve">, </w:t>
      </w:r>
      <w:r w:rsidRPr="001C2B62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44942604" w14:textId="24A24A7A" w:rsidR="007E3E20" w:rsidRDefault="007E3E20" w:rsidP="004F64C7">
      <w:pPr>
        <w:pStyle w:val="jNormln"/>
        <w:rPr>
          <w:rFonts w:ascii="Palatino Linotype" w:hAnsi="Palatino Linotype"/>
          <w:sz w:val="18"/>
          <w:szCs w:val="18"/>
        </w:rPr>
      </w:pPr>
    </w:p>
    <w:p w14:paraId="010FEC42" w14:textId="77777777" w:rsidR="007E3E20" w:rsidRPr="00953E13" w:rsidRDefault="007E3E20" w:rsidP="004F64C7">
      <w:pPr>
        <w:pStyle w:val="jNormln"/>
        <w:rPr>
          <w:rFonts w:ascii="Palatino Linotype" w:hAnsi="Palatino Linotype"/>
          <w:sz w:val="18"/>
          <w:szCs w:val="18"/>
        </w:rPr>
      </w:pPr>
    </w:p>
    <w:p w14:paraId="510B01C1" w14:textId="77777777" w:rsidR="007E5957" w:rsidRPr="00953E13" w:rsidRDefault="00CC4247" w:rsidP="00CA6BDF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2E4F1B8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2BE0291E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51962F4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09A0864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6B6529AE" w14:textId="032E7FFB" w:rsidR="001C2B62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Pr="007E3E20">
        <w:rPr>
          <w:rFonts w:ascii="Palatino Linotype" w:hAnsi="Palatino Linotype"/>
          <w:sz w:val="18"/>
          <w:szCs w:val="18"/>
        </w:rPr>
        <w:t xml:space="preserve">NG </w:t>
      </w:r>
      <w:r w:rsidR="001C2B62" w:rsidRPr="007E3E20">
        <w:rPr>
          <w:rFonts w:ascii="Palatino Linotype" w:hAnsi="Palatino Linotype"/>
          <w:sz w:val="18"/>
          <w:szCs w:val="18"/>
        </w:rPr>
        <w:t>307</w:t>
      </w:r>
      <w:r w:rsidRPr="007E3E20">
        <w:rPr>
          <w:rFonts w:ascii="Palatino Linotype" w:hAnsi="Palatino Linotype"/>
          <w:sz w:val="18"/>
          <w:szCs w:val="18"/>
        </w:rPr>
        <w:t>/20</w:t>
      </w:r>
      <w:r w:rsidR="001C2B62" w:rsidRPr="007E3E20">
        <w:rPr>
          <w:rFonts w:ascii="Palatino Linotype" w:hAnsi="Palatino Linotype"/>
          <w:sz w:val="18"/>
          <w:szCs w:val="18"/>
        </w:rPr>
        <w:t>23</w:t>
      </w:r>
      <w:r w:rsidRPr="007E3E20">
        <w:rPr>
          <w:rFonts w:ascii="Palatino Linotype" w:hAnsi="Palatino Linotype"/>
          <w:sz w:val="18"/>
          <w:szCs w:val="18"/>
        </w:rPr>
        <w:t xml:space="preserve"> ze dne </w:t>
      </w:r>
      <w:r w:rsidR="001C2B62" w:rsidRPr="007E3E20">
        <w:rPr>
          <w:rFonts w:ascii="Palatino Linotype" w:hAnsi="Palatino Linotype"/>
          <w:sz w:val="18"/>
          <w:szCs w:val="18"/>
        </w:rPr>
        <w:t>13</w:t>
      </w:r>
      <w:r w:rsidRPr="007E3E20">
        <w:rPr>
          <w:rFonts w:ascii="Palatino Linotype" w:hAnsi="Palatino Linotype"/>
          <w:sz w:val="18"/>
          <w:szCs w:val="18"/>
        </w:rPr>
        <w:t xml:space="preserve">. června </w:t>
      </w:r>
      <w:r w:rsidR="001C2B62">
        <w:rPr>
          <w:rFonts w:ascii="Palatino Linotype" w:hAnsi="Palatino Linotype"/>
          <w:sz w:val="18"/>
          <w:szCs w:val="18"/>
        </w:rPr>
        <w:t xml:space="preserve">2023 </w:t>
      </w:r>
      <w:r w:rsidRPr="00953E13">
        <w:rPr>
          <w:rFonts w:ascii="Palatino Linotype" w:hAnsi="Palatino Linotype"/>
          <w:sz w:val="18"/>
          <w:szCs w:val="18"/>
        </w:rPr>
        <w:t>zůstávají v platnosti.</w:t>
      </w:r>
    </w:p>
    <w:p w14:paraId="29F08053" w14:textId="77777777" w:rsidR="00C877AB" w:rsidRPr="00953E13" w:rsidRDefault="00C877AB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1096A129" w14:textId="77777777" w:rsidR="00CC4247" w:rsidRPr="00953E13" w:rsidRDefault="00CC4247" w:rsidP="00C877AB">
      <w:pPr>
        <w:pStyle w:val="Nadpis1"/>
        <w:spacing w:before="360" w:after="24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7DB162DB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E9A1BF2" w14:textId="77777777" w:rsidR="00C877AB" w:rsidRPr="001D381F" w:rsidRDefault="00C877AB" w:rsidP="00C877A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42CC963" w14:textId="07CA4249" w:rsidR="00C877AB" w:rsidRDefault="00C877AB" w:rsidP="00C877A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5D8CAF" w14:textId="20EB0F2F" w:rsidR="00C877AB" w:rsidRDefault="00C877AB" w:rsidP="00C877A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6D7F8AF" w14:textId="77777777" w:rsidR="00C877AB" w:rsidRPr="001D381F" w:rsidRDefault="00C877AB" w:rsidP="00C877A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536AA9E" w14:textId="77777777" w:rsidR="00C877AB" w:rsidRPr="001D381F" w:rsidRDefault="00C877AB" w:rsidP="00C877AB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D3C2619" w14:textId="77777777" w:rsidR="00C877AB" w:rsidRPr="001D381F" w:rsidRDefault="00C877AB" w:rsidP="00C877AB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Mgr. Vlastimil Ježek, předseda představenstva</w:t>
      </w:r>
    </w:p>
    <w:p w14:paraId="278E577D" w14:textId="77777777" w:rsidR="00C877AB" w:rsidRDefault="00C877AB" w:rsidP="00C877AB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Obecní dům, a.s.</w:t>
      </w:r>
    </w:p>
    <w:p w14:paraId="1ABF180D" w14:textId="77777777" w:rsidR="00C877AB" w:rsidRPr="001D381F" w:rsidRDefault="00C877AB" w:rsidP="00C877AB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300A62B2" w14:textId="77777777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19791471" w14:textId="19B0AD98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2A006A79" w14:textId="6D017E05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6D4C6C64" w14:textId="27E72BCB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6A87E123" w14:textId="77777777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5511FB5B" w14:textId="77777777" w:rsidR="00C877AB" w:rsidRDefault="00C877AB" w:rsidP="00C877AB">
      <w:pPr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……………………………………………</w:t>
      </w: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2DE4B6C3" w14:textId="10E63AA6" w:rsidR="00C877AB" w:rsidRDefault="00C877AB" w:rsidP="00C877AB">
      <w:pPr>
        <w:spacing w:line="240" w:lineRule="auto"/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                Jan Lacina, místopředseda představenstva</w:t>
      </w:r>
    </w:p>
    <w:p w14:paraId="3A44357A" w14:textId="77777777" w:rsidR="00C877AB" w:rsidRDefault="00C877AB" w:rsidP="00C877AB">
      <w:pPr>
        <w:spacing w:line="240" w:lineRule="auto"/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Obecní dům, a.s. </w:t>
      </w:r>
    </w:p>
    <w:p w14:paraId="6468014A" w14:textId="40C2AF42" w:rsidR="00953E13" w:rsidRPr="00953E13" w:rsidRDefault="00C877AB" w:rsidP="00C877AB">
      <w:pPr>
        <w:spacing w:line="240" w:lineRule="auto"/>
        <w:ind w:firstLine="1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Vypůjčitel</w:t>
      </w:r>
    </w:p>
    <w:sectPr w:rsidR="00953E13" w:rsidRPr="00953E13" w:rsidSect="007E3E20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624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6FCA" w14:textId="77777777" w:rsidR="00E44E28" w:rsidRDefault="00E44E28" w:rsidP="007013F0">
      <w:r>
        <w:separator/>
      </w:r>
    </w:p>
  </w:endnote>
  <w:endnote w:type="continuationSeparator" w:id="0">
    <w:p w14:paraId="2E02133E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0E0678E7" w14:textId="4393076C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</w:t>
        </w:r>
        <w:r w:rsidR="00C877AB">
          <w:t>3</w:t>
        </w:r>
      </w:p>
    </w:sdtContent>
  </w:sdt>
  <w:p w14:paraId="2958F48F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5A8FD722" w14:textId="7BD69083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</w:t>
        </w:r>
        <w:r w:rsidR="00C877AB">
          <w:t>3</w:t>
        </w:r>
      </w:p>
    </w:sdtContent>
  </w:sdt>
  <w:p w14:paraId="5B3D2491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62DB" w14:textId="77777777" w:rsidR="00E44E28" w:rsidRDefault="00E44E28" w:rsidP="007013F0">
      <w:r>
        <w:separator/>
      </w:r>
    </w:p>
  </w:footnote>
  <w:footnote w:type="continuationSeparator" w:id="0">
    <w:p w14:paraId="02C0CD4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FFE2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11184D3" wp14:editId="182145D5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98677829">
    <w:abstractNumId w:val="0"/>
  </w:num>
  <w:num w:numId="2" w16cid:durableId="497505348">
    <w:abstractNumId w:val="1"/>
  </w:num>
  <w:num w:numId="3" w16cid:durableId="1342471917">
    <w:abstractNumId w:val="4"/>
  </w:num>
  <w:num w:numId="4" w16cid:durableId="1334796721">
    <w:abstractNumId w:val="2"/>
  </w:num>
  <w:num w:numId="5" w16cid:durableId="457072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542846">
    <w:abstractNumId w:val="3"/>
  </w:num>
  <w:num w:numId="7" w16cid:durableId="697127640">
    <w:abstractNumId w:val="3"/>
    <w:lvlOverride w:ilvl="0">
      <w:startOverride w:val="1"/>
    </w:lvlOverride>
  </w:num>
  <w:num w:numId="8" w16cid:durableId="316998920">
    <w:abstractNumId w:val="3"/>
    <w:lvlOverride w:ilvl="0">
      <w:startOverride w:val="1"/>
    </w:lvlOverride>
  </w:num>
  <w:num w:numId="9" w16cid:durableId="486944848">
    <w:abstractNumId w:val="3"/>
    <w:lvlOverride w:ilvl="0">
      <w:startOverride w:val="1"/>
    </w:lvlOverride>
  </w:num>
  <w:num w:numId="10" w16cid:durableId="1169058869">
    <w:abstractNumId w:val="3"/>
    <w:lvlOverride w:ilvl="0">
      <w:startOverride w:val="1"/>
    </w:lvlOverride>
  </w:num>
  <w:num w:numId="11" w16cid:durableId="1352760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62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1013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3E20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064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877AB"/>
    <w:rsid w:val="00CA4E3A"/>
    <w:rsid w:val="00CA6BDF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7405DBA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2017-09-12T09:28:00Z</cp:lastPrinted>
  <dcterms:created xsi:type="dcterms:W3CDTF">2023-07-10T13:35:00Z</dcterms:created>
  <dcterms:modified xsi:type="dcterms:W3CDTF">2023-07-10T13:35:00Z</dcterms:modified>
</cp:coreProperties>
</file>