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68940211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68940211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7301164970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CZ7301164970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Martin Hrdý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Martin Hrdý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Zemědělská 113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Zemědělská 113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739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739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31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31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Řepiště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Řepiště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Revize elektroinstalace objektu Struha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Revize elektroinstalace objektu Struha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revizi elektroinstalace objektu Struha dle VZ N006/23/V0001218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revizi elektroinstalace objektu Struha dle VZ N006/23/V00012189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34 049,4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34 049,40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15.prosinec 2023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15.prosinec 2023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835" w:rsidRDefault="00EF5835">
      <w:pPr>
        <w:spacing w:line="240" w:lineRule="auto"/>
      </w:pPr>
      <w:r>
        <w:separator/>
      </w:r>
    </w:p>
  </w:endnote>
  <w:endnote w:type="continuationSeparator" w:id="0">
    <w:p w:rsidR="00EF5835" w:rsidRDefault="00EF5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15.06.2023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EF5835">
            <w:t>15.06.2023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Sidó Albert Ing.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EF5835">
            <w:t>Sidó Albert Ing.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835" w:rsidRDefault="00EF5835">
      <w:pPr>
        <w:spacing w:line="240" w:lineRule="auto"/>
      </w:pPr>
      <w:r>
        <w:separator/>
      </w:r>
    </w:p>
  </w:footnote>
  <w:footnote w:type="continuationSeparator" w:id="0">
    <w:p w:rsidR="00EF5835" w:rsidRDefault="00EF5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O/01/20230052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EF5835">
            <w:t>O/01/20230052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21530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5835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102228-9CDA-40CC-BC80-457ED677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1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2023-07-07T08:24:00Z</dcterms:created>
  <dcterms:modified xsi:type="dcterms:W3CDTF">2023-07-07T08:24:00Z</dcterms:modified>
</cp:coreProperties>
</file>