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C6" w:rsidRDefault="00697C88">
      <w:pPr>
        <w:pStyle w:val="Zkladntext1"/>
        <w:spacing w:after="120" w:line="230" w:lineRule="auto"/>
        <w:jc w:val="center"/>
      </w:pPr>
      <w:r>
        <w:rPr>
          <w:noProof/>
          <w:lang w:bidi="ar-SA"/>
        </w:rPr>
        <mc:AlternateContent>
          <mc:Choice Requires="wps">
            <w:drawing>
              <wp:anchor distT="266700" distB="0" distL="114300" distR="114300" simplePos="0" relativeHeight="125829378" behindDoc="0" locked="0" layoutInCell="1" allowOverlap="1">
                <wp:simplePos x="0" y="0"/>
                <wp:positionH relativeFrom="page">
                  <wp:posOffset>3214370</wp:posOffset>
                </wp:positionH>
                <wp:positionV relativeFrom="paragraph">
                  <wp:posOffset>901700</wp:posOffset>
                </wp:positionV>
                <wp:extent cx="1170305" cy="19494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170305" cy="194945"/>
                        </a:xfrm>
                        <a:prstGeom prst="rect">
                          <a:avLst/>
                        </a:prstGeom>
                        <a:noFill/>
                      </wps:spPr>
                      <wps:txbx>
                        <w:txbxContent>
                          <w:p w:rsidR="00CF4CC6" w:rsidRDefault="00697C88">
                            <w:pPr>
                              <w:pStyle w:val="Zkladntext1"/>
                              <w:spacing w:after="0"/>
                            </w:pPr>
                            <w:r>
                              <w:rPr>
                                <w:rStyle w:val="Zkladntext"/>
                                <w:b/>
                                <w:bCs/>
                              </w:rPr>
                              <w:t>I. Smluvní strany</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53.09999999999999pt;margin-top:71.pt;width:92.150000000000006pt;height:15.35pt;z-index:-125829375;mso-wrap-distance-left:9.pt;mso-wrap-distance-top:21.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I. Smluvní strany</w:t>
                      </w:r>
                    </w:p>
                  </w:txbxContent>
                </v:textbox>
                <w10:wrap type="topAndBottom" anchorx="page"/>
              </v:shape>
            </w:pict>
          </mc:Fallback>
        </mc:AlternateContent>
      </w:r>
      <w:r>
        <w:rPr>
          <w:rStyle w:val="Zkladntext"/>
          <w:b/>
          <w:bCs/>
          <w:sz w:val="28"/>
          <w:szCs w:val="28"/>
        </w:rPr>
        <w:t>Smlouva o dílo</w:t>
      </w:r>
      <w:r>
        <w:rPr>
          <w:rStyle w:val="Zkladntext"/>
          <w:b/>
          <w:bCs/>
          <w:sz w:val="28"/>
          <w:szCs w:val="28"/>
        </w:rPr>
        <w:br/>
      </w:r>
      <w:r>
        <w:rPr>
          <w:rStyle w:val="Zkladntext"/>
        </w:rPr>
        <w:t>uzavřená v souladu ustanoveními občanského zákoníku č.89/2012 Sb. v platném znění,</w:t>
      </w:r>
      <w:r>
        <w:rPr>
          <w:rStyle w:val="Zkladntext"/>
        </w:rPr>
        <w:br/>
        <w:t>ve smyslu ustanovení § 2586 a násl.</w:t>
      </w:r>
    </w:p>
    <w:p w:rsidR="00CF4CC6" w:rsidRDefault="00697C88">
      <w:pPr>
        <w:pStyle w:val="Zkladntext1"/>
        <w:spacing w:after="120"/>
      </w:pPr>
      <w:r>
        <w:rPr>
          <w:rStyle w:val="Zkladntext"/>
          <w:u w:val="single"/>
        </w:rPr>
        <w:t>Objednatel:</w:t>
      </w:r>
    </w:p>
    <w:p w:rsidR="00CF4CC6" w:rsidRDefault="00697C88">
      <w:pPr>
        <w:spacing w:line="1" w:lineRule="exact"/>
      </w:pPr>
      <w:r>
        <w:rPr>
          <w:noProof/>
          <w:lang w:bidi="ar-SA"/>
        </w:rPr>
        <mc:AlternateContent>
          <mc:Choice Requires="wps">
            <w:drawing>
              <wp:anchor distT="0" distB="0" distL="0" distR="0" simplePos="0" relativeHeight="125829380" behindDoc="0" locked="0" layoutInCell="1" allowOverlap="1">
                <wp:simplePos x="0" y="0"/>
                <wp:positionH relativeFrom="page">
                  <wp:posOffset>882650</wp:posOffset>
                </wp:positionH>
                <wp:positionV relativeFrom="paragraph">
                  <wp:posOffset>0</wp:posOffset>
                </wp:positionV>
                <wp:extent cx="2780030" cy="3657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80030" cy="365760"/>
                        </a:xfrm>
                        <a:prstGeom prst="rect">
                          <a:avLst/>
                        </a:prstGeom>
                        <a:noFill/>
                      </wps:spPr>
                      <wps:txbx>
                        <w:txbxContent>
                          <w:p w:rsidR="00CF4CC6" w:rsidRDefault="00697C88">
                            <w:pPr>
                              <w:pStyle w:val="Zkladntext1"/>
                              <w:spacing w:after="0"/>
                            </w:pPr>
                            <w:r>
                              <w:rPr>
                                <w:rStyle w:val="Zkladntext"/>
                                <w:b/>
                                <w:bCs/>
                              </w:rPr>
                              <w:t>Kroměřížské technické služby, s.r.o.</w:t>
                            </w:r>
                          </w:p>
                          <w:p w:rsidR="00CF4CC6" w:rsidRDefault="00697C88">
                            <w:pPr>
                              <w:pStyle w:val="Zkladntext1"/>
                              <w:spacing w:after="0"/>
                            </w:pPr>
                            <w:r>
                              <w:rPr>
                                <w:rStyle w:val="Zkladntext"/>
                              </w:rPr>
                              <w:t>se sídlem Kaplanova 2959, 767 01 Kroměříž</w:t>
                            </w:r>
                          </w:p>
                        </w:txbxContent>
                      </wps:txbx>
                      <wps:bodyPr lIns="0" tIns="0" rIns="0" bIns="0"/>
                    </wps:wsp>
                  </a:graphicData>
                </a:graphic>
              </wp:anchor>
            </w:drawing>
          </mc:Choice>
          <mc:Fallback>
            <w:pict>
              <v:shape id="_x0000_s1029" type="#_x0000_t202" style="position:absolute;margin-left:69.5pt;margin-top:0;width:218.90000000000001pt;height:28.800000000000001pt;z-index:-12582937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b/>
                          <w:bCs/>
                        </w:rPr>
                        <w:t>Kroměřížské technické služby, s.r.o.</w:t>
                      </w:r>
                    </w:p>
                    <w:p>
                      <w:pPr>
                        <w:pStyle w:val="Style2"/>
                        <w:keepNext w:val="0"/>
                        <w:keepLines w:val="0"/>
                        <w:widowControl w:val="0"/>
                        <w:shd w:val="clear" w:color="auto" w:fill="auto"/>
                        <w:bidi w:val="0"/>
                        <w:spacing w:before="0" w:after="0" w:line="240" w:lineRule="auto"/>
                        <w:ind w:left="0" w:right="0" w:firstLine="0"/>
                        <w:jc w:val="left"/>
                      </w:pPr>
                      <w:r>
                        <w:rPr>
                          <w:rStyle w:val="CharStyle3"/>
                        </w:rPr>
                        <w:t>se sídlem Kaplanova 2959, 767 01 Kroměříž</w:t>
                      </w:r>
                    </w:p>
                  </w:txbxContent>
                </v:textbox>
                <w10:wrap type="topAndBottom" anchorx="page"/>
              </v:shape>
            </w:pict>
          </mc:Fallback>
        </mc:AlternateContent>
      </w:r>
    </w:p>
    <w:p w:rsidR="00CF4CC6" w:rsidRDefault="00697C88">
      <w:pPr>
        <w:pStyle w:val="Zkladntext30"/>
        <w:spacing w:after="0" w:line="269" w:lineRule="auto"/>
        <w:ind w:left="2440" w:hanging="1540"/>
        <w:rPr>
          <w:sz w:val="22"/>
          <w:szCs w:val="22"/>
        </w:rPr>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876935</wp:posOffset>
                </wp:positionH>
                <wp:positionV relativeFrom="paragraph">
                  <wp:posOffset>12700</wp:posOffset>
                </wp:positionV>
                <wp:extent cx="786130" cy="19177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786130" cy="191770"/>
                        </a:xfrm>
                        <a:prstGeom prst="rect">
                          <a:avLst/>
                        </a:prstGeom>
                        <a:noFill/>
                      </wps:spPr>
                      <wps:txbx>
                        <w:txbxContent>
                          <w:p w:rsidR="00CF4CC6" w:rsidRDefault="00697C88">
                            <w:pPr>
                              <w:pStyle w:val="Zkladntext1"/>
                              <w:spacing w:after="0"/>
                            </w:pPr>
                            <w:r>
                              <w:rPr>
                                <w:rStyle w:val="Zkladntext"/>
                              </w:rPr>
                              <w:t>Zastoupený:</w:t>
                            </w:r>
                          </w:p>
                        </w:txbxContent>
                      </wps:txbx>
                      <wps:bodyPr wrap="none" lIns="0" tIns="0" rIns="0" bIns="0"/>
                    </wps:wsp>
                  </a:graphicData>
                </a:graphic>
              </wp:anchor>
            </w:drawing>
          </mc:Choice>
          <mc:Fallback>
            <w:pict>
              <v:shape id="_x0000_s1031" type="#_x0000_t202" style="position:absolute;margin-left:69.049999999999997pt;margin-top:1.pt;width:61.899999999999999pt;height:15.1pt;z-index:-125829371;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Zastoupený:</w:t>
                      </w:r>
                    </w:p>
                  </w:txbxContent>
                </v:textbox>
                <w10:wrap type="square" side="right" anchorx="page"/>
              </v:shape>
            </w:pict>
          </mc:Fallback>
        </mc:AlternateContent>
      </w:r>
      <w:r>
        <w:rPr>
          <w:rStyle w:val="Zkladntext3"/>
          <w:sz w:val="22"/>
          <w:szCs w:val="22"/>
          <w:u w:val="none"/>
        </w:rPr>
        <w:t>Mgr. Bc. Karlem Holíkem, BA, MBA , jednatel společnosti</w:t>
      </w:r>
    </w:p>
    <w:p w:rsidR="00CF4CC6" w:rsidRDefault="00697C88">
      <w:pPr>
        <w:pStyle w:val="Zkladntext30"/>
        <w:spacing w:after="260" w:line="269" w:lineRule="auto"/>
        <w:ind w:left="2440"/>
        <w:rPr>
          <w:sz w:val="22"/>
          <w:szCs w:val="22"/>
        </w:rPr>
      </w:pPr>
      <w:r>
        <w:rPr>
          <w:rStyle w:val="Zkladntext3"/>
          <w:sz w:val="22"/>
          <w:szCs w:val="22"/>
          <w:u w:val="none"/>
        </w:rPr>
        <w:t xml:space="preserve">Mgr. Bc. Janem </w:t>
      </w:r>
      <w:proofErr w:type="spellStart"/>
      <w:r>
        <w:rPr>
          <w:rStyle w:val="Zkladntext3"/>
          <w:sz w:val="22"/>
          <w:szCs w:val="22"/>
          <w:u w:val="none"/>
        </w:rPr>
        <w:t>Hebnarem</w:t>
      </w:r>
      <w:proofErr w:type="spellEnd"/>
      <w:r>
        <w:rPr>
          <w:rStyle w:val="Zkladntext3"/>
          <w:sz w:val="22"/>
          <w:szCs w:val="22"/>
          <w:u w:val="none"/>
        </w:rPr>
        <w:t xml:space="preserve"> , MBA , jednatel společnosti</w:t>
      </w:r>
    </w:p>
    <w:p w:rsidR="00CF4CC6" w:rsidRDefault="00697C88">
      <w:pPr>
        <w:pStyle w:val="Zkladntext1"/>
        <w:spacing w:after="0"/>
      </w:pPr>
      <w:r>
        <w:rPr>
          <w:rStyle w:val="Zkladntext"/>
        </w:rPr>
        <w:t>zastoupený ve věcech smluvních:</w:t>
      </w:r>
    </w:p>
    <w:p w:rsidR="00CF4CC6" w:rsidRDefault="00697C88">
      <w:pPr>
        <w:pStyle w:val="Zkladntext30"/>
        <w:spacing w:after="0"/>
        <w:ind w:firstLine="400"/>
        <w:rPr>
          <w:sz w:val="22"/>
          <w:szCs w:val="22"/>
        </w:rPr>
      </w:pPr>
      <w:r>
        <w:rPr>
          <w:rStyle w:val="Zkladntext3"/>
          <w:sz w:val="22"/>
          <w:szCs w:val="22"/>
          <w:u w:val="none"/>
        </w:rPr>
        <w:t>Mgr. Bc. Karlem Holíkem, BA, MBA , jednatel společnosti</w:t>
      </w:r>
    </w:p>
    <w:p w:rsidR="00CF4CC6" w:rsidRDefault="00697C88">
      <w:pPr>
        <w:pStyle w:val="Zkladntext1"/>
        <w:spacing w:after="260"/>
        <w:ind w:firstLine="1400"/>
      </w:pPr>
      <w:r>
        <w:rPr>
          <w:rStyle w:val="Zkladntext"/>
        </w:rPr>
        <w:t xml:space="preserve">Mgr. Bc. Janem </w:t>
      </w:r>
      <w:proofErr w:type="spellStart"/>
      <w:r>
        <w:rPr>
          <w:rStyle w:val="Zkladntext"/>
        </w:rPr>
        <w:t>Hebnarem</w:t>
      </w:r>
      <w:proofErr w:type="spellEnd"/>
      <w:r>
        <w:rPr>
          <w:rStyle w:val="Zkladntext"/>
        </w:rPr>
        <w:t xml:space="preserve"> , MBA Jednatel společno</w:t>
      </w:r>
      <w:r>
        <w:rPr>
          <w:rStyle w:val="Zkladntext"/>
        </w:rPr>
        <w:t xml:space="preserve">sti zastoupený ve věcech technických: ing. Marian Vítek, </w:t>
      </w:r>
      <w:proofErr w:type="gramStart"/>
      <w:r>
        <w:rPr>
          <w:rStyle w:val="Zkladntext"/>
        </w:rPr>
        <w:t>BA , ředitel</w:t>
      </w:r>
      <w:proofErr w:type="gramEnd"/>
      <w:r>
        <w:rPr>
          <w:rStyle w:val="Zkladntext"/>
        </w:rPr>
        <w:t xml:space="preserve"> společnosti</w:t>
      </w:r>
    </w:p>
    <w:p w:rsidR="00CF4CC6" w:rsidRDefault="00697C88">
      <w:pPr>
        <w:pStyle w:val="Zkladntext1"/>
        <w:spacing w:after="0"/>
      </w:pPr>
      <w:r>
        <w:rPr>
          <w:rStyle w:val="Zkladntext"/>
        </w:rPr>
        <w:t>IČ: 26276437</w:t>
      </w:r>
    </w:p>
    <w:p w:rsidR="00CF4CC6" w:rsidRDefault="00697C88">
      <w:pPr>
        <w:pStyle w:val="Zkladntext1"/>
        <w:spacing w:after="0"/>
      </w:pPr>
      <w:r>
        <w:rPr>
          <w:rStyle w:val="Zkladntext"/>
        </w:rPr>
        <w:t>DIČ: CZ26276437</w:t>
      </w:r>
    </w:p>
    <w:p w:rsidR="00CF4CC6" w:rsidRDefault="00697C88">
      <w:pPr>
        <w:pStyle w:val="Zkladntext1"/>
        <w:spacing w:after="0"/>
      </w:pPr>
      <w:r>
        <w:rPr>
          <w:rStyle w:val="Zkladntext"/>
        </w:rPr>
        <w:t>Bankovní spojení:</w:t>
      </w:r>
    </w:p>
    <w:p w:rsidR="00CF4CC6" w:rsidRDefault="00697C88">
      <w:pPr>
        <w:pStyle w:val="Zkladntext1"/>
        <w:spacing w:after="820"/>
      </w:pPr>
      <w:r>
        <w:rPr>
          <w:rStyle w:val="Zkladntext"/>
        </w:rPr>
        <w:t xml:space="preserve">Zapsán v obchodním rejstříku vedeném Krajským soudem v Brně, oddíl C, vložka 41059 </w:t>
      </w:r>
      <w:r>
        <w:rPr>
          <w:rStyle w:val="Zkladntext"/>
          <w:i/>
          <w:iCs/>
        </w:rPr>
        <w:t>(dále jen objednatel)</w:t>
      </w:r>
    </w:p>
    <w:p w:rsidR="00CF4CC6" w:rsidRDefault="00697C88">
      <w:pPr>
        <w:pStyle w:val="Zkladntext1"/>
        <w:spacing w:after="120"/>
      </w:pPr>
      <w:r>
        <w:rPr>
          <w:rStyle w:val="Zkladntext"/>
          <w:u w:val="single"/>
        </w:rPr>
        <w:t>Zhotovitel:</w:t>
      </w:r>
    </w:p>
    <w:p w:rsidR="00CF4CC6" w:rsidRDefault="00697C88">
      <w:pPr>
        <w:pStyle w:val="Zkladntext1"/>
        <w:spacing w:after="0"/>
      </w:pPr>
      <w:r>
        <w:rPr>
          <w:rStyle w:val="Zkladntext"/>
          <w:b/>
          <w:bCs/>
        </w:rPr>
        <w:t xml:space="preserve">GARANT </w:t>
      </w:r>
      <w:r>
        <w:rPr>
          <w:rStyle w:val="Zkladntext"/>
          <w:b/>
          <w:bCs/>
        </w:rPr>
        <w:t>projekt s.r.o.</w:t>
      </w:r>
    </w:p>
    <w:p w:rsidR="00CF4CC6" w:rsidRDefault="00697C88">
      <w:pPr>
        <w:pStyle w:val="Zkladntext1"/>
        <w:spacing w:after="0"/>
      </w:pPr>
      <w:r>
        <w:rPr>
          <w:rStyle w:val="Zkladntext"/>
        </w:rPr>
        <w:t xml:space="preserve">se sídlem Staňkova 103/18, 602 00, Brno - </w:t>
      </w:r>
      <w:proofErr w:type="spellStart"/>
      <w:r>
        <w:rPr>
          <w:rStyle w:val="Zkladntext"/>
        </w:rPr>
        <w:t>Ponava</w:t>
      </w:r>
      <w:proofErr w:type="spellEnd"/>
    </w:p>
    <w:p w:rsidR="00CF4CC6" w:rsidRDefault="00697C88">
      <w:pPr>
        <w:pStyle w:val="Zkladntext1"/>
        <w:tabs>
          <w:tab w:val="left" w:pos="2146"/>
        </w:tabs>
        <w:spacing w:after="0"/>
      </w:pPr>
      <w:r>
        <w:rPr>
          <w:rStyle w:val="Zkladntext"/>
        </w:rPr>
        <w:t>Zastoupený:</w:t>
      </w:r>
      <w:r>
        <w:rPr>
          <w:rStyle w:val="Zkladntext"/>
        </w:rPr>
        <w:tab/>
        <w:t>Ing. Stanislav Smolík, jednatel společnosti</w:t>
      </w:r>
    </w:p>
    <w:p w:rsidR="00CF4CC6" w:rsidRDefault="00697C88">
      <w:pPr>
        <w:pStyle w:val="Zkladntext1"/>
        <w:spacing w:after="0"/>
        <w:jc w:val="center"/>
      </w:pPr>
      <w:r>
        <w:rPr>
          <w:rStyle w:val="Zkladntext"/>
        </w:rPr>
        <w:t>Ing. Michal Novák, jednatel společnosti</w:t>
      </w:r>
    </w:p>
    <w:p w:rsidR="00CF4CC6" w:rsidRDefault="00697C88">
      <w:pPr>
        <w:pStyle w:val="Zkladntext1"/>
        <w:spacing w:after="0"/>
        <w:jc w:val="center"/>
      </w:pPr>
      <w:r>
        <w:rPr>
          <w:rStyle w:val="Zkladntext"/>
        </w:rPr>
        <w:t>Ing. Jakub Karmazín, jednatel společnosti</w:t>
      </w:r>
    </w:p>
    <w:p w:rsidR="00CF4CC6" w:rsidRDefault="00697C88">
      <w:pPr>
        <w:pStyle w:val="Zkladntext1"/>
        <w:tabs>
          <w:tab w:val="left" w:pos="4250"/>
        </w:tabs>
        <w:spacing w:after="0"/>
      </w:pPr>
      <w:r>
        <w:rPr>
          <w:rStyle w:val="Zkladntext"/>
        </w:rPr>
        <w:t>zastoupený ve věcech smluvních:</w:t>
      </w:r>
      <w:r>
        <w:rPr>
          <w:rStyle w:val="Zkladntext"/>
        </w:rPr>
        <w:tab/>
        <w:t>Ing. Stanislav Smolík</w:t>
      </w:r>
    </w:p>
    <w:p w:rsidR="00CF4CC6" w:rsidRDefault="00697C88">
      <w:pPr>
        <w:pStyle w:val="Zkladntext1"/>
        <w:tabs>
          <w:tab w:val="left" w:pos="4250"/>
        </w:tabs>
        <w:spacing w:after="0"/>
      </w:pPr>
      <w:r>
        <w:rPr>
          <w:rStyle w:val="Zkladntext"/>
        </w:rPr>
        <w:t>zastoupený ve věcech technických:</w:t>
      </w:r>
      <w:r>
        <w:rPr>
          <w:rStyle w:val="Zkladntext"/>
        </w:rPr>
        <w:tab/>
        <w:t>Ing. Stanislav Smolík</w:t>
      </w:r>
    </w:p>
    <w:p w:rsidR="00CF4CC6" w:rsidRDefault="00697C88">
      <w:pPr>
        <w:pStyle w:val="Zkladntext1"/>
        <w:spacing w:after="0"/>
      </w:pPr>
      <w:r>
        <w:rPr>
          <w:rStyle w:val="Zkladntext"/>
        </w:rPr>
        <w:t>IČ: 06722865</w:t>
      </w:r>
    </w:p>
    <w:p w:rsidR="00CF4CC6" w:rsidRDefault="00697C88">
      <w:pPr>
        <w:pStyle w:val="Zkladntext1"/>
        <w:spacing w:after="0"/>
      </w:pPr>
      <w:r>
        <w:rPr>
          <w:rStyle w:val="Zkladntext"/>
        </w:rPr>
        <w:t>DIČ: CZ06722865</w:t>
      </w:r>
    </w:p>
    <w:p w:rsidR="007B20C9" w:rsidRDefault="00697C88" w:rsidP="007B20C9">
      <w:pPr>
        <w:pStyle w:val="Zkladntext1"/>
        <w:spacing w:after="0"/>
        <w:rPr>
          <w:rStyle w:val="Zkladntext"/>
        </w:rPr>
      </w:pPr>
      <w:r>
        <w:rPr>
          <w:rStyle w:val="Zkladntext"/>
        </w:rPr>
        <w:t xml:space="preserve">Bankovní spojení: FIO banka, a.s., </w:t>
      </w:r>
    </w:p>
    <w:p w:rsidR="00CF4CC6" w:rsidRDefault="00697C88" w:rsidP="007B20C9">
      <w:pPr>
        <w:pStyle w:val="Zkladntext1"/>
        <w:spacing w:after="0"/>
      </w:pPr>
      <w:r>
        <w:rPr>
          <w:rStyle w:val="Zkladntext"/>
        </w:rPr>
        <w:t xml:space="preserve">Zapsán v obchodním rejstříku vedeném Krajským soudem v Brně, oddíl C, vložka 103918 </w:t>
      </w:r>
      <w:r>
        <w:rPr>
          <w:rStyle w:val="Zkladntext"/>
          <w:i/>
          <w:iCs/>
        </w:rPr>
        <w:t>(dále jen zhotovitel)</w:t>
      </w:r>
    </w:p>
    <w:p w:rsidR="00CF4CC6" w:rsidRDefault="00697C88">
      <w:pPr>
        <w:pStyle w:val="Nadpis20"/>
        <w:keepNext/>
        <w:keepLines/>
        <w:numPr>
          <w:ilvl w:val="0"/>
          <w:numId w:val="1"/>
        </w:numPr>
        <w:tabs>
          <w:tab w:val="left" w:pos="430"/>
        </w:tabs>
        <w:spacing w:after="120"/>
      </w:pPr>
      <w:bookmarkStart w:id="0" w:name="bookmark0"/>
      <w:r>
        <w:rPr>
          <w:rStyle w:val="Nadpis2"/>
          <w:b/>
          <w:bCs/>
        </w:rPr>
        <w:t>Pře</w:t>
      </w:r>
      <w:r>
        <w:rPr>
          <w:rStyle w:val="Nadpis2"/>
          <w:b/>
          <w:bCs/>
        </w:rPr>
        <w:t>dmět díla</w:t>
      </w:r>
      <w:bookmarkEnd w:id="0"/>
    </w:p>
    <w:p w:rsidR="00CF4CC6" w:rsidRDefault="00697C88">
      <w:pPr>
        <w:pStyle w:val="Zkladntext1"/>
        <w:ind w:left="400" w:firstLine="20"/>
        <w:jc w:val="both"/>
      </w:pPr>
      <w:r>
        <w:rPr>
          <w:rStyle w:val="Zkladntext"/>
        </w:rPr>
        <w:t xml:space="preserve">l)Zhotovitel se zavazuje za podmínek stanovených touto smlouvou a na základě předložené nabídky ze dne 25. 07. 2022 k vypracování projektové dokumentace </w:t>
      </w:r>
      <w:r>
        <w:rPr>
          <w:rStyle w:val="Zkladntext"/>
          <w:b/>
          <w:bCs/>
        </w:rPr>
        <w:t>„</w:t>
      </w:r>
      <w:bookmarkStart w:id="1" w:name="_GoBack"/>
      <w:r>
        <w:rPr>
          <w:rStyle w:val="Zkladntext"/>
          <w:b/>
          <w:bCs/>
        </w:rPr>
        <w:t xml:space="preserve">Energetické studie, snížení energetické náročnosti budovy na akci: Areál technických služeb </w:t>
      </w:r>
      <w:r>
        <w:rPr>
          <w:rStyle w:val="Zkladntext"/>
          <w:b/>
          <w:bCs/>
        </w:rPr>
        <w:t>Kroměříž</w:t>
      </w:r>
      <w:bookmarkEnd w:id="1"/>
      <w:r>
        <w:rPr>
          <w:rStyle w:val="Zkladntext"/>
          <w:b/>
          <w:bCs/>
        </w:rPr>
        <w:t xml:space="preserve">, budovy na pare. č. 4237/1, , 4237/3 ,5953, </w:t>
      </w:r>
      <w:proofErr w:type="spellStart"/>
      <w:proofErr w:type="gramStart"/>
      <w:r>
        <w:rPr>
          <w:rStyle w:val="Zkladntext"/>
          <w:b/>
          <w:bCs/>
        </w:rPr>
        <w:t>k.ú</w:t>
      </w:r>
      <w:proofErr w:type="spellEnd"/>
      <w:r>
        <w:rPr>
          <w:rStyle w:val="Zkladntext"/>
          <w:b/>
          <w:bCs/>
        </w:rPr>
        <w:t>.</w:t>
      </w:r>
      <w:proofErr w:type="gramEnd"/>
      <w:r>
        <w:rPr>
          <w:rStyle w:val="Zkladntext"/>
          <w:b/>
          <w:bCs/>
        </w:rPr>
        <w:t xml:space="preserve"> Kroměříž“ a </w:t>
      </w:r>
      <w:r>
        <w:rPr>
          <w:rStyle w:val="Zkladntext"/>
        </w:rPr>
        <w:t xml:space="preserve">výkon inženýrské </w:t>
      </w:r>
      <w:proofErr w:type="gramStart"/>
      <w:r>
        <w:rPr>
          <w:rStyle w:val="Zkladntext"/>
        </w:rPr>
        <w:t>činnosti která</w:t>
      </w:r>
      <w:proofErr w:type="gramEnd"/>
      <w:r>
        <w:rPr>
          <w:rStyle w:val="Zkladntext"/>
        </w:rPr>
        <w:t xml:space="preserve"> bude vykonávána s cílem zajistit příslušná pravomocná správní rozhodnutí pro realizaci stavby, včetně: zajištění všech dokladů nezbytných pro vydání povol</w:t>
      </w:r>
      <w:r>
        <w:rPr>
          <w:rStyle w:val="Zkladntext"/>
        </w:rPr>
        <w:t>ení, které budou sloužit jako příloha k žádosti pro společné povolení;</w:t>
      </w:r>
    </w:p>
    <w:p w:rsidR="00CF4CC6" w:rsidRDefault="00CF4CC6">
      <w:pPr>
        <w:spacing w:after="1008" w:line="1" w:lineRule="exact"/>
      </w:pPr>
    </w:p>
    <w:p w:rsidR="00CF4CC6" w:rsidRDefault="00697C88">
      <w:pPr>
        <w:pStyle w:val="Zkladntext1"/>
        <w:spacing w:after="0"/>
        <w:ind w:firstLine="520"/>
      </w:pPr>
      <w:r>
        <w:rPr>
          <w:rStyle w:val="Zkladntext"/>
        </w:rPr>
        <w:lastRenderedPageBreak/>
        <w:t>zabezpečení vyjádření všech účastníků správního řízení;</w:t>
      </w:r>
    </w:p>
    <w:p w:rsidR="00CF4CC6" w:rsidRDefault="00697C88">
      <w:pPr>
        <w:pStyle w:val="Zkladntext1"/>
        <w:spacing w:after="0"/>
        <w:ind w:left="660" w:firstLine="480"/>
      </w:pPr>
      <w:r>
        <w:rPr>
          <w:rStyle w:val="Zkladntext"/>
        </w:rPr>
        <w:t xml:space="preserve">podání žádosti o povolení na příslušný stavební úřad po podpisu žádosti o povolení zástupcem investora a předložení dokladu o </w:t>
      </w:r>
      <w:r>
        <w:rPr>
          <w:rStyle w:val="Zkladntext"/>
        </w:rPr>
        <w:t>podání na příslušný stavební úřad objednateli;</w:t>
      </w:r>
    </w:p>
    <w:p w:rsidR="00CF4CC6" w:rsidRDefault="00697C88">
      <w:pPr>
        <w:pStyle w:val="Zkladntext1"/>
        <w:spacing w:after="0"/>
        <w:ind w:left="520" w:firstLine="140"/>
      </w:pPr>
      <w:r>
        <w:rPr>
          <w:rStyle w:val="Zkladntext"/>
        </w:rPr>
        <w:t>zpracování všech požadavků stavebního úřadu na doplnění žádosti o povolení a zabezpečení vydání povolení;</w:t>
      </w:r>
    </w:p>
    <w:p w:rsidR="00CF4CC6" w:rsidRDefault="00697C88">
      <w:pPr>
        <w:pStyle w:val="Zkladntext1"/>
        <w:spacing w:after="0"/>
        <w:ind w:left="520" w:firstLine="20"/>
      </w:pPr>
      <w:r>
        <w:rPr>
          <w:rStyle w:val="Zkladntext"/>
        </w:rPr>
        <w:t xml:space="preserve">zapracování připomínek účastníků správních řízení a účastníků výrobních výborů do projektové </w:t>
      </w:r>
      <w:r>
        <w:rPr>
          <w:rStyle w:val="Zkladntext"/>
        </w:rPr>
        <w:t>dokumentace;</w:t>
      </w:r>
    </w:p>
    <w:p w:rsidR="00CF4CC6" w:rsidRDefault="00697C88">
      <w:pPr>
        <w:pStyle w:val="Zkladntext1"/>
        <w:spacing w:after="400"/>
        <w:ind w:left="520" w:firstLine="20"/>
      </w:pPr>
      <w:r>
        <w:rPr>
          <w:rStyle w:val="Zkladntext"/>
        </w:rPr>
        <w:t>veškeré další činnosti nutné v rámci správních řízení, vedoucí k vydání povolení</w:t>
      </w:r>
    </w:p>
    <w:p w:rsidR="00CF4CC6" w:rsidRDefault="00697C88">
      <w:pPr>
        <w:pStyle w:val="Zkladntext1"/>
        <w:ind w:firstLine="520"/>
      </w:pPr>
      <w:r>
        <w:rPr>
          <w:rStyle w:val="Zkladntext"/>
        </w:rPr>
        <w:t>(dále jen „dílo“).</w:t>
      </w:r>
    </w:p>
    <w:p w:rsidR="00CF4CC6" w:rsidRDefault="00697C88">
      <w:pPr>
        <w:pStyle w:val="Zkladntext1"/>
        <w:numPr>
          <w:ilvl w:val="0"/>
          <w:numId w:val="2"/>
        </w:numPr>
        <w:tabs>
          <w:tab w:val="left" w:pos="420"/>
        </w:tabs>
        <w:ind w:left="520" w:hanging="520"/>
        <w:jc w:val="both"/>
      </w:pPr>
      <w:r>
        <w:rPr>
          <w:rStyle w:val="Zkladntext"/>
        </w:rPr>
        <w:t xml:space="preserve">Zhotovitel prohlašuje, že se seznámil s rozsahem a povahou díla, a že jsou mu známy veškeré technické, kvalitativní a jiné podmínky nezbytné k </w:t>
      </w:r>
      <w:r>
        <w:rPr>
          <w:rStyle w:val="Zkladntext"/>
        </w:rPr>
        <w:t>realizaci díla a že disponuje takovými kapacitami a odbornými znalostmi, které jsou k provedení díla nezbytné. Do předmětu díla jsou zahrnuty i ty práce a dodávky, které zhotovitel mohl nebo měl na základě svých odborných a technických znalostí předpokláda</w:t>
      </w:r>
      <w:r>
        <w:rPr>
          <w:rStyle w:val="Zkladntext"/>
        </w:rPr>
        <w:t>t.</w:t>
      </w:r>
    </w:p>
    <w:p w:rsidR="00CF4CC6" w:rsidRDefault="00697C88">
      <w:pPr>
        <w:pStyle w:val="Zkladntext1"/>
        <w:numPr>
          <w:ilvl w:val="0"/>
          <w:numId w:val="2"/>
        </w:numPr>
        <w:tabs>
          <w:tab w:val="left" w:pos="420"/>
        </w:tabs>
        <w:ind w:left="520" w:hanging="520"/>
        <w:jc w:val="both"/>
      </w:pPr>
      <w:r>
        <w:rPr>
          <w:rStyle w:val="Zkladntext"/>
        </w:rPr>
        <w:t>Veškeré práce proběhnou v souladu s výše uvedeným, s nabídkou č. ze dne 25. 07. 2022, která tvoří přílohu č. 1 této smlouvy.</w:t>
      </w:r>
    </w:p>
    <w:p w:rsidR="00CF4CC6" w:rsidRDefault="00697C88">
      <w:pPr>
        <w:pStyle w:val="Zkladntext1"/>
        <w:numPr>
          <w:ilvl w:val="0"/>
          <w:numId w:val="2"/>
        </w:numPr>
        <w:tabs>
          <w:tab w:val="left" w:pos="420"/>
        </w:tabs>
        <w:ind w:left="520" w:hanging="520"/>
        <w:jc w:val="both"/>
      </w:pPr>
      <w:r>
        <w:rPr>
          <w:rStyle w:val="Zkladntext"/>
        </w:rPr>
        <w:t>Obsah a rozsah projektové dokumentace pro společné povolení a provedení stavby bude zpracován dle vyhlášky č. 405/2017 Sb., o do</w:t>
      </w:r>
      <w:r>
        <w:rPr>
          <w:rStyle w:val="Zkladntext"/>
        </w:rPr>
        <w:t>kumentaci staveb.</w:t>
      </w:r>
    </w:p>
    <w:p w:rsidR="00CF4CC6" w:rsidRDefault="00697C88">
      <w:pPr>
        <w:pStyle w:val="Zkladntext1"/>
        <w:numPr>
          <w:ilvl w:val="0"/>
          <w:numId w:val="2"/>
        </w:numPr>
        <w:tabs>
          <w:tab w:val="left" w:pos="420"/>
        </w:tabs>
        <w:ind w:left="520" w:hanging="520"/>
        <w:jc w:val="both"/>
      </w:pPr>
      <w:r>
        <w:rPr>
          <w:rStyle w:val="Zkladntext"/>
        </w:rPr>
        <w:t>Zhotovitel provede dílo v souladu s platnými právními předpisy a při provádění díla je vázán pouze pokyny objednatele.</w:t>
      </w:r>
    </w:p>
    <w:p w:rsidR="00CF4CC6" w:rsidRDefault="00697C88">
      <w:pPr>
        <w:pStyle w:val="Zkladntext1"/>
        <w:numPr>
          <w:ilvl w:val="0"/>
          <w:numId w:val="2"/>
        </w:numPr>
        <w:tabs>
          <w:tab w:val="left" w:pos="420"/>
        </w:tabs>
        <w:spacing w:after="540"/>
      </w:pPr>
      <w:r>
        <w:rPr>
          <w:rStyle w:val="Zkladntext"/>
        </w:rPr>
        <w:t>Předmětem díla nejsou správní poplatky. Správní poplatky bude hradit objednatel.</w:t>
      </w:r>
    </w:p>
    <w:p w:rsidR="00CF4CC6" w:rsidRDefault="00697C88">
      <w:pPr>
        <w:pStyle w:val="Nadpis20"/>
        <w:keepNext/>
        <w:keepLines/>
        <w:numPr>
          <w:ilvl w:val="0"/>
          <w:numId w:val="1"/>
        </w:numPr>
        <w:tabs>
          <w:tab w:val="left" w:pos="512"/>
        </w:tabs>
      </w:pPr>
      <w:bookmarkStart w:id="2" w:name="bookmark2"/>
      <w:r>
        <w:rPr>
          <w:rStyle w:val="Nadpis2"/>
          <w:b/>
          <w:bCs/>
        </w:rPr>
        <w:t>Doba plnění</w:t>
      </w:r>
      <w:bookmarkEnd w:id="2"/>
    </w:p>
    <w:p w:rsidR="00CF4CC6" w:rsidRDefault="00697C88">
      <w:pPr>
        <w:pStyle w:val="Zkladntext1"/>
        <w:numPr>
          <w:ilvl w:val="0"/>
          <w:numId w:val="3"/>
        </w:numPr>
        <w:tabs>
          <w:tab w:val="left" w:pos="420"/>
        </w:tabs>
      </w:pPr>
      <w:r>
        <w:rPr>
          <w:rStyle w:val="Zkladntext"/>
        </w:rPr>
        <w:t>Zhotovitel se zavazuje díl</w:t>
      </w:r>
      <w:r>
        <w:rPr>
          <w:rStyle w:val="Zkladntext"/>
        </w:rPr>
        <w:t>o předat objednateli v těchto termínech:</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78"/>
        <w:gridCol w:w="4027"/>
      </w:tblGrid>
      <w:tr w:rsidR="00CF4CC6">
        <w:tblPrEx>
          <w:tblCellMar>
            <w:top w:w="0" w:type="dxa"/>
            <w:bottom w:w="0" w:type="dxa"/>
          </w:tblCellMar>
        </w:tblPrEx>
        <w:trPr>
          <w:trHeight w:hRule="exact" w:val="682"/>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jc w:val="center"/>
            </w:pPr>
            <w:r>
              <w:rPr>
                <w:rStyle w:val="Jin"/>
                <w:b/>
                <w:bCs/>
              </w:rPr>
              <w:lastRenderedPageBreak/>
              <w:t>Jednotlivé části díla</w:t>
            </w:r>
          </w:p>
        </w:tc>
        <w:tc>
          <w:tcPr>
            <w:tcW w:w="4027"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b/>
                <w:bCs/>
              </w:rPr>
              <w:t>Termíny ukončení jednotlivých částí díla</w:t>
            </w:r>
          </w:p>
        </w:tc>
      </w:tr>
      <w:tr w:rsidR="00CF4CC6">
        <w:tblPrEx>
          <w:tblCellMar>
            <w:top w:w="0" w:type="dxa"/>
            <w:bottom w:w="0" w:type="dxa"/>
          </w:tblCellMar>
        </w:tblPrEx>
        <w:trPr>
          <w:trHeight w:hRule="exact" w:val="682"/>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pPr>
            <w:r>
              <w:rPr>
                <w:rStyle w:val="Jin"/>
              </w:rPr>
              <w:t>Energetická studie ve 3 variantách</w:t>
            </w:r>
          </w:p>
        </w:tc>
        <w:tc>
          <w:tcPr>
            <w:tcW w:w="4027"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do 90 dní od uzavření smlouvy</w:t>
            </w:r>
          </w:p>
        </w:tc>
      </w:tr>
      <w:tr w:rsidR="00CF4CC6">
        <w:tblPrEx>
          <w:tblCellMar>
            <w:top w:w="0" w:type="dxa"/>
            <w:bottom w:w="0" w:type="dxa"/>
          </w:tblCellMar>
        </w:tblPrEx>
        <w:trPr>
          <w:trHeight w:hRule="exact" w:val="1200"/>
          <w:jc w:val="center"/>
        </w:trPr>
        <w:tc>
          <w:tcPr>
            <w:tcW w:w="5578" w:type="dxa"/>
            <w:tcBorders>
              <w:top w:val="single" w:sz="4" w:space="0" w:color="auto"/>
              <w:left w:val="single" w:sz="4" w:space="0" w:color="auto"/>
            </w:tcBorders>
            <w:shd w:val="clear" w:color="auto" w:fill="auto"/>
            <w:vAlign w:val="bottom"/>
          </w:tcPr>
          <w:p w:rsidR="00CF4CC6" w:rsidRDefault="00697C88">
            <w:pPr>
              <w:pStyle w:val="Jin0"/>
              <w:spacing w:after="0" w:line="276" w:lineRule="auto"/>
            </w:pPr>
            <w:r>
              <w:rPr>
                <w:rStyle w:val="Jin"/>
              </w:rPr>
              <w:t xml:space="preserve">Snížení energetické náročnosti budovy - projekt v úrovni pro povolení a podání </w:t>
            </w:r>
            <w:r>
              <w:rPr>
                <w:rStyle w:val="Jin"/>
              </w:rPr>
              <w:t>žádosti o dotace DSP, Energetické posouzení</w:t>
            </w:r>
          </w:p>
        </w:tc>
        <w:tc>
          <w:tcPr>
            <w:tcW w:w="4027"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do 150 dní od uzavření smlouvy</w:t>
            </w:r>
          </w:p>
        </w:tc>
      </w:tr>
      <w:tr w:rsidR="00CF4CC6">
        <w:tblPrEx>
          <w:tblCellMar>
            <w:top w:w="0" w:type="dxa"/>
            <w:bottom w:w="0" w:type="dxa"/>
          </w:tblCellMar>
        </w:tblPrEx>
        <w:trPr>
          <w:trHeight w:hRule="exact" w:val="1022"/>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line="276" w:lineRule="auto"/>
            </w:pPr>
            <w:r>
              <w:rPr>
                <w:rStyle w:val="Jin"/>
              </w:rPr>
              <w:t>Snížení energetické náročnosti budovy - dopracování projektu do úrovně pro provádění DPS</w:t>
            </w:r>
          </w:p>
        </w:tc>
        <w:tc>
          <w:tcPr>
            <w:tcW w:w="4027"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do 60 dní od pravomocného povolení stavby</w:t>
            </w:r>
          </w:p>
        </w:tc>
      </w:tr>
      <w:tr w:rsidR="00CF4CC6">
        <w:tblPrEx>
          <w:tblCellMar>
            <w:top w:w="0" w:type="dxa"/>
            <w:bottom w:w="0" w:type="dxa"/>
          </w:tblCellMar>
        </w:tblPrEx>
        <w:trPr>
          <w:trHeight w:hRule="exact" w:val="710"/>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pPr>
            <w:r>
              <w:rPr>
                <w:rStyle w:val="Jin"/>
              </w:rPr>
              <w:t>Celkový položkový rozpočet s výkazem výměr</w:t>
            </w:r>
          </w:p>
        </w:tc>
        <w:tc>
          <w:tcPr>
            <w:tcW w:w="4027" w:type="dxa"/>
            <w:tcBorders>
              <w:top w:val="single" w:sz="4" w:space="0" w:color="auto"/>
              <w:left w:val="single" w:sz="4" w:space="0" w:color="auto"/>
              <w:right w:val="single" w:sz="4" w:space="0" w:color="auto"/>
            </w:tcBorders>
            <w:shd w:val="clear" w:color="auto" w:fill="auto"/>
            <w:vAlign w:val="bottom"/>
          </w:tcPr>
          <w:p w:rsidR="00CF4CC6" w:rsidRDefault="00697C88">
            <w:pPr>
              <w:pStyle w:val="Jin0"/>
              <w:spacing w:after="0"/>
              <w:jc w:val="center"/>
            </w:pPr>
            <w:r>
              <w:rPr>
                <w:rStyle w:val="Jin"/>
              </w:rPr>
              <w:t>do 60</w:t>
            </w:r>
            <w:r>
              <w:rPr>
                <w:rStyle w:val="Jin"/>
              </w:rPr>
              <w:t xml:space="preserve"> dní od pravomocného povolení stavby</w:t>
            </w:r>
          </w:p>
        </w:tc>
      </w:tr>
      <w:tr w:rsidR="00CF4CC6">
        <w:tblPrEx>
          <w:tblCellMar>
            <w:top w:w="0" w:type="dxa"/>
            <w:bottom w:w="0" w:type="dxa"/>
          </w:tblCellMar>
        </w:tblPrEx>
        <w:trPr>
          <w:trHeight w:hRule="exact" w:val="912"/>
          <w:jc w:val="center"/>
        </w:trPr>
        <w:tc>
          <w:tcPr>
            <w:tcW w:w="5578" w:type="dxa"/>
            <w:tcBorders>
              <w:top w:val="single" w:sz="4" w:space="0" w:color="auto"/>
              <w:left w:val="single" w:sz="4" w:space="0" w:color="auto"/>
              <w:bottom w:val="single" w:sz="4" w:space="0" w:color="auto"/>
            </w:tcBorders>
            <w:shd w:val="clear" w:color="auto" w:fill="auto"/>
            <w:vAlign w:val="center"/>
          </w:tcPr>
          <w:p w:rsidR="00CF4CC6" w:rsidRDefault="00697C88">
            <w:pPr>
              <w:pStyle w:val="Jin0"/>
              <w:spacing w:after="0"/>
            </w:pPr>
            <w:r>
              <w:rPr>
                <w:rStyle w:val="Jin"/>
              </w:rPr>
              <w:t>Zajištění všech nutných povolení stavby</w:t>
            </w:r>
          </w:p>
        </w:tc>
        <w:tc>
          <w:tcPr>
            <w:tcW w:w="4027" w:type="dxa"/>
            <w:tcBorders>
              <w:top w:val="single" w:sz="4" w:space="0" w:color="auto"/>
              <w:left w:val="single" w:sz="4" w:space="0" w:color="auto"/>
              <w:bottom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Předpoklad 10/2023</w:t>
            </w:r>
          </w:p>
        </w:tc>
      </w:tr>
    </w:tbl>
    <w:p w:rsidR="00CF4CC6" w:rsidRDefault="00CF4CC6">
      <w:pPr>
        <w:spacing w:after="99" w:line="1" w:lineRule="exact"/>
      </w:pPr>
    </w:p>
    <w:p w:rsidR="00CF4CC6" w:rsidRDefault="00697C88">
      <w:pPr>
        <w:pStyle w:val="Zkladntext1"/>
        <w:numPr>
          <w:ilvl w:val="0"/>
          <w:numId w:val="3"/>
        </w:numPr>
        <w:tabs>
          <w:tab w:val="left" w:pos="391"/>
        </w:tabs>
        <w:ind w:left="400" w:hanging="400"/>
      </w:pPr>
      <w:r>
        <w:rPr>
          <w:rStyle w:val="Zkladntext"/>
        </w:rPr>
        <w:t>Zhotovitel se zavazuje předat objednateli projektovou dokumentaci v 4 identických výtiscích a v 1 vyhotovení v digitální podobě.</w:t>
      </w:r>
    </w:p>
    <w:p w:rsidR="00CF4CC6" w:rsidRDefault="00697C88">
      <w:pPr>
        <w:pStyle w:val="Zkladntext1"/>
        <w:numPr>
          <w:ilvl w:val="0"/>
          <w:numId w:val="3"/>
        </w:numPr>
        <w:tabs>
          <w:tab w:val="left" w:pos="391"/>
        </w:tabs>
      </w:pPr>
      <w:r>
        <w:rPr>
          <w:rStyle w:val="Zkladntext"/>
        </w:rPr>
        <w:t xml:space="preserve">Objednatel je povinen </w:t>
      </w:r>
      <w:r>
        <w:rPr>
          <w:rStyle w:val="Zkladntext"/>
        </w:rPr>
        <w:t>převzít předmět díla dle článku II. i v případě dřívějšího plnění.</w:t>
      </w:r>
    </w:p>
    <w:p w:rsidR="00CF4CC6" w:rsidRDefault="00697C88">
      <w:pPr>
        <w:pStyle w:val="Zkladntext1"/>
        <w:numPr>
          <w:ilvl w:val="0"/>
          <w:numId w:val="3"/>
        </w:numPr>
        <w:tabs>
          <w:tab w:val="left" w:pos="391"/>
        </w:tabs>
        <w:ind w:left="400" w:hanging="400"/>
      </w:pPr>
      <w:r>
        <w:rPr>
          <w:rStyle w:val="Zkladntext"/>
        </w:rPr>
        <w:t>Zhotovitel je povinen předat dílo objednateli ve smluveném termínu. Termín k předání díla je závazný.</w:t>
      </w:r>
    </w:p>
    <w:p w:rsidR="00CF4CC6" w:rsidRDefault="00697C88">
      <w:pPr>
        <w:pStyle w:val="Zkladntext1"/>
        <w:numPr>
          <w:ilvl w:val="0"/>
          <w:numId w:val="3"/>
        </w:numPr>
        <w:tabs>
          <w:tab w:val="left" w:pos="391"/>
        </w:tabs>
        <w:ind w:left="400" w:hanging="400"/>
      </w:pPr>
      <w:r>
        <w:rPr>
          <w:rStyle w:val="Zkladntext"/>
        </w:rPr>
        <w:t>Zhotovitel je oprávněn o dobu prodlení objednatele s poskytnutím součinnosti dle článku</w:t>
      </w:r>
      <w:r>
        <w:rPr>
          <w:rStyle w:val="Zkladntext"/>
        </w:rPr>
        <w:t xml:space="preserve"> VI., odst. 4) této smlouvy posunout termín ukončení.</w:t>
      </w:r>
    </w:p>
    <w:p w:rsidR="00CF4CC6" w:rsidRDefault="00697C88">
      <w:pPr>
        <w:pStyle w:val="Zkladntext1"/>
        <w:numPr>
          <w:ilvl w:val="0"/>
          <w:numId w:val="3"/>
        </w:numPr>
        <w:tabs>
          <w:tab w:val="left" w:pos="391"/>
        </w:tabs>
        <w:ind w:left="400" w:hanging="400"/>
        <w:jc w:val="both"/>
      </w:pPr>
      <w:r>
        <w:rPr>
          <w:rStyle w:val="Zkladntext"/>
        </w:rPr>
        <w:t>Zhotovitel je oprávněn požadovat o dobu prodlení, která prokazatelně nevznikne na straně zhotovitele a kterou zhotovitel nemohl ovlivnit, posunutí termínu ukončení. Po projednání a odsouhlasení nového t</w:t>
      </w:r>
      <w:r>
        <w:rPr>
          <w:rStyle w:val="Zkladntext"/>
        </w:rPr>
        <w:t xml:space="preserve">ermínu plnění oběma smluvními stranami bude vyhotoven písemný dodatek k </w:t>
      </w:r>
      <w:proofErr w:type="spellStart"/>
      <w:r>
        <w:rPr>
          <w:rStyle w:val="Zkladntext"/>
        </w:rPr>
        <w:t>SoD</w:t>
      </w:r>
      <w:proofErr w:type="spellEnd"/>
      <w:r>
        <w:rPr>
          <w:rStyle w:val="Zkladntext"/>
        </w:rPr>
        <w:t>.</w:t>
      </w:r>
    </w:p>
    <w:p w:rsidR="00CF4CC6" w:rsidRDefault="00697C88">
      <w:pPr>
        <w:pStyle w:val="Zkladntext1"/>
        <w:numPr>
          <w:ilvl w:val="0"/>
          <w:numId w:val="3"/>
        </w:numPr>
        <w:tabs>
          <w:tab w:val="left" w:pos="391"/>
        </w:tabs>
        <w:spacing w:after="660" w:line="257" w:lineRule="auto"/>
        <w:jc w:val="both"/>
      </w:pPr>
      <w:r>
        <w:rPr>
          <w:rStyle w:val="Zkladntext"/>
        </w:rPr>
        <w:t xml:space="preserve">část díla </w:t>
      </w:r>
      <w:r>
        <w:rPr>
          <w:rStyle w:val="Zkladntext"/>
          <w:i/>
          <w:iCs/>
        </w:rPr>
        <w:t>výkon inženýrské činnosti spočívající v zajištění pravomocného stavebního povolení</w:t>
      </w:r>
      <w:r>
        <w:rPr>
          <w:rStyle w:val="Zkladntext"/>
          <w:b/>
          <w:bCs/>
        </w:rPr>
        <w:t xml:space="preserve"> bude zhotovitel provádět v závislosti na průběhu příslušných správních řízení a bude d</w:t>
      </w:r>
      <w:r>
        <w:rPr>
          <w:rStyle w:val="Zkladntext"/>
          <w:b/>
          <w:bCs/>
        </w:rPr>
        <w:t>okončena získáním pravomocného povolení, rozhodnutí, souhlasů a stanovisek nezbytných pro zhotovení stavby;</w:t>
      </w:r>
    </w:p>
    <w:p w:rsidR="00CF4CC6" w:rsidRDefault="00697C88">
      <w:pPr>
        <w:pStyle w:val="Nadpis20"/>
        <w:keepNext/>
        <w:keepLines/>
        <w:numPr>
          <w:ilvl w:val="0"/>
          <w:numId w:val="1"/>
        </w:numPr>
        <w:tabs>
          <w:tab w:val="left" w:pos="461"/>
        </w:tabs>
      </w:pPr>
      <w:bookmarkStart w:id="3" w:name="bookmark4"/>
      <w:r>
        <w:rPr>
          <w:rStyle w:val="Nadpis2"/>
          <w:b/>
          <w:bCs/>
        </w:rPr>
        <w:t>Cena díla</w:t>
      </w:r>
      <w:bookmarkEnd w:id="3"/>
    </w:p>
    <w:p w:rsidR="00CF4CC6" w:rsidRDefault="00697C88">
      <w:pPr>
        <w:pStyle w:val="Zkladntext1"/>
        <w:numPr>
          <w:ilvl w:val="0"/>
          <w:numId w:val="4"/>
        </w:numPr>
        <w:tabs>
          <w:tab w:val="left" w:pos="391"/>
        </w:tabs>
        <w:spacing w:after="380"/>
        <w:ind w:left="400" w:hanging="400"/>
      </w:pPr>
      <w:r>
        <w:rPr>
          <w:rStyle w:val="Zkladntext"/>
        </w:rPr>
        <w:t xml:space="preserve">Zhotovitel a objednatel obapolně dohodli cenu za předmět díla dle závazné nabídky ze dne 25. 07. 2022, která je uvedena v příloze č. 1 </w:t>
      </w:r>
      <w:r>
        <w:rPr>
          <w:rStyle w:val="Zkladntext"/>
        </w:rPr>
        <w:t>této smlouvy, následně: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02"/>
        <w:gridCol w:w="4032"/>
      </w:tblGrid>
      <w:tr w:rsidR="00CF4CC6">
        <w:tblPrEx>
          <w:tblCellMar>
            <w:top w:w="0" w:type="dxa"/>
            <w:bottom w:w="0" w:type="dxa"/>
          </w:tblCellMar>
        </w:tblPrEx>
        <w:trPr>
          <w:trHeight w:hRule="exact" w:val="538"/>
          <w:jc w:val="center"/>
        </w:trPr>
        <w:tc>
          <w:tcPr>
            <w:tcW w:w="5602" w:type="dxa"/>
            <w:tcBorders>
              <w:top w:val="single" w:sz="4" w:space="0" w:color="auto"/>
              <w:left w:val="single" w:sz="4" w:space="0" w:color="auto"/>
            </w:tcBorders>
            <w:shd w:val="clear" w:color="auto" w:fill="auto"/>
            <w:vAlign w:val="center"/>
          </w:tcPr>
          <w:p w:rsidR="00CF4CC6" w:rsidRDefault="00697C88">
            <w:pPr>
              <w:pStyle w:val="Jin0"/>
              <w:spacing w:after="0"/>
            </w:pPr>
            <w:r>
              <w:rPr>
                <w:rStyle w:val="Jin"/>
                <w:b/>
                <w:bCs/>
              </w:rPr>
              <w:t>Popis činnosti</w:t>
            </w:r>
          </w:p>
        </w:tc>
        <w:tc>
          <w:tcPr>
            <w:tcW w:w="4032"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b/>
                <w:bCs/>
              </w:rPr>
              <w:t>Částka</w:t>
            </w:r>
          </w:p>
        </w:tc>
      </w:tr>
      <w:tr w:rsidR="00CF4CC6">
        <w:tblPrEx>
          <w:tblCellMar>
            <w:top w:w="0" w:type="dxa"/>
            <w:bottom w:w="0" w:type="dxa"/>
          </w:tblCellMar>
        </w:tblPrEx>
        <w:trPr>
          <w:trHeight w:hRule="exact" w:val="576"/>
          <w:jc w:val="center"/>
        </w:trPr>
        <w:tc>
          <w:tcPr>
            <w:tcW w:w="5602" w:type="dxa"/>
            <w:tcBorders>
              <w:top w:val="single" w:sz="4" w:space="0" w:color="auto"/>
              <w:left w:val="single" w:sz="4" w:space="0" w:color="auto"/>
              <w:bottom w:val="single" w:sz="4" w:space="0" w:color="auto"/>
            </w:tcBorders>
            <w:shd w:val="clear" w:color="auto" w:fill="auto"/>
            <w:vAlign w:val="bottom"/>
          </w:tcPr>
          <w:p w:rsidR="00CF4CC6" w:rsidRDefault="00697C88">
            <w:pPr>
              <w:pStyle w:val="Jin0"/>
              <w:spacing w:after="0"/>
            </w:pPr>
            <w:r>
              <w:rPr>
                <w:rStyle w:val="Jin"/>
              </w:rPr>
              <w:t>Cena za dokumentaci energetické studie (v Kč bez</w:t>
            </w:r>
          </w:p>
          <w:p w:rsidR="00CF4CC6" w:rsidRDefault="00697C88">
            <w:pPr>
              <w:pStyle w:val="Jin0"/>
              <w:spacing w:after="0"/>
            </w:pPr>
            <w:r>
              <w:rPr>
                <w:rStyle w:val="Jin"/>
              </w:rPr>
              <w:t>DPH)</w:t>
            </w:r>
          </w:p>
        </w:tc>
        <w:tc>
          <w:tcPr>
            <w:tcW w:w="4032" w:type="dxa"/>
            <w:tcBorders>
              <w:top w:val="single" w:sz="4" w:space="0" w:color="auto"/>
              <w:left w:val="single" w:sz="4" w:space="0" w:color="auto"/>
              <w:bottom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205.000, - Kč</w:t>
            </w:r>
          </w:p>
        </w:tc>
      </w:tr>
    </w:tbl>
    <w:p w:rsidR="00CF4CC6" w:rsidRDefault="00CF4CC6">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78"/>
        <w:gridCol w:w="4013"/>
      </w:tblGrid>
      <w:tr w:rsidR="00CF4CC6">
        <w:tblPrEx>
          <w:tblCellMar>
            <w:top w:w="0" w:type="dxa"/>
            <w:bottom w:w="0" w:type="dxa"/>
          </w:tblCellMar>
        </w:tblPrEx>
        <w:trPr>
          <w:trHeight w:hRule="exact" w:val="538"/>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pPr>
            <w:r>
              <w:rPr>
                <w:rStyle w:val="Jin"/>
                <w:b/>
                <w:bCs/>
              </w:rPr>
              <w:t>Popis činnosti</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b/>
                <w:bCs/>
              </w:rPr>
              <w:t>Částka</w:t>
            </w:r>
          </w:p>
        </w:tc>
      </w:tr>
      <w:tr w:rsidR="00CF4CC6">
        <w:tblPrEx>
          <w:tblCellMar>
            <w:top w:w="0" w:type="dxa"/>
            <w:bottom w:w="0" w:type="dxa"/>
          </w:tblCellMar>
        </w:tblPrEx>
        <w:trPr>
          <w:trHeight w:hRule="exact" w:val="898"/>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line="254" w:lineRule="auto"/>
            </w:pPr>
            <w:r>
              <w:rPr>
                <w:rStyle w:val="Jin"/>
              </w:rPr>
              <w:lastRenderedPageBreak/>
              <w:t>Cena za PD Snížená energetické náročnosti budovy, energetické posouzení - DSP (v Kč bez DPH)</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250.000, - Kč</w:t>
            </w:r>
          </w:p>
        </w:tc>
      </w:tr>
      <w:tr w:rsidR="00CF4CC6">
        <w:tblPrEx>
          <w:tblCellMar>
            <w:top w:w="0" w:type="dxa"/>
            <w:bottom w:w="0" w:type="dxa"/>
          </w:tblCellMar>
        </w:tblPrEx>
        <w:trPr>
          <w:trHeight w:hRule="exact" w:val="984"/>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line="254" w:lineRule="auto"/>
            </w:pPr>
            <w:r>
              <w:rPr>
                <w:rStyle w:val="Jin"/>
              </w:rPr>
              <w:t xml:space="preserve">Cena za </w:t>
            </w:r>
            <w:r>
              <w:rPr>
                <w:rStyle w:val="Jin"/>
              </w:rPr>
              <w:t>dopracování PD Snížení energetické náročnosti budovy do stupně pro provádění -DPS (v Kč bez DPH)</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153.000,-Kč</w:t>
            </w:r>
          </w:p>
        </w:tc>
      </w:tr>
      <w:tr w:rsidR="00CF4CC6">
        <w:tblPrEx>
          <w:tblCellMar>
            <w:top w:w="0" w:type="dxa"/>
            <w:bottom w:w="0" w:type="dxa"/>
          </w:tblCellMar>
        </w:tblPrEx>
        <w:trPr>
          <w:trHeight w:hRule="exact" w:val="571"/>
          <w:jc w:val="center"/>
        </w:trPr>
        <w:tc>
          <w:tcPr>
            <w:tcW w:w="5578" w:type="dxa"/>
            <w:tcBorders>
              <w:top w:val="single" w:sz="4" w:space="0" w:color="auto"/>
              <w:left w:val="single" w:sz="4" w:space="0" w:color="auto"/>
            </w:tcBorders>
            <w:shd w:val="clear" w:color="auto" w:fill="auto"/>
            <w:vAlign w:val="bottom"/>
          </w:tcPr>
          <w:p w:rsidR="00CF4CC6" w:rsidRDefault="00697C88">
            <w:pPr>
              <w:pStyle w:val="Jin0"/>
              <w:spacing w:after="0" w:line="259" w:lineRule="auto"/>
            </w:pPr>
            <w:r>
              <w:rPr>
                <w:rStyle w:val="Jin"/>
              </w:rPr>
              <w:t>Cena za statické opatření pro umístění FVE (v Kč bez DPH)</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25.000, - Kč</w:t>
            </w:r>
          </w:p>
        </w:tc>
      </w:tr>
      <w:tr w:rsidR="00CF4CC6">
        <w:tblPrEx>
          <w:tblCellMar>
            <w:top w:w="0" w:type="dxa"/>
            <w:bottom w:w="0" w:type="dxa"/>
          </w:tblCellMar>
        </w:tblPrEx>
        <w:trPr>
          <w:trHeight w:hRule="exact" w:val="571"/>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pPr>
            <w:r>
              <w:rPr>
                <w:rStyle w:val="Jin"/>
              </w:rPr>
              <w:t>Cena za projekt ÚT, VZT a CHL</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97.000, - Kč</w:t>
            </w:r>
          </w:p>
        </w:tc>
      </w:tr>
      <w:tr w:rsidR="00CF4CC6">
        <w:tblPrEx>
          <w:tblCellMar>
            <w:top w:w="0" w:type="dxa"/>
            <w:bottom w:w="0" w:type="dxa"/>
          </w:tblCellMar>
        </w:tblPrEx>
        <w:trPr>
          <w:trHeight w:hRule="exact" w:val="571"/>
          <w:jc w:val="center"/>
        </w:trPr>
        <w:tc>
          <w:tcPr>
            <w:tcW w:w="5578" w:type="dxa"/>
            <w:tcBorders>
              <w:top w:val="single" w:sz="4" w:space="0" w:color="auto"/>
              <w:left w:val="single" w:sz="4" w:space="0" w:color="auto"/>
            </w:tcBorders>
            <w:shd w:val="clear" w:color="auto" w:fill="auto"/>
            <w:vAlign w:val="center"/>
          </w:tcPr>
          <w:p w:rsidR="00CF4CC6" w:rsidRDefault="00697C88">
            <w:pPr>
              <w:pStyle w:val="Jin0"/>
              <w:spacing w:after="0"/>
            </w:pPr>
            <w:r>
              <w:rPr>
                <w:rStyle w:val="Jin"/>
              </w:rPr>
              <w:t>Cena za projekt FVE</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105.000,-Kč</w:t>
            </w:r>
          </w:p>
        </w:tc>
      </w:tr>
      <w:tr w:rsidR="00CF4CC6">
        <w:tblPrEx>
          <w:tblCellMar>
            <w:top w:w="0" w:type="dxa"/>
            <w:bottom w:w="0" w:type="dxa"/>
          </w:tblCellMar>
        </w:tblPrEx>
        <w:trPr>
          <w:trHeight w:hRule="exact" w:val="566"/>
          <w:jc w:val="center"/>
        </w:trPr>
        <w:tc>
          <w:tcPr>
            <w:tcW w:w="5578" w:type="dxa"/>
            <w:tcBorders>
              <w:top w:val="single" w:sz="4" w:space="0" w:color="auto"/>
              <w:left w:val="single" w:sz="4" w:space="0" w:color="auto"/>
            </w:tcBorders>
            <w:shd w:val="clear" w:color="auto" w:fill="auto"/>
            <w:vAlign w:val="bottom"/>
          </w:tcPr>
          <w:p w:rsidR="00CF4CC6" w:rsidRDefault="00697C88">
            <w:pPr>
              <w:pStyle w:val="Jin0"/>
              <w:spacing w:after="0"/>
            </w:pPr>
            <w:r>
              <w:rPr>
                <w:rStyle w:val="Jin"/>
              </w:rPr>
              <w:t>Cena za položkový rozpočet s výkazem výměr (v Kč bez</w:t>
            </w:r>
          </w:p>
          <w:p w:rsidR="00CF4CC6" w:rsidRDefault="00697C88">
            <w:pPr>
              <w:pStyle w:val="Jin0"/>
              <w:spacing w:after="0"/>
            </w:pPr>
            <w:r>
              <w:rPr>
                <w:rStyle w:val="Jin"/>
              </w:rPr>
              <w:t>DPH)</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30.000, - Kč</w:t>
            </w:r>
          </w:p>
        </w:tc>
      </w:tr>
      <w:tr w:rsidR="00CF4CC6">
        <w:tblPrEx>
          <w:tblCellMar>
            <w:top w:w="0" w:type="dxa"/>
            <w:bottom w:w="0" w:type="dxa"/>
          </w:tblCellMar>
        </w:tblPrEx>
        <w:trPr>
          <w:trHeight w:hRule="exact" w:val="566"/>
          <w:jc w:val="center"/>
        </w:trPr>
        <w:tc>
          <w:tcPr>
            <w:tcW w:w="5578" w:type="dxa"/>
            <w:tcBorders>
              <w:top w:val="single" w:sz="4" w:space="0" w:color="auto"/>
              <w:left w:val="single" w:sz="4" w:space="0" w:color="auto"/>
            </w:tcBorders>
            <w:shd w:val="clear" w:color="auto" w:fill="auto"/>
            <w:vAlign w:val="bottom"/>
          </w:tcPr>
          <w:p w:rsidR="00CF4CC6" w:rsidRDefault="00697C88">
            <w:pPr>
              <w:pStyle w:val="Jin0"/>
              <w:spacing w:after="0" w:line="259" w:lineRule="auto"/>
            </w:pPr>
            <w:r>
              <w:rPr>
                <w:rStyle w:val="Jin"/>
              </w:rPr>
              <w:t>Cena za inženýrskou činnost a zajištění povolení stavby (v Kč bez DPH)</w:t>
            </w:r>
          </w:p>
        </w:tc>
        <w:tc>
          <w:tcPr>
            <w:tcW w:w="4013" w:type="dxa"/>
            <w:tcBorders>
              <w:top w:val="single" w:sz="4" w:space="0" w:color="auto"/>
              <w:left w:val="single" w:sz="4" w:space="0" w:color="auto"/>
              <w:right w:val="single" w:sz="4" w:space="0" w:color="auto"/>
            </w:tcBorders>
            <w:shd w:val="clear" w:color="auto" w:fill="auto"/>
            <w:vAlign w:val="center"/>
          </w:tcPr>
          <w:p w:rsidR="00CF4CC6" w:rsidRDefault="00697C88">
            <w:pPr>
              <w:pStyle w:val="Jin0"/>
              <w:spacing w:after="0"/>
              <w:jc w:val="center"/>
            </w:pPr>
            <w:r>
              <w:rPr>
                <w:rStyle w:val="Jin"/>
              </w:rPr>
              <w:t>40.000, - Kč</w:t>
            </w:r>
          </w:p>
        </w:tc>
      </w:tr>
      <w:tr w:rsidR="00CF4CC6">
        <w:tblPrEx>
          <w:tblCellMar>
            <w:top w:w="0" w:type="dxa"/>
            <w:bottom w:w="0" w:type="dxa"/>
          </w:tblCellMar>
        </w:tblPrEx>
        <w:trPr>
          <w:trHeight w:hRule="exact" w:val="581"/>
          <w:jc w:val="center"/>
        </w:trPr>
        <w:tc>
          <w:tcPr>
            <w:tcW w:w="5578" w:type="dxa"/>
            <w:tcBorders>
              <w:top w:val="single" w:sz="4" w:space="0" w:color="auto"/>
              <w:left w:val="single" w:sz="4" w:space="0" w:color="auto"/>
              <w:bottom w:val="single" w:sz="4" w:space="0" w:color="auto"/>
            </w:tcBorders>
            <w:shd w:val="clear" w:color="auto" w:fill="auto"/>
            <w:vAlign w:val="center"/>
          </w:tcPr>
          <w:p w:rsidR="00CF4CC6" w:rsidRDefault="00697C88">
            <w:pPr>
              <w:pStyle w:val="Jin0"/>
              <w:spacing w:after="0"/>
            </w:pPr>
            <w:r>
              <w:rPr>
                <w:rStyle w:val="Jin"/>
                <w:b/>
                <w:bCs/>
              </w:rPr>
              <w:t>Celková cena</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CF4CC6" w:rsidRDefault="00697C88">
            <w:pPr>
              <w:pStyle w:val="Jin0"/>
              <w:spacing w:after="0"/>
              <w:jc w:val="center"/>
            </w:pPr>
            <w:r>
              <w:rPr>
                <w:rStyle w:val="Jin"/>
                <w:b/>
                <w:bCs/>
              </w:rPr>
              <w:t>905.000, - Kč</w:t>
            </w:r>
          </w:p>
        </w:tc>
      </w:tr>
    </w:tbl>
    <w:p w:rsidR="00CF4CC6" w:rsidRDefault="00CF4CC6">
      <w:pPr>
        <w:spacing w:after="99" w:line="1" w:lineRule="exact"/>
      </w:pPr>
    </w:p>
    <w:p w:rsidR="00CF4CC6" w:rsidRDefault="00697C88">
      <w:pPr>
        <w:pStyle w:val="Zkladntext1"/>
        <w:ind w:left="360" w:firstLine="60"/>
        <w:jc w:val="both"/>
      </w:pPr>
      <w:r>
        <w:rPr>
          <w:rStyle w:val="Zkladntext"/>
        </w:rPr>
        <w:t xml:space="preserve">Celková cena za předmět díla je ve výši </w:t>
      </w:r>
      <w:r>
        <w:rPr>
          <w:rStyle w:val="Zkladntext"/>
          <w:b/>
          <w:bCs/>
        </w:rPr>
        <w:t xml:space="preserve">905.000, - Kč </w:t>
      </w:r>
      <w:r>
        <w:rPr>
          <w:rStyle w:val="Zkladntext"/>
        </w:rPr>
        <w:t>(slovy: devět set pět tisíc korun českých). Uvedená cena je pevná, nejvýše přípustná a nelze ji zvýšit ani v důsledku změny cen vstupů nebo jiných vnějších podmínek.</w:t>
      </w:r>
    </w:p>
    <w:p w:rsidR="00CF4CC6" w:rsidRDefault="00697C88">
      <w:pPr>
        <w:pStyle w:val="Zkladntext1"/>
        <w:numPr>
          <w:ilvl w:val="0"/>
          <w:numId w:val="4"/>
        </w:numPr>
        <w:tabs>
          <w:tab w:val="left" w:pos="398"/>
        </w:tabs>
        <w:ind w:left="360" w:hanging="360"/>
        <w:jc w:val="both"/>
      </w:pPr>
      <w:proofErr w:type="spellStart"/>
      <w:r>
        <w:rPr>
          <w:rStyle w:val="Zkladntext"/>
        </w:rPr>
        <w:t>Kvýše</w:t>
      </w:r>
      <w:proofErr w:type="spellEnd"/>
      <w:r>
        <w:rPr>
          <w:rStyle w:val="Zkladntext"/>
        </w:rPr>
        <w:t xml:space="preserve"> uvedeným cenám bude připočtena DPH dle zákona č. 235/2004 Sb. v platném znění.</w:t>
      </w:r>
    </w:p>
    <w:p w:rsidR="00CF4CC6" w:rsidRDefault="00697C88">
      <w:pPr>
        <w:pStyle w:val="Zkladntext1"/>
        <w:numPr>
          <w:ilvl w:val="0"/>
          <w:numId w:val="4"/>
        </w:numPr>
        <w:tabs>
          <w:tab w:val="left" w:pos="398"/>
        </w:tabs>
        <w:ind w:left="360" w:hanging="360"/>
        <w:jc w:val="both"/>
      </w:pPr>
      <w:r>
        <w:rPr>
          <w:rStyle w:val="Zkladntext"/>
        </w:rPr>
        <w:t>V cen</w:t>
      </w:r>
      <w:r>
        <w:rPr>
          <w:rStyle w:val="Zkladntext"/>
        </w:rPr>
        <w:t>ě za provedení díla jsou zahrnuty veškeré náklady zhotovitele, které při plnění svého závazku dle této smlouvy vynaloží (včetně dopravy atd.).</w:t>
      </w:r>
    </w:p>
    <w:p w:rsidR="00CF4CC6" w:rsidRDefault="00697C88">
      <w:pPr>
        <w:pStyle w:val="Zkladntext1"/>
        <w:numPr>
          <w:ilvl w:val="0"/>
          <w:numId w:val="4"/>
        </w:numPr>
        <w:tabs>
          <w:tab w:val="left" w:pos="398"/>
        </w:tabs>
        <w:ind w:left="360" w:hanging="360"/>
        <w:jc w:val="both"/>
      </w:pPr>
      <w:r>
        <w:rPr>
          <w:rStyle w:val="Zkladntext"/>
        </w:rPr>
        <w:t>Součástí sjednané ceny díla je veškeré plnění, které se zhotovitel na základě této smlouvy zavázal poskytnout obj</w:t>
      </w:r>
      <w:r>
        <w:rPr>
          <w:rStyle w:val="Zkladntext"/>
        </w:rPr>
        <w:t>ednateli. Cena díla tak zahrnuje zejména, nikoliv však pouze: - veškeré náklady zhotovitele související s prováděním díla; - případné a jiné poplatky, jež bude muset zhotovitel při provádění díla uhradit; - zpracování veškerých nezbytných průzkumů, posudků</w:t>
      </w:r>
      <w:r>
        <w:rPr>
          <w:rStyle w:val="Zkladntext"/>
        </w:rPr>
        <w:t xml:space="preserve">, měření a jiných odborných činností, které mohou být prováděny pouze autorizovanými či </w:t>
      </w:r>
      <w:proofErr w:type="spellStart"/>
      <w:r>
        <w:rPr>
          <w:rStyle w:val="Zkladntext"/>
        </w:rPr>
        <w:t>certifiko</w:t>
      </w:r>
      <w:proofErr w:type="spellEnd"/>
      <w:r>
        <w:rPr>
          <w:rStyle w:val="Zkladntext"/>
        </w:rPr>
        <w:t xml:space="preserve"> </w:t>
      </w:r>
      <w:proofErr w:type="spellStart"/>
      <w:r>
        <w:rPr>
          <w:rStyle w:val="Zkladntext"/>
        </w:rPr>
        <w:t>vánými</w:t>
      </w:r>
      <w:proofErr w:type="spellEnd"/>
      <w:r>
        <w:rPr>
          <w:rStyle w:val="Zkladntext"/>
        </w:rPr>
        <w:t xml:space="preserve"> osobami a jinými subjekty ve smyslu zvláštních právních předpisů vztahujících se na provádění díla dle této smlouvy; - vypracování případných dalších p</w:t>
      </w:r>
      <w:r>
        <w:rPr>
          <w:rStyle w:val="Zkladntext"/>
        </w:rPr>
        <w:t>rojektových dokumentací, povolení, rozhodnutí, souhlasů a stanovisek nezbytných pro povolení a zhotovení stavby; - zařízení záležitostí spočívajících v zastupování objednatele jako žadatele, resp. stavebníka při souvisejícím územním a stavebním řízení; - z</w:t>
      </w:r>
      <w:r>
        <w:rPr>
          <w:rStyle w:val="Zkladntext"/>
        </w:rPr>
        <w:t>ajištění součinnosti ze strany dotčených správních orgánů a jiných subjektů, bude-li to nezbytné pro provádění díla dle této smlouvy; - poskytnutí oprávnění objednateli k výkonu práva dílo užít (licence) smlouvy; a dále vykonání všech ostatních činností ta</w:t>
      </w:r>
      <w:r>
        <w:rPr>
          <w:rStyle w:val="Zkladntext"/>
        </w:rPr>
        <w:t>k, aby byl beze zbytku splněn předmět a účel této smlouvy. Součástí ceny díla jsou i služby a dodávky, které v této smlouvě sice výslovně uvedeny nejsou, ale zhotovitel jakožto odborník o nich vědět měl nebo mohl vědět.</w:t>
      </w:r>
    </w:p>
    <w:p w:rsidR="00CF4CC6" w:rsidRDefault="00697C88">
      <w:pPr>
        <w:pStyle w:val="Nadpis20"/>
        <w:keepNext/>
        <w:keepLines/>
        <w:numPr>
          <w:ilvl w:val="0"/>
          <w:numId w:val="1"/>
        </w:numPr>
        <w:tabs>
          <w:tab w:val="left" w:pos="353"/>
        </w:tabs>
      </w:pPr>
      <w:bookmarkStart w:id="4" w:name="bookmark6"/>
      <w:r>
        <w:rPr>
          <w:rStyle w:val="Nadpis2"/>
          <w:b/>
          <w:bCs/>
        </w:rPr>
        <w:t>Platební podmínky</w:t>
      </w:r>
      <w:bookmarkEnd w:id="4"/>
    </w:p>
    <w:p w:rsidR="00CF4CC6" w:rsidRDefault="00697C88">
      <w:pPr>
        <w:pStyle w:val="Zkladntext1"/>
        <w:numPr>
          <w:ilvl w:val="0"/>
          <w:numId w:val="5"/>
        </w:numPr>
        <w:tabs>
          <w:tab w:val="left" w:pos="913"/>
        </w:tabs>
        <w:ind w:left="920" w:hanging="380"/>
        <w:jc w:val="both"/>
      </w:pPr>
      <w:r>
        <w:rPr>
          <w:rStyle w:val="Zkladntext"/>
        </w:rPr>
        <w:t>Zhotovitel vystaví</w:t>
      </w:r>
      <w:r>
        <w:rPr>
          <w:rStyle w:val="Zkladntext"/>
        </w:rPr>
        <w:t xml:space="preserve"> do 15 dnů po řádném předání předmětu díla specifikovaném v článku II. této smlouvy bez vad objednateli doklad, který bude obsahovat náležitosti dle zákona č. 235/2004 Sb. v platném znění se splatností 14 dní ode dne doručení objednateli.</w:t>
      </w:r>
    </w:p>
    <w:p w:rsidR="00CF4CC6" w:rsidRDefault="00697C88">
      <w:pPr>
        <w:pStyle w:val="Zkladntext1"/>
        <w:numPr>
          <w:ilvl w:val="0"/>
          <w:numId w:val="5"/>
        </w:numPr>
        <w:tabs>
          <w:tab w:val="left" w:pos="913"/>
        </w:tabs>
        <w:ind w:left="920" w:hanging="380"/>
        <w:jc w:val="both"/>
      </w:pPr>
      <w:r>
        <w:rPr>
          <w:rStyle w:val="Zkladntext"/>
        </w:rPr>
        <w:t>V případě, že daň</w:t>
      </w:r>
      <w:r>
        <w:rPr>
          <w:rStyle w:val="Zkladntext"/>
        </w:rPr>
        <w:t>ový doklad nebude obsahovat některou se zákonem stanovených náležitostí, má právo objednatel vrátit daňový doklad zhotoviteli k doplnění či opravě. Nová lhůta splatnosti počíná ode dne opětného doručení daňového dokladu objednateli.</w:t>
      </w:r>
    </w:p>
    <w:p w:rsidR="00CF4CC6" w:rsidRDefault="00697C88">
      <w:pPr>
        <w:pStyle w:val="Zkladntext1"/>
        <w:numPr>
          <w:ilvl w:val="0"/>
          <w:numId w:val="5"/>
        </w:numPr>
        <w:tabs>
          <w:tab w:val="left" w:pos="913"/>
        </w:tabs>
        <w:spacing w:after="540"/>
        <w:ind w:left="920" w:hanging="380"/>
        <w:jc w:val="both"/>
      </w:pPr>
      <w:r>
        <w:rPr>
          <w:rStyle w:val="Zkladntext"/>
        </w:rPr>
        <w:t xml:space="preserve">Smluvní strany se </w:t>
      </w:r>
      <w:r>
        <w:rPr>
          <w:rStyle w:val="Zkladntext"/>
        </w:rPr>
        <w:t xml:space="preserve">dohodly, v případě, že se zhotovitel stane nespolehlivým plátcem (dle §106a </w:t>
      </w:r>
      <w:r>
        <w:rPr>
          <w:rStyle w:val="Zkladntext"/>
        </w:rPr>
        <w:lastRenderedPageBreak/>
        <w:t>zákona č. 235/2004 Sb. o DPH) nebo bude vyžadovat provedení platby na jiný účet než je zveřejněný účet zhotovitele (dle §98 zákona o DPH), provede objednatel platbu za plnění ve vý</w:t>
      </w:r>
      <w:r>
        <w:rPr>
          <w:rStyle w:val="Zkladntext"/>
        </w:rPr>
        <w:t>ši základu daně z přidané hodnoty na účet uvedený ve smlouvě a platbu daně z přidané hodnoty na účet finančního úřadu (dle § 109a zákona o DPH).</w:t>
      </w:r>
    </w:p>
    <w:p w:rsidR="00CF4CC6" w:rsidRDefault="00697C88">
      <w:pPr>
        <w:pStyle w:val="Nadpis20"/>
        <w:keepNext/>
        <w:keepLines/>
        <w:numPr>
          <w:ilvl w:val="0"/>
          <w:numId w:val="6"/>
        </w:numPr>
        <w:tabs>
          <w:tab w:val="left" w:pos="452"/>
        </w:tabs>
      </w:pPr>
      <w:bookmarkStart w:id="5" w:name="bookmark8"/>
      <w:r>
        <w:rPr>
          <w:rStyle w:val="Nadpis2"/>
          <w:b/>
          <w:bCs/>
        </w:rPr>
        <w:t>Povinnosti smluvních stran</w:t>
      </w:r>
      <w:bookmarkEnd w:id="5"/>
    </w:p>
    <w:p w:rsidR="00CF4CC6" w:rsidRDefault="00697C88">
      <w:pPr>
        <w:pStyle w:val="Zkladntext1"/>
        <w:numPr>
          <w:ilvl w:val="0"/>
          <w:numId w:val="7"/>
        </w:numPr>
        <w:tabs>
          <w:tab w:val="left" w:pos="913"/>
        </w:tabs>
        <w:ind w:left="920" w:hanging="380"/>
        <w:jc w:val="both"/>
      </w:pPr>
      <w:r>
        <w:rPr>
          <w:rStyle w:val="Zkladntext"/>
        </w:rPr>
        <w:t xml:space="preserve">Zhotovitel se zavazuje provést pro objednatele dílo specifikované v článku II. této </w:t>
      </w:r>
      <w:r>
        <w:rPr>
          <w:rStyle w:val="Zkladntext"/>
        </w:rPr>
        <w:t>smlouvy za podmínek v této smlouvě dále uvedených, a to na svůj náklad a na své nebezpečí.</w:t>
      </w:r>
    </w:p>
    <w:p w:rsidR="00CF4CC6" w:rsidRDefault="00697C88">
      <w:pPr>
        <w:pStyle w:val="Zkladntext1"/>
        <w:numPr>
          <w:ilvl w:val="0"/>
          <w:numId w:val="7"/>
        </w:numPr>
        <w:tabs>
          <w:tab w:val="left" w:pos="913"/>
        </w:tabs>
        <w:ind w:left="920" w:hanging="380"/>
        <w:jc w:val="both"/>
      </w:pPr>
      <w:r>
        <w:rPr>
          <w:rStyle w:val="Zkladntext"/>
        </w:rPr>
        <w:t>Zhotovitel je povinen provést dílo v patřičné kvalitě a v termínu sjednaném touto smlouvou a jejích případných dodatcích. Požadovaná výborná kvalita je vymezena obec</w:t>
      </w:r>
      <w:r>
        <w:rPr>
          <w:rStyle w:val="Zkladntext"/>
        </w:rPr>
        <w:t>ně platnými právními předpisy České republiky a příslušnými normami. Pokud porušením těchto předpisů vznikne objednateli, neseji pouze zhotovitel.</w:t>
      </w:r>
    </w:p>
    <w:p w:rsidR="00CF4CC6" w:rsidRDefault="00697C88">
      <w:pPr>
        <w:pStyle w:val="Zkladntext1"/>
        <w:numPr>
          <w:ilvl w:val="0"/>
          <w:numId w:val="7"/>
        </w:numPr>
        <w:tabs>
          <w:tab w:val="left" w:pos="913"/>
        </w:tabs>
        <w:ind w:left="920" w:hanging="380"/>
        <w:jc w:val="both"/>
      </w:pPr>
      <w:r>
        <w:rPr>
          <w:rStyle w:val="Zkladntext"/>
        </w:rPr>
        <w:t>Zhotovitel na základě splnění podmínek této smlouvy poskytuje objednateli právo na neomezené užívání díla věc</w:t>
      </w:r>
      <w:r>
        <w:rPr>
          <w:rStyle w:val="Zkladntext"/>
        </w:rPr>
        <w:t>ně i časově.</w:t>
      </w:r>
    </w:p>
    <w:p w:rsidR="00CF4CC6" w:rsidRDefault="00697C88">
      <w:pPr>
        <w:pStyle w:val="Zkladntext1"/>
        <w:numPr>
          <w:ilvl w:val="0"/>
          <w:numId w:val="7"/>
        </w:numPr>
        <w:tabs>
          <w:tab w:val="left" w:pos="913"/>
        </w:tabs>
        <w:ind w:left="920" w:hanging="380"/>
        <w:jc w:val="both"/>
      </w:pPr>
      <w:r>
        <w:rPr>
          <w:rStyle w:val="Zkladntext"/>
        </w:rPr>
        <w:t>Zhotovitel podpisem této smlouvy prohlašuje, zavazuje se zajistit a zaručuje se objednateli, že dílo bude dílem původním a nezávislým na jiných právech duševního vlastnictví, že zhotovitel bude oprávněn s dílem nakládat a že nebude v nakládání</w:t>
      </w:r>
      <w:r>
        <w:rPr>
          <w:rStyle w:val="Zkladntext"/>
        </w:rPr>
        <w:t xml:space="preserve"> s dílem právně ani fakticky omezen. Zhotovitel dále prohlašuje, zavazuje se zajistit a zaručuje se objednateli, že dílo bude bez vad a že jeho užitím nebude porušeno žádné právo třetí osoby ani právní předpis, zejména pak práva průmyslová, autorská nebo o</w:t>
      </w:r>
      <w:r>
        <w:rPr>
          <w:rStyle w:val="Zkladntext"/>
        </w:rPr>
        <w:t>sobnostní.</w:t>
      </w:r>
    </w:p>
    <w:p w:rsidR="00CF4CC6" w:rsidRDefault="00697C88">
      <w:pPr>
        <w:pStyle w:val="Zkladntext1"/>
        <w:ind w:left="920" w:firstLine="40"/>
        <w:jc w:val="both"/>
      </w:pPr>
      <w:r>
        <w:rPr>
          <w:rStyle w:val="Zkladntext"/>
        </w:rPr>
        <w:t>Dle výslovné dohody smluvních stran poskytuje zhotovitel objednateli výhradní oprávnění k výkonu práva užít dílo vzniklé dle této smlouvy anebo v souvislosti s touto smlouvou (licence), všemi známými způsoby užití díla,</w:t>
      </w:r>
    </w:p>
    <w:p w:rsidR="00CF4CC6" w:rsidRDefault="00697C88">
      <w:pPr>
        <w:pStyle w:val="Zkladntext1"/>
        <w:numPr>
          <w:ilvl w:val="0"/>
          <w:numId w:val="7"/>
        </w:numPr>
        <w:tabs>
          <w:tab w:val="left" w:pos="913"/>
        </w:tabs>
        <w:spacing w:after="0"/>
        <w:ind w:left="440" w:firstLine="20"/>
        <w:jc w:val="both"/>
      </w:pPr>
      <w:r>
        <w:rPr>
          <w:rStyle w:val="Zkladntext"/>
        </w:rPr>
        <w:t>Licence je poskytována be</w:t>
      </w:r>
      <w:r>
        <w:rPr>
          <w:rStyle w:val="Zkladntext"/>
        </w:rPr>
        <w:t xml:space="preserve">z množstevního a územního omezení na dobu trvání majetkových práv k dílu. Smluvní strany se dohodly, že pro účely této smlouvy vylučují aplikaci </w:t>
      </w:r>
      <w:proofErr w:type="spellStart"/>
      <w:r>
        <w:rPr>
          <w:rStyle w:val="Zkladntext"/>
        </w:rPr>
        <w:t>ust</w:t>
      </w:r>
      <w:proofErr w:type="spellEnd"/>
      <w:r>
        <w:rPr>
          <w:rStyle w:val="Zkladntext"/>
        </w:rPr>
        <w:t>. § 2000 občanského zákoníku. Objednatel není povinen licenci dle této smlouvy využít. Objednatel nabývá lic</w:t>
      </w:r>
      <w:r>
        <w:rPr>
          <w:rStyle w:val="Zkladntext"/>
        </w:rPr>
        <w:t>enci dle této smlouvy okamžikem vzniku a předání díla zhotovitelem objednateli.</w:t>
      </w:r>
    </w:p>
    <w:p w:rsidR="00CF4CC6" w:rsidRDefault="00697C88">
      <w:pPr>
        <w:pStyle w:val="Zkladntext1"/>
        <w:numPr>
          <w:ilvl w:val="0"/>
          <w:numId w:val="7"/>
        </w:numPr>
        <w:tabs>
          <w:tab w:val="left" w:pos="913"/>
        </w:tabs>
        <w:spacing w:after="0"/>
        <w:ind w:left="440" w:firstLine="20"/>
        <w:jc w:val="both"/>
      </w:pPr>
      <w:proofErr w:type="spellStart"/>
      <w:r>
        <w:rPr>
          <w:rStyle w:val="Zkladntext"/>
        </w:rPr>
        <w:t>Obj</w:t>
      </w:r>
      <w:proofErr w:type="spellEnd"/>
      <w:r>
        <w:rPr>
          <w:rStyle w:val="Zkladntext"/>
        </w:rPr>
        <w:t xml:space="preserve"> </w:t>
      </w:r>
      <w:proofErr w:type="spellStart"/>
      <w:r>
        <w:rPr>
          <w:rStyle w:val="Zkladntext"/>
        </w:rPr>
        <w:t>ednatel</w:t>
      </w:r>
      <w:proofErr w:type="spellEnd"/>
      <w:r>
        <w:rPr>
          <w:rStyle w:val="Zkladntext"/>
        </w:rPr>
        <w:t xml:space="preserve"> j e oprávněn poskytnout práva získaná touto smlouvou (udělovat podlicence) zcela nebo zčásti třetím osobám, a to i opakovaně. Objednatel je rovněž oprávněn pronajmo</w:t>
      </w:r>
      <w:r>
        <w:rPr>
          <w:rStyle w:val="Zkladntext"/>
        </w:rPr>
        <w:t>ut, půjčit nebo jiným způsobem umožnit třetí osobě užívání díla. Oprávnění výkonu práv dle tohoto odstavce smlouvy platí pro třetí osoby ve stejném rozsahu jako pro objednatele.</w:t>
      </w:r>
    </w:p>
    <w:p w:rsidR="00CF4CC6" w:rsidRDefault="00697C88">
      <w:pPr>
        <w:pStyle w:val="Zkladntext1"/>
        <w:numPr>
          <w:ilvl w:val="0"/>
          <w:numId w:val="7"/>
        </w:numPr>
        <w:tabs>
          <w:tab w:val="left" w:pos="913"/>
        </w:tabs>
        <w:ind w:left="440" w:firstLine="20"/>
        <w:jc w:val="both"/>
      </w:pPr>
      <w:r>
        <w:rPr>
          <w:rStyle w:val="Zkladntext"/>
        </w:rPr>
        <w:t>Zhotovitel není oprávněn bez písemného souhlasu objednatele dílo jakkoli užíva</w:t>
      </w:r>
      <w:r>
        <w:rPr>
          <w:rStyle w:val="Zkladntext"/>
        </w:rPr>
        <w:t>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w:t>
      </w:r>
      <w:r>
        <w:rPr>
          <w:rStyle w:val="Zkladntext"/>
        </w:rPr>
        <w:t>í a souhlasí s tím, že uvedení jména zhotovitele u díla je závislé na rozhodnutí objednatele.</w:t>
      </w:r>
    </w:p>
    <w:p w:rsidR="00CF4CC6" w:rsidRDefault="00697C88">
      <w:pPr>
        <w:pStyle w:val="Zkladntext1"/>
        <w:numPr>
          <w:ilvl w:val="0"/>
          <w:numId w:val="7"/>
        </w:numPr>
        <w:tabs>
          <w:tab w:val="left" w:pos="933"/>
        </w:tabs>
        <w:spacing w:after="500"/>
        <w:ind w:left="500" w:firstLine="40"/>
        <w:jc w:val="both"/>
      </w:pPr>
      <w:r>
        <w:rPr>
          <w:rStyle w:val="Zkladntext"/>
        </w:rPr>
        <w:t>Licence je poskytována jako úplatná, kdy úplata za licenci je dle výslovné dohody Smluvních stran zahrnuta již ve sjednané ceně díla dle čl. 4 této smlouvy a její</w:t>
      </w:r>
      <w:r>
        <w:rPr>
          <w:rStyle w:val="Zkladntext"/>
        </w:rPr>
        <w:t>m zaplacením objednatelem zhotoviteli bude mezi smluvními stranami zcela vypořádána. Zhotovitel prohlašuje a činí nesporným, že úplatu za licenci dle této smlouvy považuje vzhledem k předpokládanému rozsahu a způsobu užití díla za zcela přiměřenou. Smluvní</w:t>
      </w:r>
      <w:r>
        <w:rPr>
          <w:rStyle w:val="Zkladntext"/>
        </w:rPr>
        <w:t xml:space="preserve"> strany tak výslovně sjednávají, že úplata za licenci je maximální a konečná, přičemž na její výši nebude mít vliv, zejména jakým způsobem bude licence k užití výsledku užívána, jaké výnosy budou z užití licence plynout, jaký význam bude mít dílo pro dosaž</w:t>
      </w:r>
      <w:r>
        <w:rPr>
          <w:rStyle w:val="Zkladntext"/>
        </w:rPr>
        <w:t>ení zisku z užití licence či jaká je obvyklá výše odměny ve srovnatelných případech.</w:t>
      </w:r>
    </w:p>
    <w:p w:rsidR="00CF4CC6" w:rsidRDefault="00697C88">
      <w:pPr>
        <w:pStyle w:val="Zkladntext1"/>
        <w:numPr>
          <w:ilvl w:val="0"/>
          <w:numId w:val="7"/>
        </w:numPr>
        <w:tabs>
          <w:tab w:val="left" w:pos="863"/>
        </w:tabs>
        <w:ind w:firstLine="500"/>
        <w:jc w:val="both"/>
      </w:pPr>
      <w:r>
        <w:rPr>
          <w:rStyle w:val="Zkladntext"/>
        </w:rPr>
        <w:lastRenderedPageBreak/>
        <w:t>Objednatel poskytne zhotoviteli veškerou součinnost potřebnou k provedení předmětu díla.</w:t>
      </w:r>
    </w:p>
    <w:p w:rsidR="00CF4CC6" w:rsidRDefault="00697C88">
      <w:pPr>
        <w:pStyle w:val="Zkladntext1"/>
        <w:numPr>
          <w:ilvl w:val="0"/>
          <w:numId w:val="7"/>
        </w:numPr>
        <w:tabs>
          <w:tab w:val="left" w:pos="963"/>
        </w:tabs>
        <w:spacing w:after="380"/>
        <w:ind w:left="960" w:hanging="420"/>
        <w:jc w:val="both"/>
      </w:pPr>
      <w:r>
        <w:rPr>
          <w:rStyle w:val="Zkladntext"/>
        </w:rPr>
        <w:t xml:space="preserve">Objednatel se zavazuje řádně a včas provedené dílo převzít a zaplatit zhotoviteli </w:t>
      </w:r>
      <w:r>
        <w:rPr>
          <w:rStyle w:val="Zkladntext"/>
        </w:rPr>
        <w:t>cenu uvedenou v článku IV. této smlouvy.</w:t>
      </w:r>
    </w:p>
    <w:p w:rsidR="00CF4CC6" w:rsidRDefault="00697C88">
      <w:pPr>
        <w:pStyle w:val="Nadpis20"/>
        <w:keepNext/>
        <w:keepLines/>
        <w:numPr>
          <w:ilvl w:val="0"/>
          <w:numId w:val="6"/>
        </w:numPr>
        <w:tabs>
          <w:tab w:val="left" w:pos="543"/>
        </w:tabs>
      </w:pPr>
      <w:bookmarkStart w:id="6" w:name="bookmark10"/>
      <w:r>
        <w:rPr>
          <w:rStyle w:val="Nadpis2"/>
          <w:b/>
          <w:bCs/>
        </w:rPr>
        <w:t>Předání a převzetí díla</w:t>
      </w:r>
      <w:bookmarkEnd w:id="6"/>
    </w:p>
    <w:p w:rsidR="00CF4CC6" w:rsidRDefault="00697C88">
      <w:pPr>
        <w:pStyle w:val="Zkladntext1"/>
        <w:numPr>
          <w:ilvl w:val="0"/>
          <w:numId w:val="8"/>
        </w:numPr>
        <w:tabs>
          <w:tab w:val="left" w:pos="933"/>
        </w:tabs>
        <w:ind w:left="960" w:hanging="420"/>
        <w:jc w:val="both"/>
      </w:pPr>
      <w:r>
        <w:rPr>
          <w:rStyle w:val="Zkladntext"/>
        </w:rPr>
        <w:t>Zhotovitel je povinen oznámit nejméně 3 dny předem objednateli datum a hodinu, kdy dílo předá a za účasti obou smluvních stran bude provedena prohlídka předávaného díla.</w:t>
      </w:r>
    </w:p>
    <w:p w:rsidR="00CF4CC6" w:rsidRDefault="00697C88">
      <w:pPr>
        <w:pStyle w:val="Zkladntext1"/>
        <w:numPr>
          <w:ilvl w:val="0"/>
          <w:numId w:val="8"/>
        </w:numPr>
        <w:tabs>
          <w:tab w:val="left" w:pos="933"/>
        </w:tabs>
        <w:ind w:left="960" w:hanging="420"/>
        <w:jc w:val="both"/>
      </w:pPr>
      <w:r>
        <w:rPr>
          <w:rStyle w:val="Zkladntext"/>
        </w:rPr>
        <w:t>Dílo je provedeno, je</w:t>
      </w:r>
      <w:r>
        <w:rPr>
          <w:rStyle w:val="Zkladntext"/>
        </w:rPr>
        <w:t>-li předvedena jeho způsobilost sloužit svému účelu a je předáno. O předání díla bude sepsán „Protokol o předání a převzetí díla“.</w:t>
      </w:r>
    </w:p>
    <w:p w:rsidR="00CF4CC6" w:rsidRDefault="00697C88">
      <w:pPr>
        <w:pStyle w:val="Zkladntext1"/>
        <w:numPr>
          <w:ilvl w:val="0"/>
          <w:numId w:val="8"/>
        </w:numPr>
        <w:tabs>
          <w:tab w:val="left" w:pos="863"/>
        </w:tabs>
        <w:spacing w:after="440"/>
        <w:ind w:firstLine="500"/>
        <w:jc w:val="both"/>
      </w:pPr>
      <w:r>
        <w:rPr>
          <w:rStyle w:val="Zkladntext"/>
        </w:rPr>
        <w:t>Za objednatele dílo převezme osoba oprávněná jednat.</w:t>
      </w:r>
    </w:p>
    <w:p w:rsidR="00CF4CC6" w:rsidRDefault="00697C88">
      <w:pPr>
        <w:pStyle w:val="Jin0"/>
        <w:numPr>
          <w:ilvl w:val="0"/>
          <w:numId w:val="8"/>
        </w:numPr>
        <w:tabs>
          <w:tab w:val="left" w:pos="1363"/>
        </w:tabs>
        <w:spacing w:after="220" w:line="310" w:lineRule="auto"/>
        <w:ind w:left="1240" w:hanging="360"/>
        <w:jc w:val="both"/>
        <w:rPr>
          <w:sz w:val="22"/>
          <w:szCs w:val="22"/>
        </w:rPr>
      </w:pPr>
      <w:r>
        <w:rPr>
          <w:rStyle w:val="Jin"/>
          <w:rFonts w:ascii="Tahoma" w:eastAsia="Tahoma" w:hAnsi="Tahoma" w:cs="Tahoma"/>
          <w:b/>
          <w:bCs/>
          <w:sz w:val="22"/>
          <w:szCs w:val="22"/>
        </w:rPr>
        <w:t>Objednatel nabývá vlastnické právo k dílu jeho protokolárním převzetím.</w:t>
      </w:r>
    </w:p>
    <w:p w:rsidR="00CF4CC6" w:rsidRDefault="00697C88">
      <w:pPr>
        <w:pStyle w:val="Nadpis20"/>
        <w:keepNext/>
        <w:keepLines/>
        <w:numPr>
          <w:ilvl w:val="0"/>
          <w:numId w:val="6"/>
        </w:numPr>
        <w:tabs>
          <w:tab w:val="left" w:pos="639"/>
        </w:tabs>
      </w:pPr>
      <w:bookmarkStart w:id="7" w:name="bookmark12"/>
      <w:r>
        <w:rPr>
          <w:rStyle w:val="Nadpis2"/>
          <w:b/>
          <w:bCs/>
        </w:rPr>
        <w:t>Odpovědnost zhotovitele za vady díla, záruka za jakost</w:t>
      </w:r>
      <w:bookmarkEnd w:id="7"/>
    </w:p>
    <w:p w:rsidR="00CF4CC6" w:rsidRDefault="00697C88">
      <w:pPr>
        <w:pStyle w:val="Zkladntext1"/>
        <w:spacing w:after="260"/>
        <w:ind w:left="500" w:firstLine="40"/>
      </w:pPr>
      <w:r>
        <w:rPr>
          <w:rStyle w:val="Zkladntext"/>
          <w:b/>
          <w:bCs/>
        </w:rPr>
        <w:t xml:space="preserve">l)Zhotovitel odpovídá </w:t>
      </w:r>
      <w:r>
        <w:rPr>
          <w:rStyle w:val="Zkladntext"/>
        </w:rPr>
        <w:t xml:space="preserve">za to, že předmět díla má v době jeho předání objednateli a po dobu běhu záruční doby bude mít, vlastnosti stanovené obecně závaznými předpisy, závaznými ustanoveními technických norem ČN, EN, popřípadě vlastnosti obvyklé. Dále odpovídá za to, že </w:t>
      </w:r>
      <w:r>
        <w:rPr>
          <w:rStyle w:val="Zkladntext"/>
          <w:b/>
          <w:bCs/>
        </w:rPr>
        <w:t>dílo nemá</w:t>
      </w:r>
      <w:r>
        <w:rPr>
          <w:rStyle w:val="Zkladntext"/>
          <w:b/>
          <w:bCs/>
        </w:rPr>
        <w:t xml:space="preserve"> právní vady, je kompletní a odpovídá požadavkům sjednaným ve smlouvě.</w:t>
      </w:r>
    </w:p>
    <w:p w:rsidR="00CF4CC6" w:rsidRDefault="00697C88">
      <w:pPr>
        <w:pStyle w:val="Zkladntext1"/>
        <w:spacing w:after="260"/>
        <w:ind w:left="500" w:hanging="20"/>
        <w:jc w:val="both"/>
      </w:pPr>
      <w:r>
        <w:rPr>
          <w:rStyle w:val="Zkladntext"/>
        </w:rPr>
        <w:t>Zhotovitel poskytne na dílo záruku, která začíná běžet dnem protokolárního předání a převzetí díla.</w:t>
      </w:r>
    </w:p>
    <w:p w:rsidR="00CF4CC6" w:rsidRDefault="00697C88">
      <w:pPr>
        <w:pStyle w:val="Nadpis20"/>
        <w:keepNext/>
        <w:keepLines/>
        <w:spacing w:after="500"/>
        <w:ind w:left="500" w:hanging="20"/>
        <w:jc w:val="both"/>
      </w:pPr>
      <w:bookmarkStart w:id="8" w:name="bookmark14"/>
      <w:r>
        <w:rPr>
          <w:rStyle w:val="Nadpis2"/>
          <w:b/>
          <w:bCs/>
        </w:rPr>
        <w:t>Záruční doba na dílo je 60 měsíců od převzetí díla.</w:t>
      </w:r>
      <w:bookmarkEnd w:id="8"/>
    </w:p>
    <w:p w:rsidR="00CF4CC6" w:rsidRDefault="00697C88">
      <w:pPr>
        <w:pStyle w:val="Zkladntext1"/>
        <w:ind w:left="440" w:firstLine="40"/>
        <w:jc w:val="both"/>
      </w:pPr>
      <w:r>
        <w:rPr>
          <w:rStyle w:val="Zkladntext"/>
        </w:rPr>
        <w:t xml:space="preserve">Objednatel uplatní své nároky </w:t>
      </w:r>
      <w:r>
        <w:rPr>
          <w:rStyle w:val="Zkladntext"/>
        </w:rPr>
        <w:t>vyplývající z odpovědnosti zhotovitele za vady písemným oznámením vad, učiněným bez zbytečného odkladu po jejich zjištění. Zhotovitel je povinen se k reklamaci vyjádřit písemně do 5 pracovních dnů od jejího obdržení a do dalších 5 pracovních dnů vady odstr</w:t>
      </w:r>
      <w:r>
        <w:rPr>
          <w:rStyle w:val="Zkladntext"/>
        </w:rPr>
        <w:t>anit.</w:t>
      </w:r>
    </w:p>
    <w:p w:rsidR="00CF4CC6" w:rsidRDefault="00697C88">
      <w:pPr>
        <w:pStyle w:val="Zkladntext1"/>
        <w:spacing w:after="240"/>
        <w:ind w:left="440" w:firstLine="40"/>
        <w:jc w:val="both"/>
      </w:pPr>
      <w:r>
        <w:rPr>
          <w:rStyle w:val="Zkladntext"/>
        </w:rPr>
        <w:t>Zhotovitel neodpovídá za vady díla, které vzniknou použitím nepravdivých nebo zkreslených informací a dalších podkladů poskytnutých objednatelem a zhotovitel nemohl ani při vynaložení veškeré péče zjistit jejich nevhodnost nebo na ně upozornil objedn</w:t>
      </w:r>
      <w:r>
        <w:rPr>
          <w:rStyle w:val="Zkladntext"/>
        </w:rPr>
        <w:t>atele, ale ten na jejich použití trval.</w:t>
      </w:r>
    </w:p>
    <w:p w:rsidR="00CF4CC6" w:rsidRDefault="00697C88">
      <w:pPr>
        <w:pStyle w:val="Nadpis20"/>
        <w:keepNext/>
        <w:keepLines/>
        <w:numPr>
          <w:ilvl w:val="0"/>
          <w:numId w:val="6"/>
        </w:numPr>
        <w:tabs>
          <w:tab w:val="left" w:pos="451"/>
        </w:tabs>
      </w:pPr>
      <w:bookmarkStart w:id="9" w:name="bookmark16"/>
      <w:r>
        <w:rPr>
          <w:rStyle w:val="Nadpis2"/>
          <w:b/>
          <w:bCs/>
        </w:rPr>
        <w:t>Smluvní pokuty</w:t>
      </w:r>
      <w:bookmarkEnd w:id="9"/>
    </w:p>
    <w:p w:rsidR="00CF4CC6" w:rsidRDefault="00697C88">
      <w:pPr>
        <w:pStyle w:val="Zkladntext1"/>
        <w:numPr>
          <w:ilvl w:val="0"/>
          <w:numId w:val="9"/>
        </w:numPr>
        <w:tabs>
          <w:tab w:val="left" w:pos="922"/>
        </w:tabs>
        <w:ind w:left="880" w:hanging="340"/>
        <w:jc w:val="both"/>
      </w:pPr>
      <w:r>
        <w:rPr>
          <w:rStyle w:val="Zkladntext"/>
        </w:rPr>
        <w:t>V případě nedodržení termínu předání viz článek III., může být zhotoviteli účtována smluvní pokuta ve výši 0,1 % z části ceny díla za každý den prodlení.</w:t>
      </w:r>
    </w:p>
    <w:p w:rsidR="00CF4CC6" w:rsidRDefault="00697C88">
      <w:pPr>
        <w:pStyle w:val="Zkladntext1"/>
        <w:numPr>
          <w:ilvl w:val="0"/>
          <w:numId w:val="9"/>
        </w:numPr>
        <w:tabs>
          <w:tab w:val="left" w:pos="922"/>
        </w:tabs>
        <w:ind w:left="880" w:hanging="340"/>
        <w:jc w:val="both"/>
      </w:pPr>
      <w:r>
        <w:rPr>
          <w:rStyle w:val="Zkladntext"/>
        </w:rPr>
        <w:t>V případě, že daňový doklad nebude uhrazen v do</w:t>
      </w:r>
      <w:r>
        <w:rPr>
          <w:rStyle w:val="Zkladntext"/>
        </w:rPr>
        <w:t>bě splatnosti, může být objednateli účtován zákonný úrok z prodlení.</w:t>
      </w:r>
    </w:p>
    <w:p w:rsidR="00CF4CC6" w:rsidRDefault="00697C88">
      <w:pPr>
        <w:pStyle w:val="Zkladntext1"/>
        <w:numPr>
          <w:ilvl w:val="0"/>
          <w:numId w:val="9"/>
        </w:numPr>
        <w:tabs>
          <w:tab w:val="left" w:pos="922"/>
        </w:tabs>
        <w:spacing w:after="540"/>
        <w:ind w:left="880" w:hanging="340"/>
        <w:jc w:val="both"/>
      </w:pPr>
      <w:r>
        <w:rPr>
          <w:rStyle w:val="Zkladntext"/>
        </w:rPr>
        <w:t>Ujednáním nebo zaplacením smluvní pokuty není dotčeno právo na náhradu škody, která vznikla smluvní straně požadující smluvní pokutu v příčinné souvislosti s porušením smlouvy.</w:t>
      </w:r>
    </w:p>
    <w:p w:rsidR="00CF4CC6" w:rsidRDefault="00697C88">
      <w:pPr>
        <w:pStyle w:val="Nadpis20"/>
        <w:keepNext/>
        <w:keepLines/>
        <w:numPr>
          <w:ilvl w:val="0"/>
          <w:numId w:val="6"/>
        </w:numPr>
        <w:tabs>
          <w:tab w:val="left" w:pos="394"/>
        </w:tabs>
      </w:pPr>
      <w:bookmarkStart w:id="10" w:name="bookmark18"/>
      <w:r>
        <w:rPr>
          <w:rStyle w:val="Nadpis2"/>
          <w:b/>
          <w:bCs/>
        </w:rPr>
        <w:t>Ukončení s</w:t>
      </w:r>
      <w:r>
        <w:rPr>
          <w:rStyle w:val="Nadpis2"/>
          <w:b/>
          <w:bCs/>
        </w:rPr>
        <w:t>mlouvy</w:t>
      </w:r>
      <w:bookmarkEnd w:id="10"/>
    </w:p>
    <w:p w:rsidR="00CF4CC6" w:rsidRDefault="00697C88">
      <w:pPr>
        <w:pStyle w:val="Zkladntext1"/>
        <w:numPr>
          <w:ilvl w:val="0"/>
          <w:numId w:val="10"/>
        </w:numPr>
        <w:tabs>
          <w:tab w:val="left" w:pos="922"/>
        </w:tabs>
        <w:ind w:left="880" w:hanging="340"/>
        <w:jc w:val="both"/>
      </w:pPr>
      <w:r>
        <w:rPr>
          <w:rStyle w:val="Zkladntext"/>
        </w:rPr>
        <w:t>Tento smluvní vztah může být vedle zákonem stanovených důvodů ukončen taktéž odstoupením jedné nebo druhé strany v případě, že dojde k podstatnému porušení smlouvy.</w:t>
      </w:r>
    </w:p>
    <w:p w:rsidR="00CF4CC6" w:rsidRDefault="00697C88">
      <w:pPr>
        <w:pStyle w:val="Zkladntext1"/>
        <w:numPr>
          <w:ilvl w:val="0"/>
          <w:numId w:val="10"/>
        </w:numPr>
        <w:tabs>
          <w:tab w:val="left" w:pos="922"/>
        </w:tabs>
        <w:ind w:left="880" w:hanging="340"/>
        <w:jc w:val="both"/>
      </w:pPr>
      <w:r>
        <w:rPr>
          <w:rStyle w:val="Zkladntext"/>
        </w:rPr>
        <w:t>Za podstatné porušení smluvní strany považují zejména prodlení zhotovitele s předání</w:t>
      </w:r>
      <w:r>
        <w:rPr>
          <w:rStyle w:val="Zkladntext"/>
        </w:rPr>
        <w:t xml:space="preserve">m díla o </w:t>
      </w:r>
      <w:r>
        <w:rPr>
          <w:rStyle w:val="Zkladntext"/>
        </w:rPr>
        <w:lastRenderedPageBreak/>
        <w:t>více než 30 dní. Podstatným porušením je také to, když zhotovitel porušuje povinnosti vyplývající pro něj ze smlouvy, nebo obecně závazných předpisů a zhotovitel v přiměřené, objednatelem stanovené, lhůtě vytknuté nedostatky neodstraní.</w:t>
      </w:r>
    </w:p>
    <w:p w:rsidR="00CF4CC6" w:rsidRDefault="00697C88">
      <w:pPr>
        <w:pStyle w:val="Zkladntext1"/>
        <w:numPr>
          <w:ilvl w:val="0"/>
          <w:numId w:val="10"/>
        </w:numPr>
        <w:tabs>
          <w:tab w:val="left" w:pos="922"/>
        </w:tabs>
        <w:ind w:left="880" w:hanging="340"/>
        <w:jc w:val="both"/>
      </w:pPr>
      <w:r>
        <w:rPr>
          <w:rStyle w:val="Zkladntext"/>
        </w:rPr>
        <w:t>Odstoupení</w:t>
      </w:r>
      <w:r>
        <w:rPr>
          <w:rStyle w:val="Zkladntext"/>
        </w:rPr>
        <w:t xml:space="preserve"> od smlouvy musí být učiněno písemně a musí být doručeno druhé smluvní straně doporučeným dopisem. Dnem doručení odstoupení se smlouva ruší. V případě, že si druhá strana nevyzvedne doporučenou zásilku u příslušného držitele poštovní licence, považuje se d</w:t>
      </w:r>
      <w:r>
        <w:rPr>
          <w:rStyle w:val="Zkladntext"/>
        </w:rPr>
        <w:t>en, kdy byla zásilka vrácena, za den doručení.</w:t>
      </w:r>
    </w:p>
    <w:p w:rsidR="00CF4CC6" w:rsidRDefault="00697C88">
      <w:pPr>
        <w:pStyle w:val="Zkladntext1"/>
        <w:numPr>
          <w:ilvl w:val="0"/>
          <w:numId w:val="10"/>
        </w:numPr>
        <w:tabs>
          <w:tab w:val="left" w:pos="922"/>
        </w:tabs>
        <w:spacing w:after="540"/>
        <w:ind w:left="880" w:hanging="340"/>
        <w:jc w:val="both"/>
      </w:pPr>
      <w:r>
        <w:rPr>
          <w:rStyle w:val="Zkladntext"/>
        </w:rPr>
        <w:t>Odstoupením od smlouvy není dotčeno právo na zaplacení smluvní pokuty a na náhradu škody.</w:t>
      </w:r>
    </w:p>
    <w:p w:rsidR="00CF4CC6" w:rsidRDefault="00697C88">
      <w:pPr>
        <w:pStyle w:val="Nadpis20"/>
        <w:keepNext/>
        <w:keepLines/>
        <w:numPr>
          <w:ilvl w:val="0"/>
          <w:numId w:val="6"/>
        </w:numPr>
        <w:tabs>
          <w:tab w:val="left" w:pos="456"/>
        </w:tabs>
      </w:pPr>
      <w:bookmarkStart w:id="11" w:name="bookmark20"/>
      <w:r>
        <w:rPr>
          <w:rStyle w:val="Nadpis2"/>
          <w:b/>
          <w:bCs/>
        </w:rPr>
        <w:t>Závěrečná ujednání</w:t>
      </w:r>
      <w:bookmarkEnd w:id="11"/>
    </w:p>
    <w:p w:rsidR="00CF4CC6" w:rsidRDefault="00697C88">
      <w:pPr>
        <w:pStyle w:val="Zkladntext1"/>
        <w:numPr>
          <w:ilvl w:val="0"/>
          <w:numId w:val="11"/>
        </w:numPr>
        <w:tabs>
          <w:tab w:val="left" w:pos="922"/>
        </w:tabs>
        <w:ind w:left="880" w:hanging="340"/>
        <w:jc w:val="both"/>
      </w:pPr>
      <w:r>
        <w:rPr>
          <w:rStyle w:val="Zkladntext"/>
        </w:rPr>
        <w:t xml:space="preserve">Smlouva nabývá platnosti dnem podpisu oběma smluvními stranami a účinnosti dnem zveřejnění v </w:t>
      </w:r>
      <w:r>
        <w:rPr>
          <w:rStyle w:val="Zkladntext"/>
        </w:rPr>
        <w:t>registru smluv dle zákona č. 340/2015 Sb., o registru smluv.</w:t>
      </w:r>
    </w:p>
    <w:p w:rsidR="00CF4CC6" w:rsidRDefault="00697C88">
      <w:pPr>
        <w:pStyle w:val="Zkladntext1"/>
        <w:numPr>
          <w:ilvl w:val="0"/>
          <w:numId w:val="11"/>
        </w:numPr>
        <w:tabs>
          <w:tab w:val="left" w:pos="922"/>
        </w:tabs>
        <w:ind w:left="880" w:hanging="420"/>
        <w:jc w:val="both"/>
      </w:pPr>
      <w:r>
        <w:rPr>
          <w:rStyle w:val="Zkladntext"/>
        </w:rPr>
        <w:t>Smlouva představuje úplnou dohodu smluvních stran o jejím předmětu a nahrazuje předcházející ujednání ať písemná či ústní.</w:t>
      </w:r>
    </w:p>
    <w:p w:rsidR="00CF4CC6" w:rsidRDefault="00697C88">
      <w:pPr>
        <w:pStyle w:val="Zkladntext1"/>
        <w:numPr>
          <w:ilvl w:val="0"/>
          <w:numId w:val="11"/>
        </w:numPr>
        <w:tabs>
          <w:tab w:val="left" w:pos="922"/>
        </w:tabs>
        <w:ind w:left="880" w:hanging="420"/>
        <w:jc w:val="both"/>
      </w:pPr>
      <w:r>
        <w:rPr>
          <w:rStyle w:val="Zkladntext"/>
        </w:rPr>
        <w:t xml:space="preserve">Všechny právní vztahy, které vzniknou při realizaci závazků vyplývající </w:t>
      </w:r>
      <w:r>
        <w:rPr>
          <w:rStyle w:val="Zkladntext"/>
        </w:rPr>
        <w:t>z této smlouvy, se řídí právním řádem České republiky. Právní vztahy neupravené touto smlouvou se řídí příslušnými ustanoveními zákona č. 89/2002 Sb., občanský zákoník v platném znění.</w:t>
      </w:r>
    </w:p>
    <w:p w:rsidR="00CF4CC6" w:rsidRDefault="00697C88">
      <w:pPr>
        <w:pStyle w:val="Zkladntext1"/>
        <w:numPr>
          <w:ilvl w:val="0"/>
          <w:numId w:val="11"/>
        </w:numPr>
        <w:tabs>
          <w:tab w:val="left" w:pos="922"/>
        </w:tabs>
        <w:ind w:left="860" w:hanging="400"/>
        <w:jc w:val="both"/>
      </w:pPr>
      <w:r>
        <w:rPr>
          <w:rStyle w:val="Zkladntext"/>
        </w:rPr>
        <w:t>Zhotovitel není oprávněn poskytnout výsledek své činnosti tvořený předs</w:t>
      </w:r>
      <w:r>
        <w:rPr>
          <w:rStyle w:val="Zkladntext"/>
        </w:rPr>
        <w:t>tavovaným dílem podle této smlouvy třetí osobě k využití bez předchozího písemného souhlasu objednatele, vyjma předepsaných úkonů.</w:t>
      </w:r>
    </w:p>
    <w:p w:rsidR="00CF4CC6" w:rsidRDefault="00697C88">
      <w:pPr>
        <w:pStyle w:val="Zkladntext1"/>
        <w:numPr>
          <w:ilvl w:val="0"/>
          <w:numId w:val="11"/>
        </w:numPr>
        <w:tabs>
          <w:tab w:val="left" w:pos="922"/>
        </w:tabs>
        <w:ind w:left="860" w:hanging="400"/>
        <w:jc w:val="both"/>
      </w:pPr>
      <w:r>
        <w:rPr>
          <w:rStyle w:val="Zkladntext"/>
        </w:rPr>
        <w:t>V případě vypovězení nebo odstoupení od smlouvy ze strany objednatele, nebo pokud nebude možné v projektu pokračovat z důvodů</w:t>
      </w:r>
      <w:r>
        <w:rPr>
          <w:rStyle w:val="Zkladntext"/>
        </w:rPr>
        <w:t>, které nebudou na straně zhotovitele projektu, vzniká objednateli povinnost uhradit zhotoviteli náklady prokazatelně vzniklé do doby vypovězení smlouvy.</w:t>
      </w:r>
    </w:p>
    <w:p w:rsidR="00CF4CC6" w:rsidRDefault="00697C88">
      <w:pPr>
        <w:pStyle w:val="Zkladntext1"/>
        <w:numPr>
          <w:ilvl w:val="0"/>
          <w:numId w:val="11"/>
        </w:numPr>
        <w:tabs>
          <w:tab w:val="left" w:pos="922"/>
        </w:tabs>
        <w:ind w:left="860" w:hanging="400"/>
        <w:jc w:val="both"/>
        <w:sectPr w:rsidR="00CF4CC6">
          <w:pgSz w:w="11900" w:h="16840"/>
          <w:pgMar w:top="1306" w:right="1049" w:bottom="1477" w:left="963" w:header="878" w:footer="1049" w:gutter="0"/>
          <w:pgNumType w:start="1"/>
          <w:cols w:space="720"/>
          <w:noEndnote/>
          <w:docGrid w:linePitch="360"/>
        </w:sectPr>
      </w:pPr>
      <w:r>
        <w:rPr>
          <w:rStyle w:val="Zkladntext"/>
        </w:rPr>
        <w:t>Objednatel je oprávněn požadovat další vyhotovení výtisků projektu za úhr</w:t>
      </w:r>
      <w:r>
        <w:rPr>
          <w:rStyle w:val="Zkladntext"/>
        </w:rPr>
        <w:t>adu reprodukčních nákladů.</w:t>
      </w:r>
    </w:p>
    <w:p w:rsidR="00CF4CC6" w:rsidRDefault="00697C88">
      <w:pPr>
        <w:pStyle w:val="Zkladntext1"/>
        <w:framePr w:w="9322" w:h="2477" w:wrap="none" w:hAnchor="page" w:x="1210" w:y="1"/>
        <w:numPr>
          <w:ilvl w:val="0"/>
          <w:numId w:val="12"/>
        </w:numPr>
        <w:tabs>
          <w:tab w:val="left" w:pos="597"/>
        </w:tabs>
        <w:ind w:left="560" w:hanging="400"/>
        <w:jc w:val="both"/>
      </w:pPr>
      <w:r>
        <w:rPr>
          <w:rStyle w:val="Zkladntext"/>
        </w:rPr>
        <w:lastRenderedPageBreak/>
        <w:t>Smlouvu lze měnit nebo doplňovat pouze písemnými dodatky číslovanými vzestupnou řadou po dohodě smluvních stran. Jiné zápisy, protokoly apod. se za změnu smlouvy nepovažují.</w:t>
      </w:r>
    </w:p>
    <w:p w:rsidR="00CF4CC6" w:rsidRDefault="00697C88">
      <w:pPr>
        <w:pStyle w:val="Zkladntext1"/>
        <w:framePr w:w="9322" w:h="2477" w:wrap="none" w:hAnchor="page" w:x="1210" w:y="1"/>
        <w:numPr>
          <w:ilvl w:val="0"/>
          <w:numId w:val="12"/>
        </w:numPr>
        <w:tabs>
          <w:tab w:val="left" w:pos="597"/>
        </w:tabs>
        <w:ind w:left="560" w:hanging="400"/>
        <w:jc w:val="both"/>
      </w:pPr>
      <w:r>
        <w:rPr>
          <w:rStyle w:val="Zkladntext"/>
        </w:rPr>
        <w:t>Obě smluvní strany výslovně prohlašují, že se s touto s</w:t>
      </w:r>
      <w:r>
        <w:rPr>
          <w:rStyle w:val="Zkladntext"/>
        </w:rPr>
        <w:t>mlouvou řádně seznámily, že jí rozumí, uzavírají ji ze své pravé a svobodné vůle, nikoliv za nápadně nevýhodných podmínek a na důkaz toho pod ní připojují podpisy svých oprávněných zástupců.</w:t>
      </w:r>
    </w:p>
    <w:p w:rsidR="00CF4CC6" w:rsidRDefault="00697C88">
      <w:pPr>
        <w:pStyle w:val="Zkladntext1"/>
        <w:framePr w:w="9322" w:h="2477" w:wrap="none" w:hAnchor="page" w:x="1210" w:y="1"/>
        <w:numPr>
          <w:ilvl w:val="0"/>
          <w:numId w:val="12"/>
        </w:numPr>
        <w:tabs>
          <w:tab w:val="left" w:pos="437"/>
        </w:tabs>
        <w:ind w:left="560" w:hanging="560"/>
      </w:pPr>
      <w:r>
        <w:rPr>
          <w:rStyle w:val="Zkladntext"/>
        </w:rPr>
        <w:t xml:space="preserve">Smlouva je vyhotovena ve dvou stejnopisech, z nichž jeden obdrží </w:t>
      </w:r>
      <w:r>
        <w:rPr>
          <w:rStyle w:val="Zkladntext"/>
        </w:rPr>
        <w:t>zhotovitel a jeden objednatel.</w:t>
      </w:r>
    </w:p>
    <w:p w:rsidR="00CF4CC6" w:rsidRDefault="00697C88">
      <w:pPr>
        <w:spacing w:line="360" w:lineRule="exact"/>
      </w:pPr>
      <w:r>
        <w:rPr>
          <w:noProof/>
          <w:lang w:bidi="ar-SA"/>
        </w:rPr>
        <w:drawing>
          <wp:anchor distT="0" distB="0" distL="0" distR="0" simplePos="0" relativeHeight="62914691" behindDoc="1" locked="0" layoutInCell="1" allowOverlap="1">
            <wp:simplePos x="0" y="0"/>
            <wp:positionH relativeFrom="page">
              <wp:posOffset>1170305</wp:posOffset>
            </wp:positionH>
            <wp:positionV relativeFrom="margin">
              <wp:posOffset>2843530</wp:posOffset>
            </wp:positionV>
            <wp:extent cx="951230" cy="871855"/>
            <wp:effectExtent l="0" t="0" r="0" b="0"/>
            <wp:wrapNone/>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7"/>
                    <a:stretch/>
                  </pic:blipFill>
                  <pic:spPr>
                    <a:xfrm>
                      <a:off x="0" y="0"/>
                      <a:ext cx="951230" cy="871855"/>
                    </a:xfrm>
                    <a:prstGeom prst="rect">
                      <a:avLst/>
                    </a:prstGeom>
                  </pic:spPr>
                </pic:pic>
              </a:graphicData>
            </a:graphic>
          </wp:anchor>
        </w:drawing>
      </w: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after="580" w:line="1" w:lineRule="exact"/>
      </w:pPr>
    </w:p>
    <w:p w:rsidR="00CF4CC6" w:rsidRDefault="00CF4CC6">
      <w:pPr>
        <w:spacing w:line="1" w:lineRule="exact"/>
        <w:sectPr w:rsidR="00CF4CC6">
          <w:pgSz w:w="11900" w:h="16840"/>
          <w:pgMar w:top="1319" w:right="1369" w:bottom="1319" w:left="1209" w:header="891" w:footer="891" w:gutter="0"/>
          <w:cols w:space="720"/>
          <w:noEndnote/>
          <w:docGrid w:linePitch="360"/>
        </w:sectPr>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line="360" w:lineRule="exact"/>
      </w:pPr>
    </w:p>
    <w:p w:rsidR="00CF4CC6" w:rsidRDefault="00CF4CC6">
      <w:pPr>
        <w:spacing w:after="569" w:line="1" w:lineRule="exact"/>
      </w:pPr>
    </w:p>
    <w:p w:rsidR="00CF4CC6" w:rsidRDefault="00CF4CC6">
      <w:pPr>
        <w:spacing w:line="1" w:lineRule="exact"/>
        <w:sectPr w:rsidR="00CF4CC6">
          <w:footerReference w:type="default" r:id="rId8"/>
          <w:pgSz w:w="11900" w:h="16840"/>
          <w:pgMar w:top="3114" w:right="1611" w:bottom="1636" w:left="1486" w:header="2686" w:footer="3" w:gutter="0"/>
          <w:cols w:space="720"/>
          <w:noEndnote/>
          <w:docGrid w:linePitch="360"/>
        </w:sectPr>
      </w:pPr>
    </w:p>
    <w:p w:rsidR="00CF4CC6" w:rsidRDefault="00CF4CC6">
      <w:pPr>
        <w:pStyle w:val="Zkladntext30"/>
        <w:spacing w:after="0" w:line="288" w:lineRule="auto"/>
        <w:ind w:firstLine="680"/>
        <w:rPr>
          <w:sz w:val="22"/>
          <w:szCs w:val="22"/>
        </w:rPr>
      </w:pPr>
    </w:p>
    <w:sectPr w:rsidR="00CF4CC6">
      <w:footerReference w:type="default" r:id="rId9"/>
      <w:pgSz w:w="11900" w:h="16840"/>
      <w:pgMar w:top="2398" w:right="2230" w:bottom="2398" w:left="5619" w:header="197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88" w:rsidRDefault="00697C88">
      <w:r>
        <w:separator/>
      </w:r>
    </w:p>
  </w:endnote>
  <w:endnote w:type="continuationSeparator" w:id="0">
    <w:p w:rsidR="00697C88" w:rsidRDefault="0069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C6" w:rsidRDefault="00697C88">
    <w:pPr>
      <w:spacing w:line="1" w:lineRule="exact"/>
    </w:pPr>
    <w:r>
      <w:rPr>
        <w:noProof/>
        <w:lang w:bidi="ar-SA"/>
      </w:rPr>
      <mc:AlternateContent>
        <mc:Choice Requires="wps">
          <w:drawing>
            <wp:anchor distT="0" distB="0" distL="0" distR="0" simplePos="0" relativeHeight="62914695" behindDoc="1" locked="0" layoutInCell="1" allowOverlap="1">
              <wp:simplePos x="0" y="0"/>
              <wp:positionH relativeFrom="page">
                <wp:posOffset>2717800</wp:posOffset>
              </wp:positionH>
              <wp:positionV relativeFrom="page">
                <wp:posOffset>9591040</wp:posOffset>
              </wp:positionV>
              <wp:extent cx="1947545" cy="353695"/>
              <wp:effectExtent l="0" t="0" r="0" b="0"/>
              <wp:wrapNone/>
              <wp:docPr id="17" name="Shape 17"/>
              <wp:cNvGraphicFramePr/>
              <a:graphic xmlns:a="http://schemas.openxmlformats.org/drawingml/2006/main">
                <a:graphicData uri="http://schemas.microsoft.com/office/word/2010/wordprocessingShape">
                  <wps:wsp>
                    <wps:cNvSpPr txBox="1"/>
                    <wps:spPr>
                      <a:xfrm>
                        <a:off x="0" y="0"/>
                        <a:ext cx="1947545" cy="353695"/>
                      </a:xfrm>
                      <a:prstGeom prst="rect">
                        <a:avLst/>
                      </a:prstGeom>
                      <a:noFill/>
                    </wps:spPr>
                    <wps:txbx>
                      <w:txbxContent>
                        <w:p w:rsidR="00CF4CC6" w:rsidRDefault="00697C88">
                          <w:pPr>
                            <w:pStyle w:val="Zhlavnebozpat20"/>
                            <w:rPr>
                              <w:sz w:val="15"/>
                              <w:szCs w:val="15"/>
                            </w:rPr>
                          </w:pPr>
                          <w:r>
                            <w:rPr>
                              <w:rStyle w:val="Zhlavnebozpat2"/>
                              <w:rFonts w:ascii="Arial" w:eastAsia="Arial" w:hAnsi="Arial" w:cs="Arial"/>
                              <w:sz w:val="15"/>
                              <w:szCs w:val="15"/>
                            </w:rPr>
                            <w:t>IČ:06722865, DIČ:CZ06722865</w:t>
                          </w:r>
                        </w:p>
                        <w:p w:rsidR="00CF4CC6" w:rsidRDefault="00697C88">
                          <w:pPr>
                            <w:pStyle w:val="Zhlavnebozpat20"/>
                            <w:rPr>
                              <w:sz w:val="15"/>
                              <w:szCs w:val="15"/>
                            </w:rPr>
                          </w:pPr>
                          <w:r>
                            <w:rPr>
                              <w:rStyle w:val="Zhlavnebozpat2"/>
                              <w:rFonts w:ascii="Arial" w:eastAsia="Arial" w:hAnsi="Arial" w:cs="Arial"/>
                              <w:sz w:val="15"/>
                              <w:szCs w:val="15"/>
                            </w:rPr>
                            <w:t>Společnost</w:t>
                          </w:r>
                          <w:r>
                            <w:rPr>
                              <w:rStyle w:val="Zhlavnebozpat2"/>
                              <w:rFonts w:ascii="Arial" w:eastAsia="Arial" w:hAnsi="Arial" w:cs="Arial"/>
                              <w:sz w:val="15"/>
                              <w:szCs w:val="15"/>
                            </w:rPr>
                            <w:t xml:space="preserve"> je vedena u Krajského</w:t>
                          </w:r>
                        </w:p>
                        <w:p w:rsidR="00CF4CC6" w:rsidRDefault="00697C88">
                          <w:pPr>
                            <w:pStyle w:val="Zhlavnebozpat20"/>
                            <w:rPr>
                              <w:sz w:val="15"/>
                              <w:szCs w:val="15"/>
                            </w:rPr>
                          </w:pPr>
                          <w:r>
                            <w:rPr>
                              <w:rStyle w:val="Zhlavnebozpat2"/>
                              <w:rFonts w:ascii="Arial" w:eastAsia="Arial" w:hAnsi="Arial" w:cs="Arial"/>
                              <w:sz w:val="15"/>
                              <w:szCs w:val="15"/>
                            </w:rPr>
                            <w:t xml:space="preserve">soudu v Brně, spisová </w:t>
                          </w:r>
                          <w:proofErr w:type="gramStart"/>
                          <w:r>
                            <w:rPr>
                              <w:rStyle w:val="Zhlavnebozpat2"/>
                              <w:rFonts w:ascii="Arial" w:eastAsia="Arial" w:hAnsi="Arial" w:cs="Arial"/>
                              <w:sz w:val="15"/>
                              <w:szCs w:val="15"/>
                            </w:rPr>
                            <w:t>značka C .103918</w:t>
                          </w:r>
                          <w:proofErr w:type="gramEnd"/>
                        </w:p>
                      </w:txbxContent>
                    </wps:txbx>
                    <wps:bodyPr wrap="none" lIns="0" tIns="0" rIns="0" bIns="0">
                      <a:spAutoFit/>
                    </wps:bodyPr>
                  </wps:wsp>
                </a:graphicData>
              </a:graphic>
            </wp:anchor>
          </w:drawing>
        </mc:Choice>
        <mc:Fallback>
          <w:pict>
            <v:shape id="_x0000_s1043" type="#_x0000_t202" style="position:absolute;margin-left:214.pt;margin-top:755.20000000000005pt;width:153.34999999999999pt;height:27.850000000000001pt;z-index:-188744058;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IČ:06722865, DIČ:CZ06722865</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Společnost je vedena u Krajského</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soudu v Brně, spisová značka C .103918</w:t>
                    </w:r>
                  </w:p>
                </w:txbxContent>
              </v:textbox>
              <w10:wrap anchorx="page" anchory="page"/>
            </v:shape>
          </w:pict>
        </mc:Fallback>
      </mc:AlternateContent>
    </w:r>
    <w:r>
      <w:rPr>
        <w:noProof/>
        <w:lang w:bidi="ar-SA"/>
      </w:rPr>
      <mc:AlternateContent>
        <mc:Choice Requires="wps">
          <w:drawing>
            <wp:anchor distT="0" distB="0" distL="0" distR="0" simplePos="0" relativeHeight="62914697" behindDoc="1" locked="0" layoutInCell="1" allowOverlap="1">
              <wp:simplePos x="0" y="0"/>
              <wp:positionH relativeFrom="page">
                <wp:posOffset>946785</wp:posOffset>
              </wp:positionH>
              <wp:positionV relativeFrom="page">
                <wp:posOffset>9615170</wp:posOffset>
              </wp:positionV>
              <wp:extent cx="1063625" cy="307975"/>
              <wp:effectExtent l="0" t="0" r="0" b="0"/>
              <wp:wrapNone/>
              <wp:docPr id="19" name="Shape 19"/>
              <wp:cNvGraphicFramePr/>
              <a:graphic xmlns:a="http://schemas.openxmlformats.org/drawingml/2006/main">
                <a:graphicData uri="http://schemas.microsoft.com/office/word/2010/wordprocessingShape">
                  <wps:wsp>
                    <wps:cNvSpPr txBox="1"/>
                    <wps:spPr>
                      <a:xfrm>
                        <a:off x="0" y="0"/>
                        <a:ext cx="1063625" cy="307975"/>
                      </a:xfrm>
                      <a:prstGeom prst="rect">
                        <a:avLst/>
                      </a:prstGeom>
                      <a:noFill/>
                    </wps:spPr>
                    <wps:txbx>
                      <w:txbxContent>
                        <w:p w:rsidR="00CF4CC6" w:rsidRDefault="00697C88">
                          <w:pPr>
                            <w:pStyle w:val="Zhlavnebozpat20"/>
                            <w:rPr>
                              <w:sz w:val="15"/>
                              <w:szCs w:val="15"/>
                            </w:rPr>
                          </w:pPr>
                          <w:r>
                            <w:rPr>
                              <w:rStyle w:val="Zhlavnebozpat2"/>
                              <w:rFonts w:ascii="Arial" w:eastAsia="Arial" w:hAnsi="Arial" w:cs="Arial"/>
                              <w:sz w:val="15"/>
                              <w:szCs w:val="15"/>
                            </w:rPr>
                            <w:t xml:space="preserve">GARANT projekt </w:t>
                          </w:r>
                          <w:proofErr w:type="spellStart"/>
                          <w:r>
                            <w:rPr>
                              <w:rStyle w:val="Zhlavnebozpat2"/>
                              <w:rFonts w:ascii="Arial" w:eastAsia="Arial" w:hAnsi="Arial" w:cs="Arial"/>
                              <w:sz w:val="15"/>
                              <w:szCs w:val="15"/>
                            </w:rPr>
                            <w:t>s.r.o</w:t>
                          </w:r>
                          <w:proofErr w:type="spellEnd"/>
                          <w:r>
                            <w:rPr>
                              <w:rStyle w:val="Zhlavnebozpat2"/>
                              <w:rFonts w:ascii="Arial" w:eastAsia="Arial" w:hAnsi="Arial" w:cs="Arial"/>
                              <w:sz w:val="15"/>
                              <w:szCs w:val="15"/>
                            </w:rPr>
                            <w:t>,</w:t>
                          </w:r>
                        </w:p>
                        <w:p w:rsidR="00CF4CC6" w:rsidRDefault="00697C88">
                          <w:pPr>
                            <w:pStyle w:val="Zhlavnebozpat20"/>
                            <w:rPr>
                              <w:sz w:val="15"/>
                              <w:szCs w:val="15"/>
                            </w:rPr>
                          </w:pPr>
                          <w:r>
                            <w:rPr>
                              <w:rStyle w:val="Zhlavnebozpat2"/>
                              <w:rFonts w:ascii="Arial" w:eastAsia="Arial" w:hAnsi="Arial" w:cs="Arial"/>
                              <w:sz w:val="15"/>
                              <w:szCs w:val="15"/>
                            </w:rPr>
                            <w:t>Staňkova 103/18</w:t>
                          </w:r>
                        </w:p>
                        <w:p w:rsidR="00CF4CC6" w:rsidRDefault="00697C88">
                          <w:pPr>
                            <w:pStyle w:val="Zhlavnebozpat20"/>
                            <w:rPr>
                              <w:sz w:val="15"/>
                              <w:szCs w:val="15"/>
                            </w:rPr>
                          </w:pPr>
                          <w:r>
                            <w:rPr>
                              <w:rStyle w:val="Zhlavnebozpat2"/>
                              <w:rFonts w:ascii="Arial" w:eastAsia="Arial" w:hAnsi="Arial" w:cs="Arial"/>
                              <w:sz w:val="15"/>
                              <w:szCs w:val="15"/>
                            </w:rPr>
                            <w:t xml:space="preserve">602 00 Brno - </w:t>
                          </w:r>
                          <w:proofErr w:type="spellStart"/>
                          <w:r>
                            <w:rPr>
                              <w:rStyle w:val="Zhlavnebozpat2"/>
                              <w:rFonts w:ascii="Arial" w:eastAsia="Arial" w:hAnsi="Arial" w:cs="Arial"/>
                              <w:sz w:val="15"/>
                              <w:szCs w:val="15"/>
                            </w:rPr>
                            <w:t>Ponava</w:t>
                          </w:r>
                          <w:proofErr w:type="spellEnd"/>
                        </w:p>
                      </w:txbxContent>
                    </wps:txbx>
                    <wps:bodyPr wrap="none" lIns="0" tIns="0" rIns="0" bIns="0">
                      <a:spAutoFit/>
                    </wps:bodyPr>
                  </wps:wsp>
                </a:graphicData>
              </a:graphic>
            </wp:anchor>
          </w:drawing>
        </mc:Choice>
        <mc:Fallback>
          <w:pict>
            <v:shape id="_x0000_s1045" type="#_x0000_t202" style="position:absolute;margin-left:74.549999999999997pt;margin-top:757.10000000000002pt;width:83.75pt;height:24.25pt;z-index:-188744056;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GARANT projekt s.r.o,</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Staňkova 103/18</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602 00 Brno - Ponava</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C6" w:rsidRDefault="00697C88">
    <w:pPr>
      <w:spacing w:line="1" w:lineRule="exact"/>
    </w:pPr>
    <w:r>
      <w:rPr>
        <w:noProof/>
        <w:lang w:bidi="ar-SA"/>
      </w:rPr>
      <mc:AlternateContent>
        <mc:Choice Requires="wps">
          <w:drawing>
            <wp:anchor distT="0" distB="0" distL="0" distR="0" simplePos="0" relativeHeight="62914723" behindDoc="1" locked="0" layoutInCell="1" allowOverlap="1">
              <wp:simplePos x="0" y="0"/>
              <wp:positionH relativeFrom="page">
                <wp:posOffset>2748280</wp:posOffset>
              </wp:positionH>
              <wp:positionV relativeFrom="page">
                <wp:posOffset>9591040</wp:posOffset>
              </wp:positionV>
              <wp:extent cx="1938655" cy="353695"/>
              <wp:effectExtent l="0" t="0" r="0" b="0"/>
              <wp:wrapNone/>
              <wp:docPr id="49" name="Shape 49"/>
              <wp:cNvGraphicFramePr/>
              <a:graphic xmlns:a="http://schemas.openxmlformats.org/drawingml/2006/main">
                <a:graphicData uri="http://schemas.microsoft.com/office/word/2010/wordprocessingShape">
                  <wps:wsp>
                    <wps:cNvSpPr txBox="1"/>
                    <wps:spPr>
                      <a:xfrm>
                        <a:off x="0" y="0"/>
                        <a:ext cx="1938655" cy="353695"/>
                      </a:xfrm>
                      <a:prstGeom prst="rect">
                        <a:avLst/>
                      </a:prstGeom>
                      <a:noFill/>
                    </wps:spPr>
                    <wps:txbx>
                      <w:txbxContent>
                        <w:p w:rsidR="00CF4CC6" w:rsidRDefault="00697C88">
                          <w:pPr>
                            <w:pStyle w:val="Zhlavnebozpat20"/>
                            <w:rPr>
                              <w:sz w:val="15"/>
                              <w:szCs w:val="15"/>
                            </w:rPr>
                          </w:pPr>
                          <w:r>
                            <w:rPr>
                              <w:rStyle w:val="Zhlavnebozpat2"/>
                              <w:rFonts w:ascii="Arial" w:eastAsia="Arial" w:hAnsi="Arial" w:cs="Arial"/>
                              <w:sz w:val="15"/>
                              <w:szCs w:val="15"/>
                            </w:rPr>
                            <w:t>IČ:06722865, DIČ:CZ06722865</w:t>
                          </w:r>
                        </w:p>
                        <w:p w:rsidR="00CF4CC6" w:rsidRDefault="00697C88">
                          <w:pPr>
                            <w:pStyle w:val="Zhlavnebozpat20"/>
                            <w:rPr>
                              <w:sz w:val="15"/>
                              <w:szCs w:val="15"/>
                            </w:rPr>
                          </w:pPr>
                          <w:r>
                            <w:rPr>
                              <w:rStyle w:val="Zhlavnebozpat2"/>
                              <w:rFonts w:ascii="Arial" w:eastAsia="Arial" w:hAnsi="Arial" w:cs="Arial"/>
                              <w:sz w:val="15"/>
                              <w:szCs w:val="15"/>
                            </w:rPr>
                            <w:t>Společnost je vedena u Krajského</w:t>
                          </w:r>
                        </w:p>
                        <w:p w:rsidR="00CF4CC6" w:rsidRDefault="00697C88">
                          <w:pPr>
                            <w:pStyle w:val="Zhlavnebozpat20"/>
                            <w:rPr>
                              <w:sz w:val="15"/>
                              <w:szCs w:val="15"/>
                            </w:rPr>
                          </w:pPr>
                          <w:r>
                            <w:rPr>
                              <w:rStyle w:val="Zhlavnebozpat2"/>
                              <w:rFonts w:ascii="Arial" w:eastAsia="Arial" w:hAnsi="Arial" w:cs="Arial"/>
                              <w:sz w:val="15"/>
                              <w:szCs w:val="15"/>
                            </w:rPr>
                            <w:t>sondu v Brně, spisová značka C 1039.18</w:t>
                          </w:r>
                        </w:p>
                      </w:txbxContent>
                    </wps:txbx>
                    <wps:bodyPr wrap="none" lIns="0" tIns="0" rIns="0" bIns="0">
                      <a:spAutoFit/>
                    </wps:bodyPr>
                  </wps:wsp>
                </a:graphicData>
              </a:graphic>
            </wp:anchor>
          </w:drawing>
        </mc:Choice>
        <mc:Fallback>
          <w:pict>
            <v:shape id="_x0000_s1075" type="#_x0000_t202" style="position:absolute;margin-left:216.40000000000001pt;margin-top:755.20000000000005pt;width:152.65000000000001pt;height:27.850000000000001pt;z-index:-188744030;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IČ:06722865, DIČ:CZ06722865</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Společnost je vedena u Krajského</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sondu v Brně, spisová značka C 1039.18</w:t>
                    </w:r>
                  </w:p>
                </w:txbxContent>
              </v:textbox>
              <w10:wrap anchorx="page" anchory="page"/>
            </v:shape>
          </w:pict>
        </mc:Fallback>
      </mc:AlternateContent>
    </w:r>
    <w:r>
      <w:rPr>
        <w:noProof/>
        <w:lang w:bidi="ar-SA"/>
      </w:rPr>
      <mc:AlternateContent>
        <mc:Choice Requires="wps">
          <w:drawing>
            <wp:anchor distT="0" distB="0" distL="0" distR="0" simplePos="0" relativeHeight="62914725" behindDoc="1" locked="0" layoutInCell="1" allowOverlap="1">
              <wp:simplePos x="0" y="0"/>
              <wp:positionH relativeFrom="page">
                <wp:posOffset>4954905</wp:posOffset>
              </wp:positionH>
              <wp:positionV relativeFrom="page">
                <wp:posOffset>9615170</wp:posOffset>
              </wp:positionV>
              <wp:extent cx="1502410" cy="207010"/>
              <wp:effectExtent l="0" t="0" r="0" b="0"/>
              <wp:wrapNone/>
              <wp:docPr id="51" name="Shape 51"/>
              <wp:cNvGraphicFramePr/>
              <a:graphic xmlns:a="http://schemas.openxmlformats.org/drawingml/2006/main">
                <a:graphicData uri="http://schemas.microsoft.com/office/word/2010/wordprocessingShape">
                  <wps:wsp>
                    <wps:cNvSpPr txBox="1"/>
                    <wps:spPr>
                      <a:xfrm>
                        <a:off x="0" y="0"/>
                        <a:ext cx="1502410" cy="207010"/>
                      </a:xfrm>
                      <a:prstGeom prst="rect">
                        <a:avLst/>
                      </a:prstGeom>
                      <a:noFill/>
                    </wps:spPr>
                    <wps:txbx>
                      <w:txbxContent>
                        <w:p w:rsidR="00CF4CC6" w:rsidRDefault="00697C88">
                          <w:pPr>
                            <w:pStyle w:val="Zhlavnebozpat20"/>
                            <w:rPr>
                              <w:sz w:val="15"/>
                              <w:szCs w:val="15"/>
                            </w:rPr>
                          </w:pPr>
                          <w:r>
                            <w:rPr>
                              <w:rStyle w:val="Zhlavnebozpat2"/>
                              <w:rFonts w:ascii="Arial" w:eastAsia="Arial" w:hAnsi="Arial" w:cs="Arial"/>
                              <w:sz w:val="15"/>
                              <w:szCs w:val="15"/>
                            </w:rPr>
                            <w:t>E-mail: in fogarantjorojekt.cz</w:t>
                          </w:r>
                        </w:p>
                        <w:p w:rsidR="00CF4CC6" w:rsidRDefault="00697C88">
                          <w:pPr>
                            <w:pStyle w:val="Zhlavnebozpat20"/>
                            <w:rPr>
                              <w:sz w:val="15"/>
                              <w:szCs w:val="15"/>
                            </w:rPr>
                          </w:pPr>
                          <w:r>
                            <w:rPr>
                              <w:rStyle w:val="Zhlavnebozpat2"/>
                              <w:rFonts w:ascii="Arial" w:eastAsia="Arial" w:hAnsi="Arial" w:cs="Arial"/>
                              <w:sz w:val="15"/>
                              <w:szCs w:val="15"/>
                            </w:rPr>
                            <w:t xml:space="preserve">Internet: </w:t>
                          </w:r>
                          <w:r>
                            <w:rPr>
                              <w:rStyle w:val="Zhlavnebozpat2"/>
                              <w:rFonts w:ascii="Arial" w:eastAsia="Arial" w:hAnsi="Arial" w:cs="Arial"/>
                              <w:sz w:val="15"/>
                              <w:szCs w:val="15"/>
                              <w:lang w:val="en-US" w:eastAsia="en-US" w:bidi="en-US"/>
                            </w:rPr>
                            <w:t>www.garantprojekt.cz</w:t>
                          </w:r>
                        </w:p>
                      </w:txbxContent>
                    </wps:txbx>
                    <wps:bodyPr wrap="none" lIns="0" tIns="0" rIns="0" bIns="0">
                      <a:spAutoFit/>
                    </wps:bodyPr>
                  </wps:wsp>
                </a:graphicData>
              </a:graphic>
            </wp:anchor>
          </w:drawing>
        </mc:Choice>
        <mc:Fallback>
          <w:pict>
            <v:shape id="_x0000_s1077" type="#_x0000_t202" style="position:absolute;margin-left:390.15000000000003pt;margin-top:757.10000000000002pt;width:118.3pt;height:16.300000000000001pt;z-index:-188744028;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E-mail: in fogarantjorojekt.cz</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 xml:space="preserve">Internet: </w:t>
                    </w:r>
                    <w:r>
                      <w:rPr>
                        <w:rStyle w:val="CharStyle34"/>
                        <w:rFonts w:ascii="Arial" w:eastAsia="Arial" w:hAnsi="Arial" w:cs="Arial"/>
                        <w:sz w:val="15"/>
                        <w:szCs w:val="15"/>
                        <w:lang w:val="en-US" w:eastAsia="en-US" w:bidi="en-US"/>
                      </w:rPr>
                      <w:t>www.garantprojekt.cz</w:t>
                    </w:r>
                  </w:p>
                </w:txbxContent>
              </v:textbox>
              <w10:wrap anchorx="page" anchory="page"/>
            </v:shape>
          </w:pict>
        </mc:Fallback>
      </mc:AlternateContent>
    </w:r>
    <w:r>
      <w:rPr>
        <w:noProof/>
        <w:lang w:bidi="ar-SA"/>
      </w:rPr>
      <mc:AlternateContent>
        <mc:Choice Requires="wps">
          <w:drawing>
            <wp:anchor distT="0" distB="0" distL="0" distR="0" simplePos="0" relativeHeight="62914727" behindDoc="1" locked="0" layoutInCell="1" allowOverlap="1">
              <wp:simplePos x="0" y="0"/>
              <wp:positionH relativeFrom="page">
                <wp:posOffset>989330</wp:posOffset>
              </wp:positionH>
              <wp:positionV relativeFrom="page">
                <wp:posOffset>9618345</wp:posOffset>
              </wp:positionV>
              <wp:extent cx="1057910" cy="307975"/>
              <wp:effectExtent l="0" t="0" r="0" b="0"/>
              <wp:wrapNone/>
              <wp:docPr id="53" name="Shape 53"/>
              <wp:cNvGraphicFramePr/>
              <a:graphic xmlns:a="http://schemas.openxmlformats.org/drawingml/2006/main">
                <a:graphicData uri="http://schemas.microsoft.com/office/word/2010/wordprocessingShape">
                  <wps:wsp>
                    <wps:cNvSpPr txBox="1"/>
                    <wps:spPr>
                      <a:xfrm>
                        <a:off x="0" y="0"/>
                        <a:ext cx="1057910" cy="307975"/>
                      </a:xfrm>
                      <a:prstGeom prst="rect">
                        <a:avLst/>
                      </a:prstGeom>
                      <a:noFill/>
                    </wps:spPr>
                    <wps:txbx>
                      <w:txbxContent>
                        <w:p w:rsidR="00CF4CC6" w:rsidRDefault="00697C88">
                          <w:pPr>
                            <w:pStyle w:val="Zhlavnebozpat20"/>
                            <w:rPr>
                              <w:sz w:val="15"/>
                              <w:szCs w:val="15"/>
                            </w:rPr>
                          </w:pPr>
                          <w:r>
                            <w:rPr>
                              <w:rStyle w:val="Zhlavnebozpat2"/>
                              <w:rFonts w:ascii="Arial" w:eastAsia="Arial" w:hAnsi="Arial" w:cs="Arial"/>
                              <w:sz w:val="15"/>
                              <w:szCs w:val="15"/>
                            </w:rPr>
                            <w:t>GARANT projekt s.r.o.</w:t>
                          </w:r>
                        </w:p>
                        <w:p w:rsidR="00CF4CC6" w:rsidRDefault="00697C88">
                          <w:pPr>
                            <w:pStyle w:val="Zhlavnebozpat20"/>
                            <w:rPr>
                              <w:sz w:val="15"/>
                              <w:szCs w:val="15"/>
                            </w:rPr>
                          </w:pPr>
                          <w:r>
                            <w:rPr>
                              <w:rStyle w:val="Zhlavnebozpat2"/>
                              <w:rFonts w:ascii="Arial" w:eastAsia="Arial" w:hAnsi="Arial" w:cs="Arial"/>
                              <w:sz w:val="15"/>
                              <w:szCs w:val="15"/>
                            </w:rPr>
                            <w:t>Staňkova 103/18</w:t>
                          </w:r>
                        </w:p>
                        <w:p w:rsidR="00CF4CC6" w:rsidRDefault="00697C88">
                          <w:pPr>
                            <w:pStyle w:val="Zhlavnebozpat20"/>
                            <w:rPr>
                              <w:sz w:val="15"/>
                              <w:szCs w:val="15"/>
                            </w:rPr>
                          </w:pPr>
                          <w:r>
                            <w:rPr>
                              <w:rStyle w:val="Zhlavnebozpat2"/>
                              <w:rFonts w:ascii="Arial" w:eastAsia="Arial" w:hAnsi="Arial" w:cs="Arial"/>
                              <w:sz w:val="15"/>
                              <w:szCs w:val="15"/>
                            </w:rPr>
                            <w:t>602 00 Br</w:t>
                          </w:r>
                          <w:r>
                            <w:rPr>
                              <w:rStyle w:val="Zhlavnebozpat2"/>
                              <w:rFonts w:ascii="Arial" w:eastAsia="Arial" w:hAnsi="Arial" w:cs="Arial"/>
                              <w:sz w:val="15"/>
                              <w:szCs w:val="15"/>
                            </w:rPr>
                            <w:t xml:space="preserve">no - </w:t>
                          </w:r>
                          <w:proofErr w:type="spellStart"/>
                          <w:r>
                            <w:rPr>
                              <w:rStyle w:val="Zhlavnebozpat2"/>
                              <w:rFonts w:ascii="Arial" w:eastAsia="Arial" w:hAnsi="Arial" w:cs="Arial"/>
                              <w:sz w:val="15"/>
                              <w:szCs w:val="15"/>
                            </w:rPr>
                            <w:t>Ponava</w:t>
                          </w:r>
                          <w:proofErr w:type="spellEnd"/>
                        </w:p>
                      </w:txbxContent>
                    </wps:txbx>
                    <wps:bodyPr wrap="none" lIns="0" tIns="0" rIns="0" bIns="0">
                      <a:spAutoFit/>
                    </wps:bodyPr>
                  </wps:wsp>
                </a:graphicData>
              </a:graphic>
            </wp:anchor>
          </w:drawing>
        </mc:Choice>
        <mc:Fallback>
          <w:pict>
            <v:shape id="_x0000_s1079" type="#_x0000_t202" style="position:absolute;margin-left:77.900000000000006pt;margin-top:757.35000000000002pt;width:83.299999999999997pt;height:24.25pt;z-index:-188744026;mso-wrap-style:none;mso-wrap-distance-left:0;mso-wrap-distance-right:0;mso-position-horizontal-relative:page;mso-position-vertical-relative:page" wrapcoords="0 0" filled="f" stroked="f">
              <v:textbox style="mso-fit-shape-to-text:t" inset="0,0,0,0">
                <w:txbxContent>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GARANT projekt s.r.o.</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Staňkova 103/18</w:t>
                    </w:r>
                  </w:p>
                  <w:p>
                    <w:pPr>
                      <w:pStyle w:val="Style33"/>
                      <w:keepNext w:val="0"/>
                      <w:keepLines w:val="0"/>
                      <w:widowControl w:val="0"/>
                      <w:shd w:val="clear" w:color="auto" w:fill="auto"/>
                      <w:bidi w:val="0"/>
                      <w:spacing w:before="0" w:after="0" w:line="240" w:lineRule="auto"/>
                      <w:ind w:left="0" w:right="0" w:firstLine="0"/>
                      <w:jc w:val="left"/>
                      <w:rPr>
                        <w:sz w:val="15"/>
                        <w:szCs w:val="15"/>
                      </w:rPr>
                    </w:pPr>
                    <w:r>
                      <w:rPr>
                        <w:rStyle w:val="CharStyle34"/>
                        <w:rFonts w:ascii="Arial" w:eastAsia="Arial" w:hAnsi="Arial" w:cs="Arial"/>
                        <w:sz w:val="15"/>
                        <w:szCs w:val="15"/>
                      </w:rPr>
                      <w:t>602 00 Brno - Ponava</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88" w:rsidRDefault="00697C88"/>
  </w:footnote>
  <w:footnote w:type="continuationSeparator" w:id="0">
    <w:p w:rsidR="00697C88" w:rsidRDefault="00697C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7A95"/>
    <w:multiLevelType w:val="multilevel"/>
    <w:tmpl w:val="0D502DFA"/>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76539"/>
    <w:multiLevelType w:val="multilevel"/>
    <w:tmpl w:val="32C2B348"/>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C7DB1"/>
    <w:multiLevelType w:val="multilevel"/>
    <w:tmpl w:val="89FE5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9D3344"/>
    <w:multiLevelType w:val="multilevel"/>
    <w:tmpl w:val="DBFAC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B0460"/>
    <w:multiLevelType w:val="multilevel"/>
    <w:tmpl w:val="E9B8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8526F3"/>
    <w:multiLevelType w:val="multilevel"/>
    <w:tmpl w:val="D3FCF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A778C"/>
    <w:multiLevelType w:val="multilevel"/>
    <w:tmpl w:val="F29022B2"/>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CB0CC2"/>
    <w:multiLevelType w:val="multilevel"/>
    <w:tmpl w:val="561C066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00AC4"/>
    <w:multiLevelType w:val="multilevel"/>
    <w:tmpl w:val="7B5AAC2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F56566"/>
    <w:multiLevelType w:val="multilevel"/>
    <w:tmpl w:val="9C04E2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5E78AE"/>
    <w:multiLevelType w:val="multilevel"/>
    <w:tmpl w:val="E7E00E06"/>
    <w:lvl w:ilvl="0">
      <w:start w:val="10"/>
      <w:numFmt w:val="lowerRoman"/>
      <w:lvlText w:val="%1"/>
      <w:lvlJc w:val="left"/>
      <w:rPr>
        <w:rFonts w:ascii="Arial" w:eastAsia="Arial" w:hAnsi="Arial" w:cs="Arial"/>
        <w:b w:val="0"/>
        <w:bCs w:val="0"/>
        <w:i/>
        <w:iCs/>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472418"/>
    <w:multiLevelType w:val="multilevel"/>
    <w:tmpl w:val="ABAA3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151D2"/>
    <w:multiLevelType w:val="multilevel"/>
    <w:tmpl w:val="6392543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C45949"/>
    <w:multiLevelType w:val="multilevel"/>
    <w:tmpl w:val="013808D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B5200"/>
    <w:multiLevelType w:val="multilevel"/>
    <w:tmpl w:val="FBA24186"/>
    <w:lvl w:ilvl="0">
      <w:start w:val="10"/>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2E00A7"/>
    <w:multiLevelType w:val="multilevel"/>
    <w:tmpl w:val="687CF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F554C9"/>
    <w:multiLevelType w:val="multilevel"/>
    <w:tmpl w:val="CF7434A4"/>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C720B0"/>
    <w:multiLevelType w:val="multilevel"/>
    <w:tmpl w:val="4B487F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A7E20"/>
    <w:multiLevelType w:val="multilevel"/>
    <w:tmpl w:val="D20A4E0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96EF3"/>
    <w:multiLevelType w:val="multilevel"/>
    <w:tmpl w:val="6BA06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603D54"/>
    <w:multiLevelType w:val="multilevel"/>
    <w:tmpl w:val="17149792"/>
    <w:lvl w:ilvl="0">
      <w:start w:val="1"/>
      <w:numFmt w:val="bullet"/>
      <w:lvlText w:val="&gt;"/>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DF52B1C"/>
    <w:multiLevelType w:val="multilevel"/>
    <w:tmpl w:val="F854466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647ED1"/>
    <w:multiLevelType w:val="multilevel"/>
    <w:tmpl w:val="B4AA57B8"/>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7"/>
  </w:num>
  <w:num w:numId="3">
    <w:abstractNumId w:val="4"/>
  </w:num>
  <w:num w:numId="4">
    <w:abstractNumId w:val="9"/>
  </w:num>
  <w:num w:numId="5">
    <w:abstractNumId w:val="19"/>
  </w:num>
  <w:num w:numId="6">
    <w:abstractNumId w:val="13"/>
  </w:num>
  <w:num w:numId="7">
    <w:abstractNumId w:val="5"/>
  </w:num>
  <w:num w:numId="8">
    <w:abstractNumId w:val="11"/>
  </w:num>
  <w:num w:numId="9">
    <w:abstractNumId w:val="2"/>
  </w:num>
  <w:num w:numId="10">
    <w:abstractNumId w:val="3"/>
  </w:num>
  <w:num w:numId="11">
    <w:abstractNumId w:val="15"/>
  </w:num>
  <w:num w:numId="12">
    <w:abstractNumId w:val="18"/>
  </w:num>
  <w:num w:numId="13">
    <w:abstractNumId w:val="16"/>
  </w:num>
  <w:num w:numId="14">
    <w:abstractNumId w:val="21"/>
  </w:num>
  <w:num w:numId="15">
    <w:abstractNumId w:val="10"/>
  </w:num>
  <w:num w:numId="16">
    <w:abstractNumId w:val="14"/>
  </w:num>
  <w:num w:numId="17">
    <w:abstractNumId w:val="0"/>
  </w:num>
  <w:num w:numId="18">
    <w:abstractNumId w:val="7"/>
  </w:num>
  <w:num w:numId="19">
    <w:abstractNumId w:val="1"/>
  </w:num>
  <w:num w:numId="20">
    <w:abstractNumId w:val="12"/>
  </w:num>
  <w:num w:numId="21">
    <w:abstractNumId w:val="22"/>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CC6"/>
    <w:rsid w:val="001751DA"/>
    <w:rsid w:val="00697C88"/>
    <w:rsid w:val="007B20C9"/>
    <w:rsid w:val="00CF4C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D6F26-8BE0-4A9A-BFCF-0D19979D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4"/>
      <w:szCs w:val="24"/>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0"/>
      <w:szCs w:val="20"/>
      <w:u w:val="singl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4"/>
      <w:szCs w:val="24"/>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4"/>
      <w:szCs w:val="24"/>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8"/>
      <w:szCs w:val="48"/>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sz w:val="26"/>
      <w:szCs w:val="2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8"/>
      <w:szCs w:val="18"/>
      <w:u w:val="none"/>
    </w:rPr>
  </w:style>
  <w:style w:type="paragraph" w:customStyle="1" w:styleId="Zkladntext1">
    <w:name w:val="Základní text1"/>
    <w:basedOn w:val="Normln"/>
    <w:link w:val="Zkladntext"/>
    <w:pPr>
      <w:spacing w:after="100"/>
    </w:pPr>
    <w:rPr>
      <w:rFonts w:ascii="Times New Roman" w:eastAsia="Times New Roman" w:hAnsi="Times New Roman" w:cs="Times New Roman"/>
    </w:rPr>
  </w:style>
  <w:style w:type="paragraph" w:customStyle="1" w:styleId="Zkladntext30">
    <w:name w:val="Základní text (3)"/>
    <w:basedOn w:val="Normln"/>
    <w:link w:val="Zkladntext3"/>
    <w:pPr>
      <w:spacing w:after="100" w:line="259" w:lineRule="auto"/>
    </w:pPr>
    <w:rPr>
      <w:rFonts w:ascii="Arial" w:eastAsia="Arial" w:hAnsi="Arial" w:cs="Arial"/>
      <w:sz w:val="20"/>
      <w:szCs w:val="20"/>
      <w:u w:val="single"/>
    </w:rPr>
  </w:style>
  <w:style w:type="paragraph" w:customStyle="1" w:styleId="Nadpis20">
    <w:name w:val="Nadpis #2"/>
    <w:basedOn w:val="Normln"/>
    <w:link w:val="Nadpis2"/>
    <w:pPr>
      <w:spacing w:after="100"/>
      <w:jc w:val="center"/>
      <w:outlineLvl w:val="1"/>
    </w:pPr>
    <w:rPr>
      <w:rFonts w:ascii="Times New Roman" w:eastAsia="Times New Roman" w:hAnsi="Times New Roman" w:cs="Times New Roman"/>
      <w:b/>
      <w:bCs/>
    </w:rPr>
  </w:style>
  <w:style w:type="paragraph" w:customStyle="1" w:styleId="Jin0">
    <w:name w:val="Jiné"/>
    <w:basedOn w:val="Normln"/>
    <w:link w:val="Jin"/>
    <w:pPr>
      <w:spacing w:after="100"/>
    </w:pPr>
    <w:rPr>
      <w:rFonts w:ascii="Times New Roman" w:eastAsia="Times New Roman" w:hAnsi="Times New Roman" w:cs="Times New Roman"/>
    </w:rPr>
  </w:style>
  <w:style w:type="paragraph" w:customStyle="1" w:styleId="Nadpis10">
    <w:name w:val="Nadpis #1"/>
    <w:basedOn w:val="Normln"/>
    <w:link w:val="Nadpis1"/>
    <w:pPr>
      <w:outlineLvl w:val="0"/>
    </w:pPr>
    <w:rPr>
      <w:rFonts w:ascii="Arial" w:eastAsia="Arial" w:hAnsi="Arial" w:cs="Arial"/>
      <w:b/>
      <w:bCs/>
      <w:sz w:val="48"/>
      <w:szCs w:val="48"/>
    </w:rPr>
  </w:style>
  <w:style w:type="paragraph" w:customStyle="1" w:styleId="Zkladntext40">
    <w:name w:val="Základní text (4)"/>
    <w:basedOn w:val="Normln"/>
    <w:link w:val="Zkladntext4"/>
    <w:pPr>
      <w:spacing w:after="100"/>
    </w:pPr>
    <w:rPr>
      <w:rFonts w:ascii="Arial" w:eastAsia="Arial" w:hAnsi="Arial" w:cs="Arial"/>
      <w:b/>
      <w:bCs/>
      <w:sz w:val="26"/>
      <w:szCs w:val="26"/>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20">
    <w:name w:val="Základní text (2)"/>
    <w:basedOn w:val="Normln"/>
    <w:link w:val="Zkladntext2"/>
    <w:pPr>
      <w:spacing w:after="20" w:line="288" w:lineRule="auto"/>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2403</Words>
  <Characters>14183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Šabata</dc:creator>
  <cp:lastModifiedBy>Ondřej Šabata</cp:lastModifiedBy>
  <cp:revision>2</cp:revision>
  <dcterms:created xsi:type="dcterms:W3CDTF">2023-07-10T11:08:00Z</dcterms:created>
  <dcterms:modified xsi:type="dcterms:W3CDTF">2023-07-10T11:08:00Z</dcterms:modified>
</cp:coreProperties>
</file>