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5211200183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4"/>
        </w:rPr>
        <w:t> </w:t>
      </w:r>
      <w:r>
        <w:rPr/>
        <w:t>Železný</w:t>
      </w:r>
      <w:r>
        <w:rPr>
          <w:spacing w:val="-2"/>
        </w:rPr>
        <w:t> </w:t>
      </w:r>
      <w:r>
        <w:rPr/>
        <w:t>Brod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91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Železný</w:t>
      </w:r>
      <w:r>
        <w:rPr>
          <w:spacing w:val="-3"/>
        </w:rPr>
        <w:t> </w:t>
      </w:r>
      <w:r>
        <w:rPr/>
        <w:t>Brod,</w:t>
      </w:r>
      <w:r>
        <w:rPr>
          <w:spacing w:val="1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května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468 22</w:t>
      </w:r>
      <w:r>
        <w:rPr>
          <w:spacing w:val="-2"/>
        </w:rPr>
        <w:t> </w:t>
      </w:r>
      <w:r>
        <w:rPr/>
        <w:t>Železný</w:t>
      </w:r>
      <w:r>
        <w:rPr>
          <w:spacing w:val="-4"/>
        </w:rPr>
        <w:t> </w:t>
      </w:r>
      <w:r>
        <w:rPr/>
        <w:t>Brod</w:t>
      </w:r>
      <w:r>
        <w:rPr>
          <w:spacing w:val="-51"/>
        </w:rPr>
        <w:t> </w:t>
      </w:r>
      <w:r>
        <w:rPr/>
        <w:t>IČO:</w:t>
        <w:tab/>
        <w:t>00262633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zastoupené:</w:t>
        <w:tab/>
        <w:t>Mgr.</w:t>
      </w:r>
      <w:r>
        <w:rPr>
          <w:spacing w:val="-1"/>
        </w:rPr>
        <w:t> </w:t>
      </w:r>
      <w:r>
        <w:rPr/>
        <w:t>Františkem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4987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94-16027451/0710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5211200183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17. 5. 2023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33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279"/>
        <w:jc w:val="left"/>
      </w:pPr>
      <w:r>
        <w:rPr/>
        <w:t>„Snížení</w:t>
      </w:r>
      <w:r>
        <w:rPr>
          <w:spacing w:val="-3"/>
        </w:rPr>
        <w:t> </w:t>
      </w:r>
      <w:r>
        <w:rPr/>
        <w:t>energetické</w:t>
      </w:r>
      <w:r>
        <w:rPr>
          <w:spacing w:val="-1"/>
        </w:rPr>
        <w:t> </w:t>
      </w:r>
      <w:r>
        <w:rPr/>
        <w:t>náročnosti</w:t>
      </w:r>
      <w:r>
        <w:rPr>
          <w:spacing w:val="-2"/>
        </w:rPr>
        <w:t> </w:t>
      </w:r>
      <w:r>
        <w:rPr/>
        <w:t>budovy</w:t>
      </w:r>
      <w:r>
        <w:rPr>
          <w:spacing w:val="-3"/>
        </w:rPr>
        <w:t> </w:t>
      </w:r>
      <w:r>
        <w:rPr/>
        <w:t>Hasičské</w:t>
      </w:r>
      <w:r>
        <w:rPr>
          <w:spacing w:val="-3"/>
        </w:rPr>
        <w:t> </w:t>
      </w:r>
      <w:r>
        <w:rPr/>
        <w:t>zbrojnice</w:t>
      </w:r>
      <w:r>
        <w:rPr>
          <w:spacing w:val="3"/>
        </w:rPr>
        <w:t> </w:t>
      </w:r>
      <w:r>
        <w:rPr/>
        <w:t>Hrubá</w:t>
      </w:r>
      <w:r>
        <w:rPr>
          <w:spacing w:val="-2"/>
        </w:rPr>
        <w:t> </w:t>
      </w:r>
      <w:r>
        <w:rPr/>
        <w:t>Horka</w:t>
      </w:r>
      <w:r>
        <w:rPr>
          <w:spacing w:val="-3"/>
        </w:rPr>
        <w:t> </w:t>
      </w:r>
      <w:r>
        <w:rPr/>
        <w:t>č.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68“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322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110,03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milion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dva tisíc</w:t>
      </w:r>
      <w:r>
        <w:rPr>
          <w:spacing w:val="1"/>
          <w:sz w:val="20"/>
        </w:rPr>
        <w:t> </w:t>
      </w:r>
      <w:r>
        <w:rPr>
          <w:sz w:val="20"/>
        </w:rPr>
        <w:t>jedno sto deset</w:t>
      </w:r>
      <w:r>
        <w:rPr>
          <w:spacing w:val="-1"/>
          <w:sz w:val="20"/>
        </w:rPr>
        <w:t> </w:t>
      </w:r>
      <w:r>
        <w:rPr>
          <w:sz w:val="20"/>
        </w:rPr>
        <w:t>korun českých a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haléře).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</w:t>
      </w:r>
      <w:r>
        <w:rPr>
          <w:spacing w:val="1"/>
          <w:sz w:val="20"/>
        </w:rPr>
        <w:t> </w:t>
      </w:r>
      <w:r>
        <w:rPr>
          <w:sz w:val="20"/>
        </w:rPr>
        <w:t>938</w:t>
      </w:r>
      <w:r>
        <w:rPr>
          <w:spacing w:val="1"/>
          <w:sz w:val="20"/>
        </w:rPr>
        <w:t> </w:t>
      </w:r>
      <w:r>
        <w:rPr>
          <w:sz w:val="20"/>
        </w:rPr>
        <w:t>022,29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45,00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9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5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3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2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3"/>
      </w:tblGrid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25" w:right="1815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934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24" w:right="181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8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322 110,03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4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2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10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37" w:hanging="281"/>
        <w:jc w:val="both"/>
        <w:rPr>
          <w:sz w:val="20"/>
        </w:rPr>
      </w:pPr>
      <w:r>
        <w:rPr>
          <w:spacing w:val="-1"/>
          <w:sz w:val="20"/>
        </w:rPr>
        <w:t>dojde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k zateplení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obvodového</w:t>
      </w:r>
      <w:r>
        <w:rPr>
          <w:spacing w:val="-14"/>
          <w:sz w:val="20"/>
        </w:rPr>
        <w:t> </w:t>
      </w:r>
      <w:r>
        <w:rPr>
          <w:sz w:val="20"/>
        </w:rPr>
        <w:t>pláště,</w:t>
      </w:r>
      <w:r>
        <w:rPr>
          <w:spacing w:val="-14"/>
          <w:sz w:val="20"/>
        </w:rPr>
        <w:t> </w:t>
      </w:r>
      <w:r>
        <w:rPr>
          <w:sz w:val="20"/>
        </w:rPr>
        <w:t>střešní</w:t>
      </w:r>
      <w:r>
        <w:rPr>
          <w:spacing w:val="-12"/>
          <w:sz w:val="20"/>
        </w:rPr>
        <w:t> </w:t>
      </w:r>
      <w:r>
        <w:rPr>
          <w:sz w:val="20"/>
        </w:rPr>
        <w:t>konstrukce,</w:t>
      </w:r>
      <w:r>
        <w:rPr>
          <w:spacing w:val="-14"/>
          <w:sz w:val="20"/>
        </w:rPr>
        <w:t> </w:t>
      </w:r>
      <w:r>
        <w:rPr>
          <w:sz w:val="20"/>
        </w:rPr>
        <w:t>výměně</w:t>
      </w:r>
      <w:r>
        <w:rPr>
          <w:spacing w:val="-15"/>
          <w:sz w:val="20"/>
        </w:rPr>
        <w:t> </w:t>
      </w:r>
      <w:r>
        <w:rPr>
          <w:sz w:val="20"/>
        </w:rPr>
        <w:t>otvorových</w:t>
      </w:r>
      <w:r>
        <w:rPr>
          <w:spacing w:val="-14"/>
          <w:sz w:val="20"/>
        </w:rPr>
        <w:t> </w:t>
      </w:r>
      <w:r>
        <w:rPr>
          <w:sz w:val="20"/>
        </w:rPr>
        <w:t>výplní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výměně</w:t>
      </w:r>
      <w:r>
        <w:rPr>
          <w:spacing w:val="-14"/>
          <w:sz w:val="20"/>
        </w:rPr>
        <w:t> </w:t>
      </w:r>
      <w:r>
        <w:rPr>
          <w:sz w:val="20"/>
        </w:rPr>
        <w:t>zdroje</w:t>
      </w:r>
      <w:r>
        <w:rPr>
          <w:spacing w:val="-53"/>
          <w:sz w:val="20"/>
        </w:rPr>
        <w:t> </w:t>
      </w:r>
      <w:r>
        <w:rPr>
          <w:sz w:val="20"/>
        </w:rPr>
        <w:t>tepla,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1633"/>
        <w:gridCol w:w="1748"/>
        <w:gridCol w:w="1680"/>
      </w:tblGrid>
      <w:tr>
        <w:trPr>
          <w:trHeight w:val="773" w:hRule="atLeast"/>
        </w:trPr>
        <w:tc>
          <w:tcPr>
            <w:tcW w:w="3769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104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0" w:hRule="atLeast"/>
        </w:trPr>
        <w:tc>
          <w:tcPr>
            <w:tcW w:w="3769" w:type="dxa"/>
          </w:tcPr>
          <w:p>
            <w:pPr>
              <w:pStyle w:val="TableParagraph"/>
              <w:spacing w:line="264" w:lineRule="exact"/>
              <w:ind w:left="388" w:right="57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(MWt)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>
        <w:trPr>
          <w:trHeight w:val="505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z w:val="20"/>
              </w:rPr>
              <w:t>76.85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</w:tr>
      <w:tr>
        <w:trPr>
          <w:trHeight w:val="506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z w:val="20"/>
              </w:rPr>
              <w:t>361.90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158.95</w:t>
            </w:r>
          </w:p>
        </w:tc>
      </w:tr>
      <w:tr>
        <w:trPr>
          <w:trHeight w:val="532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388" w:right="108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z w:val="20"/>
              </w:rPr>
              <w:t>839.21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163.42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3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9/2023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2"/>
          <w:sz w:val="20"/>
        </w:rPr>
        <w:t> </w:t>
      </w:r>
      <w:r>
        <w:rPr>
          <w:sz w:val="20"/>
        </w:rPr>
        <w:t>informovat (termínem dokončení akce se rozumí datum uvedení stavby k trvalému provozu, 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zákonem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31"/>
          <w:sz w:val="20"/>
        </w:rPr>
        <w:t> </w:t>
      </w:r>
      <w:r>
        <w:rPr>
          <w:sz w:val="20"/>
        </w:rPr>
        <w:t>183/2006</w:t>
      </w:r>
      <w:r>
        <w:rPr>
          <w:spacing w:val="30"/>
          <w:sz w:val="20"/>
        </w:rPr>
        <w:t> </w:t>
      </w:r>
      <w:r>
        <w:rPr>
          <w:sz w:val="20"/>
        </w:rPr>
        <w:t>Sb.,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územním</w:t>
      </w:r>
      <w:r>
        <w:rPr>
          <w:spacing w:val="29"/>
          <w:sz w:val="20"/>
        </w:rPr>
        <w:t> </w:t>
      </w:r>
      <w:r>
        <w:rPr>
          <w:sz w:val="20"/>
        </w:rPr>
        <w:t>plánování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stavebním</w:t>
      </w:r>
      <w:r>
        <w:rPr>
          <w:spacing w:val="29"/>
          <w:sz w:val="20"/>
        </w:rPr>
        <w:t> </w:t>
      </w:r>
      <w:r>
        <w:rPr>
          <w:sz w:val="20"/>
        </w:rPr>
        <w:t>řádu</w:t>
      </w:r>
      <w:r>
        <w:rPr>
          <w:spacing w:val="33"/>
          <w:sz w:val="20"/>
        </w:rPr>
        <w:t> </w:t>
      </w:r>
      <w:r>
        <w:rPr>
          <w:sz w:val="20"/>
        </w:rPr>
        <w:t>(stavební</w:t>
      </w:r>
      <w:r>
        <w:rPr>
          <w:spacing w:val="30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1063" w:right="135"/>
      </w:pP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platném</w:t>
      </w:r>
      <w:r>
        <w:rPr>
          <w:spacing w:val="-12"/>
        </w:rPr>
        <w:t> </w:t>
      </w:r>
      <w:r>
        <w:rPr>
          <w:spacing w:val="-1"/>
        </w:rPr>
        <w:t>znění</w:t>
      </w:r>
      <w:r>
        <w:rPr>
          <w:spacing w:val="-12"/>
        </w:rPr>
        <w:t> </w:t>
      </w:r>
      <w:r>
        <w:rPr>
          <w:spacing w:val="-1"/>
        </w:rPr>
        <w:t>(kolaudační</w:t>
      </w:r>
      <w:r>
        <w:rPr>
          <w:spacing w:val="-9"/>
        </w:rPr>
        <w:t> </w:t>
      </w:r>
      <w:r>
        <w:rPr>
          <w:spacing w:val="-1"/>
        </w:rPr>
        <w:t>souhlas,</w:t>
      </w:r>
      <w:r>
        <w:rPr>
          <w:spacing w:val="-12"/>
        </w:rPr>
        <w:t> </w:t>
      </w:r>
      <w:r>
        <w:rPr>
          <w:spacing w:val="-1"/>
        </w:rPr>
        <w:t>doložení</w:t>
      </w:r>
      <w:r>
        <w:rPr>
          <w:spacing w:val="-11"/>
        </w:rPr>
        <w:t> </w:t>
      </w:r>
      <w:r>
        <w:rPr>
          <w:spacing w:val="-1"/>
        </w:rPr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0"/>
        </w:rPr>
        <w:t> </w:t>
      </w:r>
      <w:r>
        <w:rPr/>
        <w:t>úřadu,</w:t>
      </w:r>
      <w:r>
        <w:rPr>
          <w:spacing w:val="-12"/>
        </w:rPr>
        <w:t> </w:t>
      </w:r>
      <w:r>
        <w:rPr/>
        <w:t>případně</w:t>
      </w:r>
      <w:r>
        <w:rPr>
          <w:spacing w:val="-10"/>
        </w:rPr>
        <w:t> </w:t>
      </w:r>
      <w:r>
        <w:rPr/>
        <w:t>písemný</w:t>
      </w:r>
      <w:r>
        <w:rPr>
          <w:spacing w:val="-12"/>
        </w:rPr>
        <w:t> </w:t>
      </w:r>
      <w:r>
        <w:rPr/>
        <w:t>souhlas,</w:t>
      </w:r>
      <w:r>
        <w:rPr>
          <w:spacing w:val="-52"/>
        </w:rPr>
        <w:t> </w:t>
      </w:r>
      <w:r>
        <w:rPr/>
        <w:t>že</w:t>
      </w:r>
      <w:r>
        <w:rPr>
          <w:spacing w:val="-2"/>
        </w:rPr>
        <w:t> </w:t>
      </w:r>
      <w:r>
        <w:rPr/>
        <w:t>stavbu lze</w:t>
      </w:r>
      <w:r>
        <w:rPr>
          <w:spacing w:val="-1"/>
        </w:rPr>
        <w:t> </w:t>
      </w:r>
      <w:r>
        <w:rPr/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12/2023</w:t>
      </w:r>
      <w:r>
        <w:rPr>
          <w:spacing w:val="28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9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2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2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 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3"/>
          <w:sz w:val="20"/>
        </w:rPr>
        <w:t> </w:t>
      </w:r>
      <w:r>
        <w:rPr>
          <w:sz w:val="20"/>
        </w:rPr>
        <w:t>bude toto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/>
        <w:t>VI.</w:t>
      </w:r>
    </w:p>
    <w:p>
      <w:pPr>
        <w:pStyle w:val="Heading2"/>
        <w:spacing w:line="265" w:lineRule="exact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3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94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2023-06-29T11:40:20Z</dcterms:created>
  <dcterms:modified xsi:type="dcterms:W3CDTF">2023-06-29T11:40:20Z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