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1210400351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Halenkovice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76,</w:t>
      </w:r>
      <w:r>
        <w:rPr>
          <w:spacing w:val="-2"/>
        </w:rPr>
        <w:t> </w:t>
      </w:r>
      <w:r>
        <w:rPr/>
        <w:t>763</w:t>
      </w:r>
      <w:r>
        <w:rPr>
          <w:spacing w:val="-2"/>
        </w:rPr>
        <w:t> </w:t>
      </w:r>
      <w:r>
        <w:rPr/>
        <w:t>63</w:t>
      </w:r>
      <w:r>
        <w:rPr>
          <w:spacing w:val="-2"/>
        </w:rPr>
        <w:t> </w:t>
      </w:r>
      <w:r>
        <w:rPr/>
        <w:t>Halenkovice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00283932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Bc.</w:t>
      </w:r>
      <w:r>
        <w:rPr>
          <w:spacing w:val="-5"/>
        </w:rPr>
        <w:t> </w:t>
      </w:r>
      <w:r>
        <w:rPr/>
        <w:t>Romanem</w:t>
      </w:r>
      <w:r>
        <w:rPr>
          <w:spacing w:val="-3"/>
        </w:rPr>
        <w:t> </w:t>
      </w:r>
      <w:r>
        <w:rPr/>
        <w:t>Kedrušem,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94-9413661/0710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1210400351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549"/>
        <w:jc w:val="left"/>
      </w:pPr>
      <w:r>
        <w:rPr/>
        <w:t>„Revitalizace</w:t>
      </w:r>
      <w:r>
        <w:rPr>
          <w:spacing w:val="-4"/>
        </w:rPr>
        <w:t> </w:t>
      </w:r>
      <w:r>
        <w:rPr/>
        <w:t>Halenkovice“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187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222,00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187</w:t>
      </w:r>
      <w:r>
        <w:rPr>
          <w:spacing w:val="1"/>
          <w:sz w:val="20"/>
        </w:rPr>
        <w:t> </w:t>
      </w:r>
      <w:r>
        <w:rPr>
          <w:sz w:val="20"/>
        </w:rPr>
        <w:t>222,00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21.12.2021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51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26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2023-06-27T05:11:54Z</dcterms:created>
  <dcterms:modified xsi:type="dcterms:W3CDTF">2023-06-27T05:11:54Z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2023-06-27T00:00:00Z</vt:filetime>
  </property>
</Properties>
</file>